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rviced-apartments-ii-sa2"/>
    <w:p>
      <w:pPr>
        <w:pStyle w:val="Heading3"/>
      </w:pPr>
      <w:r>
        <w:t xml:space="preserve">Serviced Apartments II (SA2)</w:t>
      </w:r>
    </w:p>
    <w:p>
      <w:pPr>
        <w:pStyle w:val="FirstParagraph"/>
      </w:pPr>
      <w:r>
        <w:t xml:space="preserve">Serviced Apartments II (SA2), also known as long-stay Serviced Apartments, is a pilot housing typology for occupants seeking long-term rental accommodation. Being a pilot, flexibility is allowed in the design of SA2 units as long as they achieve a global average unit size of 35 sqm nett. SA2 units need not be self-contained with the full suite of living/dining/kitchen amenities but should minimally be en-suite (i.e. with attached bathroom).</w:t>
      </w:r>
    </w:p>
    <w:p>
      <w:pPr>
        <w:pStyle w:val="BodyText"/>
      </w:pPr>
      <w:r>
        <w:t xml:space="preserve">SA2 shall be rented out for lodging purposes for a minimum period of 3 months or longer, and shall be developed and/or managed under one ownership. Strata subdivision of SA2 is strictly not allowed.</w:t>
      </w:r>
    </w:p>
    <w:p>
      <w:pPr>
        <w:pStyle w:val="BodyText"/>
      </w:pPr>
      <w:r>
        <w:t xml:space="preserve">Support services such as concierge, housekeeping and/or laundry provided for the residents of SA2 may be allowed. In addition, limited bar/lounge facilities may be permitted, subject to a maximum of 0.3% of the total residential GFA.</w:t>
      </w:r>
    </w:p>
    <w:p>
      <w:pPr>
        <w:pStyle w:val="BodyText"/>
      </w:pPr>
      <w:r>
        <w:t xml:space="preserve">SA2 may be allowed in Residential zone and may also be considered on mixed-use sites where residential uses are allowed.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Within-Residential-SA2"/>
    </w:p>
    <w:p>
      <w:pPr>
        <w:pStyle w:val="BodyText"/>
      </w:pPr>
      <w:r>
        <w:t xml:space="preserve">SA within Residential zones (incl. mixed use sites with a residential component)</w:t>
      </w:r>
    </w:p>
    <w:bookmarkStart w:id="24" w:name="Within-Residential-SA2"/>
    <w:p>
      <w:pPr>
        <w:pStyle w:val="BodyText"/>
      </w:pPr>
      <w:r>
        <w:t xml:space="preserve">Applicants may submit an Outline Application to URA to determine the suitability of the location, the Gross Plot Ratio (GPR) control and the storey height for a proposed SA2.</w:t>
      </w:r>
    </w:p>
    <w:p>
      <w:pPr>
        <w:pStyle w:val="BodyText"/>
      </w:pPr>
      <w:r>
        <w:t xml:space="preserve">SA2 may be allowed where the site fronts a major or arterial road or primary access road (ie Category 1, 2, 3, 4 roads or equivalent); or the site is located in a mixed-use area (eg commercial centres, business parks, or abutting medical hubs).</w:t>
      </w:r>
    </w:p>
    <w:p>
      <w:pPr>
        <w:pStyle w:val="BodyText"/>
      </w:pPr>
      <w:r>
        <w:t xml:space="preserve">SA2 shall not be allowed within the designated Landed Housing Areas and areas where SA2 may potentially cause dis-amenities to the neighbouring residents. </w:t>
      </w:r>
    </w:p>
    <w:bookmarkStart w:id="23" w:name="Within-Residential-SA21"/>
    <w:bookmarkEnd w:id="23"/>
    <w:bookmarkEnd w:id="24"/>
    <w:p>
      <w:pPr>
        <w:pStyle w:val="BodyText"/>
      </w:pPr>
      <w:hyperlink w:anchor="Within-Mixed-Use-SA2"/>
    </w:p>
    <w:p>
      <w:pPr>
        <w:pStyle w:val="BodyText"/>
      </w:pPr>
      <w:r>
        <w:t xml:space="preserve">SA within mixed-use areas</w:t>
      </w:r>
    </w:p>
    <w:bookmarkStart w:id="27" w:name="Within-Mixed-Use-SA2"/>
    <w:p>
      <w:pPr>
        <w:pStyle w:val="BodyText"/>
      </w:pPr>
      <w:r>
        <w:t xml:space="preserve">SA2 may be considered in mixed-use areas. Except for the Upper Circular Road streetblock, SA2 may be considered in the other locations where Serviced Apartments (SA) with minimum 7-day stays, are not allowed (examples of such areas can be found under the </w:t>
      </w:r>
      <w:hyperlink r:id="rId25">
        <w:r>
          <w:rPr>
            <w:rStyle w:val="Hyperlink"/>
          </w:rPr>
          <w:t xml:space="preserve">Hotels Handbook</w:t>
        </w:r>
      </w:hyperlink>
      <w:r>
        <w:t xml:space="preserve">).</w:t>
      </w:r>
    </w:p>
    <w:bookmarkStart w:id="26" w:name="Within-Mixed-Use-SA2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4 December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ura.gov.sg/Corporate/Guidelines/Development-Control/Non-Residential/Hotel/Advisory-No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ura.gov.sg/Corporate/Guidelines/Development-Control/Non-Residential/Hotel/Advisory-No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2024-05-23T09:32:47Z</dcterms:created>
  <dcterms:modified xsi:type="dcterms:W3CDTF">2024-05-23T09:32:47Z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