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building-setback-from-boundary"/>
    <w:p>
      <w:pPr>
        <w:pStyle w:val="Heading3"/>
      </w:pPr>
      <w:r>
        <w:t xml:space="preserve">Building Setback from Boundary</w:t>
      </w:r>
    </w:p>
    <w:p>
      <w:pPr>
        <w:pStyle w:val="FirstParagraph"/>
      </w:pPr>
      <w:r>
        <w:drawing>
          <wp:inline>
            <wp:extent cx="9525" cy="9525"/>
            <wp:effectExtent b="0" l="0" r="0" t="0"/>
            <wp:docPr descr="Road buffer and setback requirements"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Illustration of Setback and Buffer</w:t>
      </w:r>
    </w:p>
    <w:p>
      <w:pPr>
        <w:pStyle w:val="BodyText"/>
      </w:pPr>
      <w:r>
        <w:t xml:space="preserve">Flats and condominiums shall be sufficiently set back from the road and common boundary. The setback distance is measured from the road reserve</w:t>
      </w:r>
      <w:r>
        <w:rPr>
          <w:vertAlign w:val="superscript"/>
        </w:rPr>
        <w:t xml:space="preserve">1</w:t>
      </w:r>
      <w:r>
        <w:t xml:space="preserve"> </w:t>
      </w:r>
      <w:r>
        <w:t xml:space="preserve">line or boundary line to the external wall of the flats, excluding land to be vested to the State for road or drainage or public purpose.</w:t>
      </w:r>
    </w:p>
    <w:p>
      <w:pPr>
        <w:pStyle w:val="BodyText"/>
      </w:pPr>
      <w:r>
        <w:t xml:space="preserve">The setback for flats and condominiums from public roads are determined by the road buffer, which is dependent on the category of the road that the site fronts and the height of development. For roads that are not categorised, the minimum road buffer of 7.5m applies. A green buffer shall also be set aside within the road buffer. The classification of the road category may be obtained from LTA’s Road Interpretation Plan (RIP).</w:t>
      </w:r>
      <w:r>
        <w:t xml:space="preserve">  </w:t>
      </w:r>
    </w:p>
    <w:p>
      <w:pPr>
        <w:pStyle w:val="BodyText"/>
      </w:pPr>
      <w:r>
        <w:t xml:space="preserve">The type of road buffer &amp; setback are shown in the diagram above, and are detailed in Tables 1 &amp; 2.</w:t>
      </w:r>
    </w:p>
    <w:p>
      <w:pPr>
        <w:pStyle w:val="BodyText"/>
      </w:pPr>
      <w:r>
        <w:t xml:space="preserve">Bay windows, ledges, roof eaves and other minor building features may encroach into the setback distance up to the extent shown in Table 3 below.</w:t>
      </w:r>
    </w:p>
    <w:p>
      <w:pPr>
        <w:pStyle w:val="BodyText"/>
      </w:pPr>
      <w:r>
        <w:t xml:space="preserve">Exceptions to the setback and buffer requirements are listed below:</w:t>
      </w:r>
    </w:p>
    <w:p>
      <w:pPr>
        <w:pStyle w:val="Compact"/>
        <w:numPr>
          <w:ilvl w:val="0"/>
          <w:numId w:val="1001"/>
        </w:numPr>
      </w:pPr>
      <w:r>
        <w:t xml:space="preserve">Sites with street block controls (refer to the</w:t>
      </w:r>
      <w:r>
        <w:t xml:space="preserve"> </w:t>
      </w:r>
      <w:hyperlink r:id="rId23">
        <w:r>
          <w:rPr>
            <w:rStyle w:val="Hyperlink"/>
          </w:rPr>
          <w:t xml:space="preserve">Street Block Plans</w:t>
        </w:r>
      </w:hyperlink>
      <w:r>
        <w:t xml:space="preserve"> </w:t>
      </w:r>
      <w:r>
        <w:t xml:space="preserve">section);</w:t>
      </w:r>
    </w:p>
    <w:p>
      <w:pPr>
        <w:pStyle w:val="Compact"/>
        <w:numPr>
          <w:ilvl w:val="0"/>
          <w:numId w:val="1001"/>
        </w:numPr>
      </w:pPr>
      <w:r>
        <w:t xml:space="preserve">Party-wall</w:t>
      </w:r>
      <w:r>
        <w:rPr>
          <w:vertAlign w:val="superscript"/>
        </w:rPr>
        <w:t xml:space="preserve">3</w:t>
      </w:r>
      <w:r>
        <w:t xml:space="preserve"> </w:t>
      </w:r>
      <w:r>
        <w:t xml:space="preserve">developments (to be assessed upon formal submission of a proposed development);</w:t>
      </w:r>
    </w:p>
    <w:p>
      <w:pPr>
        <w:pStyle w:val="Compact"/>
        <w:numPr>
          <w:ilvl w:val="0"/>
          <w:numId w:val="1001"/>
        </w:numPr>
      </w:pPr>
      <w:r>
        <w:t xml:space="preserve">Flats and condominium developments within the River Valley, Newton and Orchard Planning Areas. The standard road buffer for these shall be 7.5m (of which 3m is green buffer);</w:t>
      </w:r>
    </w:p>
    <w:p>
      <w:pPr>
        <w:pStyle w:val="Compact"/>
        <w:numPr>
          <w:ilvl w:val="0"/>
          <w:numId w:val="1001"/>
        </w:numPr>
      </w:pPr>
      <w:r>
        <w:t xml:space="preserve">Flats and condominium developments in the</w:t>
      </w:r>
      <w:r>
        <w:t xml:space="preserve"> </w:t>
      </w:r>
      <w:hyperlink r:id="rId24">
        <w:r>
          <w:rPr>
            <w:rStyle w:val="Hyperlink"/>
          </w:rPr>
          <w:t xml:space="preserve">Central Area</w:t>
        </w:r>
      </w:hyperlink>
      <w:r>
        <w:t xml:space="preserve"> </w:t>
      </w:r>
      <w:r>
        <w:t xml:space="preserve">(PDF, 436 KB) other than those in the River Valley, Newton and Orchard Planning Areas. The required road buffer shall be based on urban design considerations.</w:t>
      </w:r>
    </w:p>
    <w:p>
      <w:pPr>
        <w:pStyle w:val="FirstParagraph"/>
      </w:pPr>
      <w:r>
        <w:rPr>
          <w:vertAlign w:val="superscript"/>
        </w:rPr>
        <w:t xml:space="preserve">1</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bookmarkEnd w:id="25"/>
    <w:bookmarkStart w:id="27" w:name="column_0_right_1_txtTitle"/>
    <w:bookmarkStart w:id="26" w:name="section"/>
    <w:p>
      <w:pPr>
        <w:pStyle w:val="Heading3"/>
      </w:pPr>
    </w:p>
    <w:bookmarkEnd w:id="26"/>
    <w:bookmarkEnd w:id="27"/>
    <w:p>
      <w:pPr>
        <w:pStyle w:val="FirstParagraph"/>
      </w:pPr>
      <w:hyperlink w:anchor="Table-1"/>
    </w:p>
    <w:p>
      <w:pPr>
        <w:pStyle w:val="BodyText"/>
      </w:pPr>
      <w:r>
        <w:t xml:space="preserve">Table 1: Road Buffer and Green Buffer</w:t>
      </w:r>
    </w:p>
    <w:bookmarkStart w:id="29" w:name="Table-1"/>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center"/>
            </w:pPr>
            <w:r>
              <w:rPr>
                <w:b/>
                <w:bCs/>
              </w:rPr>
              <w:t xml:space="preserve">Road Category</w:t>
            </w:r>
          </w:p>
        </w:tc>
        <w:tc>
          <w:tcPr/>
          <w:p>
            <w:pPr>
              <w:pStyle w:val="Compact"/>
              <w:jc w:val="center"/>
            </w:pPr>
            <w:r>
              <w:rPr>
                <w:b/>
                <w:bCs/>
              </w:rPr>
              <w:t xml:space="preserve">Type of Development</w:t>
            </w:r>
          </w:p>
        </w:tc>
        <w:tc>
          <w:tcPr/>
          <w:p>
            <w:pPr>
              <w:pStyle w:val="Compact"/>
              <w:jc w:val="center"/>
            </w:pPr>
            <w:r>
              <w:rPr>
                <w:b/>
                <w:bCs/>
              </w:rPr>
              <w:t xml:space="preserve">Road Buffer</w:t>
            </w:r>
            <w:r>
              <w:br/>
            </w:r>
            <w:r>
              <w:rPr>
                <w:b/>
                <w:bCs/>
              </w:rPr>
              <w:t xml:space="preserve">(inclusive of Green Buffer indicated in brackets)</w:t>
            </w:r>
          </w:p>
        </w:tc>
      </w:tr>
      <w:tr>
        <w:tc>
          <w:tcPr>
            <w:vMerge w:val="restart"/>
          </w:tcPr>
          <w:p>
            <w:pPr>
              <w:pStyle w:val="Compact"/>
              <w:jc w:val="center"/>
            </w:pPr>
            <w:r>
              <w:t xml:space="preserve">Category 1</w:t>
            </w:r>
          </w:p>
        </w:tc>
        <w:tc>
          <w:tcPr/>
          <w:p>
            <w:pPr>
              <w:pStyle w:val="Compact"/>
              <w:jc w:val="center"/>
            </w:pPr>
            <w:r>
              <w:t xml:space="preserve">Residential 6 storeys and above</w:t>
            </w:r>
          </w:p>
        </w:tc>
        <w:tc>
          <w:tcPr/>
          <w:p>
            <w:pPr>
              <w:pStyle w:val="Compact"/>
              <w:jc w:val="center"/>
            </w:pPr>
            <w:r>
              <w:t xml:space="preserve">30m</w:t>
            </w:r>
            <w:r>
              <w:br/>
            </w:r>
            <w:r>
              <w:t xml:space="preserve">(5m)</w:t>
            </w:r>
          </w:p>
        </w:tc>
      </w:tr>
      <w:tr>
        <w:tc>
          <w:tcPr>
            <w:gridSpan w:val="1"/>
            <w:vMerge w:val="continue"/>
          </w:tcPr>
          <w:p>
            <w:pPr/>
          </w:p>
        </w:tc>
        <w:tc>
          <w:tcPr/>
          <w:p>
            <w:pPr>
              <w:pStyle w:val="Compact"/>
              <w:jc w:val="center"/>
            </w:pPr>
            <w:r>
              <w:t xml:space="preserve">Residential up to 5 storeys</w:t>
            </w:r>
          </w:p>
        </w:tc>
        <w:tc>
          <w:tcPr/>
          <w:p>
            <w:pPr>
              <w:pStyle w:val="Compact"/>
              <w:jc w:val="center"/>
            </w:pPr>
            <w:r>
              <w:t xml:space="preserve">24m</w:t>
            </w:r>
            <w:r>
              <w:br/>
            </w:r>
            <w:r>
              <w:t xml:space="preserve">(5m)</w:t>
            </w:r>
          </w:p>
        </w:tc>
      </w:tr>
      <w:tr>
        <w:tc>
          <w:tcPr>
            <w:vMerge w:val="restart"/>
          </w:tcPr>
          <w:p>
            <w:pPr>
              <w:pStyle w:val="Compact"/>
              <w:jc w:val="center"/>
            </w:pPr>
            <w:r>
              <w:t xml:space="preserve">Category 2</w:t>
            </w:r>
          </w:p>
        </w:tc>
        <w:tc>
          <w:tcPr/>
          <w:p>
            <w:pPr>
              <w:pStyle w:val="Compact"/>
              <w:jc w:val="center"/>
            </w:pPr>
            <w:r>
              <w:t xml:space="preserve">Residential 6 storeys and above</w:t>
            </w:r>
          </w:p>
        </w:tc>
        <w:tc>
          <w:tcPr/>
          <w:p>
            <w:pPr>
              <w:pStyle w:val="Compact"/>
              <w:jc w:val="center"/>
            </w:pPr>
            <w:r>
              <w:t xml:space="preserve">15m</w:t>
            </w:r>
            <w:r>
              <w:br/>
            </w:r>
            <w:r>
              <w:t xml:space="preserve">(5m)</w:t>
            </w:r>
          </w:p>
        </w:tc>
      </w:tr>
      <w:tr>
        <w:tc>
          <w:tcPr>
            <w:gridSpan w:val="1"/>
            <w:vMerge w:val="continue"/>
          </w:tcPr>
          <w:p>
            <w:pPr/>
          </w:p>
        </w:tc>
        <w:tc>
          <w:tcPr/>
          <w:p>
            <w:pPr>
              <w:pStyle w:val="Compact"/>
              <w:jc w:val="center"/>
            </w:pPr>
            <w:r>
              <w:t xml:space="preserve">Residential up to 5 storeys</w:t>
            </w:r>
          </w:p>
        </w:tc>
        <w:tc>
          <w:tcPr/>
          <w:p>
            <w:pPr>
              <w:pStyle w:val="Compact"/>
              <w:jc w:val="center"/>
            </w:pPr>
            <w:r>
              <w:t xml:space="preserve">12m</w:t>
            </w:r>
            <w:r>
              <w:br/>
            </w:r>
            <w:r>
              <w:t xml:space="preserve">(5m)</w:t>
            </w:r>
          </w:p>
        </w:tc>
      </w:tr>
      <w:tr>
        <w:tc>
          <w:tcPr>
            <w:vMerge w:val="restart"/>
          </w:tcPr>
          <w:p>
            <w:pPr>
              <w:pStyle w:val="Compact"/>
              <w:jc w:val="center"/>
            </w:pPr>
            <w:r>
              <w:t xml:space="preserve">Category 3</w:t>
            </w:r>
          </w:p>
        </w:tc>
        <w:tc>
          <w:tcPr/>
          <w:p>
            <w:pPr>
              <w:pStyle w:val="Compact"/>
              <w:jc w:val="center"/>
            </w:pPr>
            <w:r>
              <w:t xml:space="preserve">Residential 6 storeys and above</w:t>
            </w:r>
          </w:p>
        </w:tc>
        <w:tc>
          <w:tcPr/>
          <w:p>
            <w:pPr>
              <w:pStyle w:val="Compact"/>
              <w:jc w:val="center"/>
            </w:pPr>
            <w:r>
              <w:t xml:space="preserve">10m</w:t>
            </w:r>
            <w:r>
              <w:br/>
            </w:r>
            <w:r>
              <w:t xml:space="preserve">(3m)</w:t>
            </w:r>
          </w:p>
        </w:tc>
      </w:tr>
      <w:tr>
        <w:tc>
          <w:tcPr>
            <w:gridSpan w:val="1"/>
            <w:vMerge w:val="continue"/>
          </w:tcPr>
          <w:p>
            <w:pPr/>
          </w:p>
        </w:tc>
        <w:tc>
          <w:tcPr/>
          <w:p>
            <w:pPr>
              <w:pStyle w:val="Compact"/>
              <w:jc w:val="center"/>
            </w:pPr>
            <w:r>
              <w:t xml:space="preserve">Residential up to 5 storeys</w:t>
            </w:r>
          </w:p>
        </w:tc>
        <w:tc>
          <w:tcPr/>
          <w:p>
            <w:pPr>
              <w:pStyle w:val="Compact"/>
              <w:jc w:val="center"/>
            </w:pPr>
            <w:r>
              <w:t xml:space="preserve">7.5m</w:t>
            </w:r>
            <w:r>
              <w:br/>
            </w:r>
            <w:r>
              <w:t xml:space="preserve">(3m)</w:t>
            </w:r>
          </w:p>
        </w:tc>
      </w:tr>
      <w:tr>
        <w:tc>
          <w:tcPr/>
          <w:p>
            <w:pPr>
              <w:pStyle w:val="Compact"/>
              <w:jc w:val="center"/>
            </w:pPr>
            <w:r>
              <w:t xml:space="preserve"> Category 4 - 5 and slip road</w:t>
            </w:r>
          </w:p>
        </w:tc>
        <w:tc>
          <w:tcPr/>
          <w:p>
            <w:pPr>
              <w:pStyle w:val="Compact"/>
              <w:jc w:val="center"/>
            </w:pPr>
            <w:r>
              <w:t xml:space="preserve">Residential</w:t>
            </w:r>
          </w:p>
        </w:tc>
        <w:tc>
          <w:tcPr/>
          <w:p>
            <w:pPr>
              <w:pStyle w:val="Compact"/>
              <w:jc w:val="center"/>
            </w:pPr>
            <w:r>
              <w:t xml:space="preserve">7.5m</w:t>
            </w:r>
            <w:r>
              <w:br/>
            </w:r>
            <w:r>
              <w:t xml:space="preserve">(3m)</w:t>
            </w:r>
          </w:p>
        </w:tc>
      </w:tr>
    </w:tbl>
    <w:p>
      <w:pPr>
        <w:pStyle w:val="BodyText"/>
      </w:pPr>
      <w:r>
        <w:br/>
      </w:r>
    </w:p>
    <w:bookmarkStart w:id="28" w:name="Table-11"/>
    <w:bookmarkEnd w:id="28"/>
    <w:bookmarkEnd w:id="29"/>
    <w:p>
      <w:pPr>
        <w:pStyle w:val="BodyText"/>
      </w:pPr>
      <w:hyperlink w:anchor="Table-2"/>
    </w:p>
    <w:p>
      <w:pPr>
        <w:pStyle w:val="BodyText"/>
      </w:pPr>
      <w:r>
        <w:t xml:space="preserve">Table 2: Common Boundary Setback &amp; Planting Strip</w:t>
      </w:r>
    </w:p>
    <w:bookmarkStart w:id="31" w:name="Table-2"/>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center"/>
            </w:pPr>
            <w:r>
              <w:rPr>
                <w:b/>
                <w:bCs/>
              </w:rPr>
              <w:t xml:space="preserve">Storey Height</w:t>
            </w:r>
          </w:p>
        </w:tc>
        <w:tc>
          <w:tcPr/>
          <w:p>
            <w:pPr>
              <w:pStyle w:val="Compact"/>
              <w:jc w:val="center"/>
            </w:pPr>
            <w:r>
              <w:rPr>
                <w:b/>
                <w:bCs/>
              </w:rPr>
              <w:t xml:space="preserve">Common Boundary Setback for Flats</w:t>
            </w:r>
            <w:r>
              <w:br/>
            </w:r>
          </w:p>
        </w:tc>
        <w:tc>
          <w:tcPr/>
          <w:p>
            <w:pPr>
              <w:pStyle w:val="Compact"/>
              <w:jc w:val="center"/>
            </w:pPr>
            <w:r>
              <w:rPr>
                <w:b/>
                <w:bCs/>
              </w:rPr>
              <w:t xml:space="preserve">Common Boundary Setback for Condominiums</w:t>
            </w:r>
          </w:p>
        </w:tc>
      </w:tr>
      <w:tr>
        <w:tc>
          <w:tcPr/>
          <w:p>
            <w:pPr>
              <w:pStyle w:val="Compact"/>
              <w:jc w:val="center"/>
            </w:pPr>
            <w:r>
              <w:t xml:space="preserve">1</w:t>
            </w:r>
          </w:p>
        </w:tc>
        <w:tc>
          <w:tcPr>
            <w:vMerge w:val="restart"/>
          </w:tcPr>
          <w:p>
            <w:pPr>
              <w:pStyle w:val="Compact"/>
              <w:jc w:val="center"/>
            </w:pPr>
            <w:r>
              <w:t xml:space="preserve">3.0m</w:t>
            </w:r>
          </w:p>
        </w:tc>
        <w:tc>
          <w:tcPr>
            <w:vMerge w:val="restart"/>
          </w:tcPr>
          <w:p>
            <w:pPr>
              <w:pStyle w:val="Compact"/>
              <w:jc w:val="center"/>
            </w:pPr>
            <w:r>
              <w:t xml:space="preserve">3.0m</w:t>
            </w:r>
            <w:r>
              <w:br/>
            </w:r>
          </w:p>
        </w:tc>
      </w:tr>
      <w:tr>
        <w:tc>
          <w:tcPr/>
          <w:p>
            <w:pPr>
              <w:pStyle w:val="Compact"/>
              <w:jc w:val="center"/>
            </w:pPr>
            <w:r>
              <w:t xml:space="preserve">2</w:t>
            </w:r>
          </w:p>
        </w:tc>
        <w:tc>
          <w:tcPr>
            <w:gridSpan w:val="1"/>
            <w:vMerge w:val="continue"/>
          </w:tcPr>
          <w:p>
            <w:pPr/>
          </w:p>
        </w:tc>
        <w:tc>
          <w:tcPr>
            <w:gridSpan w:val="1"/>
            <w:vMerge w:val="continue"/>
          </w:tcPr>
          <w:p>
            <w:pPr/>
          </w:p>
        </w:tc>
      </w:tr>
      <w:tr>
        <w:tc>
          <w:tcPr/>
          <w:p>
            <w:pPr>
              <w:pStyle w:val="Compact"/>
              <w:jc w:val="center"/>
            </w:pPr>
            <w:r>
              <w:t xml:space="preserve">3</w:t>
            </w:r>
          </w:p>
        </w:tc>
        <w:tc>
          <w:tcPr>
            <w:gridSpan w:val="1"/>
            <w:vMerge w:val="continue"/>
          </w:tcPr>
          <w:p>
            <w:pPr/>
          </w:p>
        </w:tc>
        <w:tc>
          <w:tcPr/>
          <w:p>
            <w:pPr>
              <w:pStyle w:val="Compact"/>
              <w:jc w:val="center"/>
            </w:pPr>
            <w:r>
              <w:t xml:space="preserve">3.4m</w:t>
            </w:r>
          </w:p>
        </w:tc>
      </w:tr>
      <w:tr>
        <w:tc>
          <w:tcPr/>
          <w:p>
            <w:pPr>
              <w:pStyle w:val="Compact"/>
              <w:jc w:val="center"/>
            </w:pPr>
            <w:r>
              <w:t xml:space="preserve">4</w:t>
            </w:r>
          </w:p>
        </w:tc>
        <w:tc>
          <w:tcPr>
            <w:gridSpan w:val="1"/>
            <w:vMerge w:val="continue"/>
          </w:tcPr>
          <w:p>
            <w:pPr/>
          </w:p>
        </w:tc>
        <w:tc>
          <w:tcPr/>
          <w:p>
            <w:pPr>
              <w:pStyle w:val="Compact"/>
              <w:jc w:val="center"/>
            </w:pPr>
            <w:r>
              <w:t xml:space="preserve">3.8m</w:t>
            </w:r>
          </w:p>
        </w:tc>
      </w:tr>
      <w:tr>
        <w:tc>
          <w:tcPr/>
          <w:p>
            <w:pPr>
              <w:pStyle w:val="Compact"/>
              <w:jc w:val="center"/>
            </w:pPr>
            <w:r>
              <w:t xml:space="preserve">5</w:t>
            </w:r>
          </w:p>
        </w:tc>
        <w:tc>
          <w:tcPr/>
          <w:p>
            <w:pPr>
              <w:pStyle w:val="Compact"/>
              <w:jc w:val="center"/>
            </w:pPr>
            <w:r>
              <w:t xml:space="preserve">3.3m</w:t>
            </w:r>
          </w:p>
        </w:tc>
        <w:tc>
          <w:tcPr/>
          <w:p>
            <w:pPr>
              <w:pStyle w:val="Compact"/>
              <w:jc w:val="center"/>
            </w:pPr>
            <w:r>
              <w:t xml:space="preserve">4.7m</w:t>
            </w:r>
          </w:p>
        </w:tc>
      </w:tr>
      <w:tr>
        <w:tc>
          <w:tcPr/>
          <w:p>
            <w:pPr>
              <w:pStyle w:val="Compact"/>
              <w:jc w:val="center"/>
            </w:pPr>
            <w:r>
              <w:t xml:space="preserve">6</w:t>
            </w:r>
          </w:p>
        </w:tc>
        <w:tc>
          <w:tcPr/>
          <w:p>
            <w:pPr>
              <w:pStyle w:val="Compact"/>
              <w:jc w:val="center"/>
            </w:pPr>
            <w:r>
              <w:t xml:space="preserve">3.6m</w:t>
            </w:r>
          </w:p>
        </w:tc>
        <w:tc>
          <w:tcPr/>
          <w:p>
            <w:pPr>
              <w:pStyle w:val="Compact"/>
              <w:jc w:val="center"/>
            </w:pPr>
            <w:r>
              <w:t xml:space="preserve">5.5m</w:t>
            </w:r>
          </w:p>
        </w:tc>
      </w:tr>
      <w:tr>
        <w:tc>
          <w:tcPr/>
          <w:p>
            <w:pPr>
              <w:pStyle w:val="Compact"/>
              <w:jc w:val="center"/>
            </w:pPr>
            <w:r>
              <w:t xml:space="preserve">7</w:t>
            </w:r>
          </w:p>
        </w:tc>
        <w:tc>
          <w:tcPr/>
          <w:p>
            <w:pPr>
              <w:pStyle w:val="Compact"/>
              <w:jc w:val="center"/>
            </w:pPr>
            <w:r>
              <w:t xml:space="preserve">3.9m</w:t>
            </w:r>
          </w:p>
        </w:tc>
        <w:tc>
          <w:tcPr/>
          <w:p>
            <w:pPr>
              <w:pStyle w:val="Compact"/>
              <w:jc w:val="center"/>
            </w:pPr>
            <w:r>
              <w:t xml:space="preserve">6.4m</w:t>
            </w:r>
          </w:p>
        </w:tc>
      </w:tr>
      <w:tr>
        <w:tc>
          <w:tcPr/>
          <w:p>
            <w:pPr>
              <w:pStyle w:val="Compact"/>
              <w:jc w:val="center"/>
            </w:pPr>
            <w:r>
              <w:t xml:space="preserve">8</w:t>
            </w:r>
          </w:p>
        </w:tc>
        <w:tc>
          <w:tcPr/>
          <w:p>
            <w:pPr>
              <w:pStyle w:val="Compact"/>
              <w:jc w:val="center"/>
            </w:pPr>
            <w:r>
              <w:t xml:space="preserve">4.2m</w:t>
            </w:r>
          </w:p>
        </w:tc>
        <w:tc>
          <w:tcPr/>
          <w:p>
            <w:pPr>
              <w:pStyle w:val="Compact"/>
              <w:jc w:val="center"/>
            </w:pPr>
            <w:r>
              <w:t xml:space="preserve">7.2m</w:t>
            </w:r>
          </w:p>
        </w:tc>
      </w:tr>
      <w:tr>
        <w:tc>
          <w:tcPr/>
          <w:p>
            <w:pPr>
              <w:pStyle w:val="Compact"/>
              <w:jc w:val="center"/>
            </w:pPr>
            <w:r>
              <w:t xml:space="preserve">9</w:t>
            </w:r>
          </w:p>
        </w:tc>
        <w:tc>
          <w:tcPr/>
          <w:p>
            <w:pPr>
              <w:pStyle w:val="Compact"/>
              <w:jc w:val="center"/>
            </w:pPr>
            <w:r>
              <w:t xml:space="preserve">4.5m</w:t>
            </w:r>
          </w:p>
        </w:tc>
        <w:tc>
          <w:tcPr/>
          <w:p>
            <w:pPr>
              <w:pStyle w:val="Compact"/>
              <w:jc w:val="center"/>
            </w:pPr>
            <w:r>
              <w:t xml:space="preserve">8.0m</w:t>
            </w:r>
          </w:p>
        </w:tc>
      </w:tr>
      <w:tr>
        <w:tc>
          <w:tcPr/>
          <w:p>
            <w:pPr>
              <w:pStyle w:val="Compact"/>
              <w:jc w:val="center"/>
            </w:pPr>
            <w:r>
              <w:t xml:space="preserve">10</w:t>
            </w:r>
          </w:p>
        </w:tc>
        <w:tc>
          <w:tcPr/>
          <w:p>
            <w:pPr>
              <w:pStyle w:val="Compact"/>
              <w:jc w:val="center"/>
            </w:pPr>
            <w:r>
              <w:t xml:space="preserve">4.8m</w:t>
            </w:r>
          </w:p>
        </w:tc>
        <w:tc>
          <w:tcPr/>
          <w:p>
            <w:pPr>
              <w:pStyle w:val="Compact"/>
              <w:jc w:val="center"/>
            </w:pPr>
            <w:r>
              <w:t xml:space="preserve">8.7m</w:t>
            </w:r>
          </w:p>
        </w:tc>
      </w:tr>
      <w:tr>
        <w:tc>
          <w:tcPr/>
          <w:p>
            <w:pPr>
              <w:pStyle w:val="Compact"/>
              <w:jc w:val="center"/>
            </w:pPr>
            <w:r>
              <w:t xml:space="preserve">11</w:t>
            </w:r>
          </w:p>
        </w:tc>
        <w:tc>
          <w:tcPr/>
          <w:p>
            <w:pPr>
              <w:pStyle w:val="Compact"/>
              <w:jc w:val="center"/>
            </w:pPr>
            <w:r>
              <w:t xml:space="preserve">5.1m</w:t>
            </w:r>
          </w:p>
        </w:tc>
        <w:tc>
          <w:tcPr/>
          <w:p>
            <w:pPr>
              <w:pStyle w:val="Compact"/>
              <w:jc w:val="center"/>
            </w:pPr>
            <w:r>
              <w:t xml:space="preserve">9.0m</w:t>
            </w:r>
          </w:p>
        </w:tc>
      </w:tr>
      <w:tr>
        <w:tc>
          <w:tcPr/>
          <w:p>
            <w:pPr>
              <w:pStyle w:val="Compact"/>
              <w:jc w:val="center"/>
            </w:pPr>
            <w:r>
              <w:t xml:space="preserve">12</w:t>
            </w:r>
          </w:p>
        </w:tc>
        <w:tc>
          <w:tcPr/>
          <w:p>
            <w:pPr>
              <w:pStyle w:val="Compact"/>
              <w:jc w:val="center"/>
            </w:pPr>
            <w:r>
              <w:t xml:space="preserve">5.4m</w:t>
            </w:r>
          </w:p>
        </w:tc>
        <w:tc>
          <w:tcPr/>
          <w:p>
            <w:pPr>
              <w:pStyle w:val="Compact"/>
              <w:jc w:val="center"/>
            </w:pPr>
            <w:r>
              <w:t xml:space="preserve">9.2m</w:t>
            </w:r>
          </w:p>
        </w:tc>
      </w:tr>
      <w:tr>
        <w:tc>
          <w:tcPr/>
          <w:p>
            <w:pPr>
              <w:pStyle w:val="Compact"/>
              <w:jc w:val="center"/>
            </w:pPr>
            <w:r>
              <w:t xml:space="preserve">13</w:t>
            </w:r>
          </w:p>
        </w:tc>
        <w:tc>
          <w:tcPr/>
          <w:p>
            <w:pPr>
              <w:pStyle w:val="Compact"/>
              <w:jc w:val="center"/>
            </w:pPr>
            <w:r>
              <w:t xml:space="preserve">5.7m</w:t>
            </w:r>
          </w:p>
        </w:tc>
        <w:tc>
          <w:tcPr/>
          <w:p>
            <w:pPr>
              <w:pStyle w:val="Compact"/>
              <w:jc w:val="center"/>
            </w:pPr>
            <w:r>
              <w:t xml:space="preserve">9.5m</w:t>
            </w:r>
          </w:p>
        </w:tc>
      </w:tr>
      <w:tr>
        <w:tc>
          <w:tcPr/>
          <w:p>
            <w:pPr>
              <w:pStyle w:val="Compact"/>
              <w:jc w:val="center"/>
            </w:pPr>
            <w:r>
              <w:t xml:space="preserve">14</w:t>
            </w:r>
          </w:p>
        </w:tc>
        <w:tc>
          <w:tcPr/>
          <w:p>
            <w:pPr>
              <w:pStyle w:val="Compact"/>
              <w:jc w:val="center"/>
            </w:pPr>
            <w:r>
              <w:t xml:space="preserve">6.0m</w:t>
            </w:r>
          </w:p>
        </w:tc>
        <w:tc>
          <w:tcPr/>
          <w:p>
            <w:pPr>
              <w:pStyle w:val="Compact"/>
              <w:jc w:val="center"/>
            </w:pPr>
            <w:r>
              <w:t xml:space="preserve">9.8m</w:t>
            </w:r>
          </w:p>
        </w:tc>
      </w:tr>
      <w:tr>
        <w:tc>
          <w:tcPr/>
          <w:p>
            <w:pPr>
              <w:pStyle w:val="Compact"/>
              <w:jc w:val="center"/>
            </w:pPr>
            <w:r>
              <w:t xml:space="preserve">15</w:t>
            </w:r>
          </w:p>
        </w:tc>
        <w:tc>
          <w:tcPr/>
          <w:p>
            <w:pPr>
              <w:pStyle w:val="Compact"/>
              <w:jc w:val="center"/>
            </w:pPr>
            <w:r>
              <w:t xml:space="preserve">6.3m</w:t>
            </w:r>
          </w:p>
        </w:tc>
        <w:tc>
          <w:tcPr/>
          <w:p>
            <w:pPr>
              <w:pStyle w:val="Compact"/>
              <w:jc w:val="center"/>
            </w:pPr>
            <w:r>
              <w:t xml:space="preserve">10.1m</w:t>
            </w:r>
          </w:p>
        </w:tc>
      </w:tr>
      <w:tr>
        <w:tc>
          <w:tcPr/>
          <w:p>
            <w:pPr>
              <w:pStyle w:val="Compact"/>
              <w:jc w:val="center"/>
            </w:pPr>
            <w:r>
              <w:t xml:space="preserve">16</w:t>
            </w:r>
          </w:p>
        </w:tc>
        <w:tc>
          <w:tcPr/>
          <w:p>
            <w:pPr>
              <w:pStyle w:val="Compact"/>
              <w:jc w:val="center"/>
            </w:pPr>
            <w:r>
              <w:t xml:space="preserve">6.6m</w:t>
            </w:r>
          </w:p>
        </w:tc>
        <w:tc>
          <w:tcPr/>
          <w:p>
            <w:pPr>
              <w:pStyle w:val="Compact"/>
              <w:jc w:val="center"/>
            </w:pPr>
            <w:r>
              <w:t xml:space="preserve">10.3m</w:t>
            </w:r>
          </w:p>
        </w:tc>
      </w:tr>
      <w:tr>
        <w:tc>
          <w:tcPr/>
          <w:p>
            <w:pPr>
              <w:pStyle w:val="Compact"/>
              <w:jc w:val="center"/>
            </w:pPr>
            <w:r>
              <w:t xml:space="preserve">17</w:t>
            </w:r>
          </w:p>
        </w:tc>
        <w:tc>
          <w:tcPr/>
          <w:p>
            <w:pPr>
              <w:pStyle w:val="Compact"/>
              <w:jc w:val="center"/>
            </w:pPr>
            <w:r>
              <w:t xml:space="preserve">6.9m</w:t>
            </w:r>
          </w:p>
        </w:tc>
        <w:tc>
          <w:tcPr/>
          <w:p>
            <w:pPr>
              <w:pStyle w:val="Compact"/>
              <w:jc w:val="center"/>
            </w:pPr>
            <w:r>
              <w:t xml:space="preserve">10.6m</w:t>
            </w:r>
          </w:p>
        </w:tc>
      </w:tr>
      <w:tr>
        <w:tc>
          <w:tcPr/>
          <w:p>
            <w:pPr>
              <w:pStyle w:val="Compact"/>
              <w:jc w:val="center"/>
            </w:pPr>
            <w:r>
              <w:t xml:space="preserve">18</w:t>
            </w:r>
          </w:p>
        </w:tc>
        <w:tc>
          <w:tcPr/>
          <w:p>
            <w:pPr>
              <w:pStyle w:val="Compact"/>
              <w:jc w:val="center"/>
            </w:pPr>
            <w:r>
              <w:t xml:space="preserve">7.2m</w:t>
            </w:r>
          </w:p>
        </w:tc>
        <w:tc>
          <w:tcPr/>
          <w:p>
            <w:pPr>
              <w:pStyle w:val="Compact"/>
              <w:jc w:val="center"/>
            </w:pPr>
            <w:r>
              <w:t xml:space="preserve">10.8m</w:t>
            </w:r>
          </w:p>
        </w:tc>
      </w:tr>
      <w:tr>
        <w:tc>
          <w:tcPr/>
          <w:p>
            <w:pPr>
              <w:pStyle w:val="Compact"/>
              <w:jc w:val="center"/>
            </w:pPr>
            <w:r>
              <w:t xml:space="preserve">19</w:t>
            </w:r>
          </w:p>
        </w:tc>
        <w:tc>
          <w:tcPr/>
          <w:p>
            <w:pPr>
              <w:pStyle w:val="Compact"/>
              <w:jc w:val="center"/>
            </w:pPr>
            <w:r>
              <w:t xml:space="preserve">7.5m</w:t>
            </w:r>
          </w:p>
        </w:tc>
        <w:tc>
          <w:tcPr/>
          <w:p>
            <w:pPr>
              <w:pStyle w:val="Compact"/>
              <w:jc w:val="center"/>
            </w:pPr>
            <w:r>
              <w:t xml:space="preserve">11.1m</w:t>
            </w:r>
          </w:p>
        </w:tc>
      </w:tr>
      <w:tr>
        <w:tc>
          <w:tcPr/>
          <w:p>
            <w:pPr>
              <w:pStyle w:val="Compact"/>
              <w:jc w:val="center"/>
            </w:pPr>
            <w:r>
              <w:t xml:space="preserve">20</w:t>
            </w:r>
          </w:p>
        </w:tc>
        <w:tc>
          <w:tcPr/>
          <w:p>
            <w:pPr>
              <w:pStyle w:val="Compact"/>
              <w:jc w:val="center"/>
            </w:pPr>
            <w:r>
              <w:t xml:space="preserve">7.8m</w:t>
            </w:r>
          </w:p>
        </w:tc>
        <w:tc>
          <w:tcPr/>
          <w:p>
            <w:pPr>
              <w:pStyle w:val="Compact"/>
              <w:jc w:val="center"/>
            </w:pPr>
            <w:r>
              <w:t xml:space="preserve">11.3m</w:t>
            </w:r>
          </w:p>
        </w:tc>
      </w:tr>
      <w:tr>
        <w:tc>
          <w:tcPr/>
          <w:p>
            <w:pPr>
              <w:pStyle w:val="Compact"/>
              <w:jc w:val="center"/>
            </w:pPr>
            <w:r>
              <w:t xml:space="preserve">21</w:t>
            </w:r>
          </w:p>
        </w:tc>
        <w:tc>
          <w:tcPr/>
          <w:p>
            <w:pPr>
              <w:pStyle w:val="Compact"/>
              <w:jc w:val="center"/>
            </w:pPr>
            <w:r>
              <w:t xml:space="preserve">8.1m</w:t>
            </w:r>
          </w:p>
        </w:tc>
        <w:tc>
          <w:tcPr/>
          <w:p>
            <w:pPr>
              <w:pStyle w:val="Compact"/>
              <w:jc w:val="center"/>
            </w:pPr>
            <w:r>
              <w:t xml:space="preserve">11.6m</w:t>
            </w:r>
          </w:p>
        </w:tc>
      </w:tr>
      <w:tr>
        <w:tc>
          <w:tcPr/>
          <w:p>
            <w:pPr>
              <w:pStyle w:val="Compact"/>
              <w:jc w:val="center"/>
            </w:pPr>
            <w:r>
              <w:t xml:space="preserve">22</w:t>
            </w:r>
          </w:p>
        </w:tc>
        <w:tc>
          <w:tcPr/>
          <w:p>
            <w:pPr>
              <w:pStyle w:val="Compact"/>
              <w:jc w:val="center"/>
            </w:pPr>
            <w:r>
              <w:t xml:space="preserve">8.4m</w:t>
            </w:r>
          </w:p>
        </w:tc>
        <w:tc>
          <w:tcPr/>
          <w:p>
            <w:pPr>
              <w:pStyle w:val="Compact"/>
              <w:jc w:val="center"/>
            </w:pPr>
            <w:r>
              <w:t xml:space="preserve">11.8m</w:t>
            </w:r>
          </w:p>
        </w:tc>
      </w:tr>
      <w:tr>
        <w:tc>
          <w:tcPr/>
          <w:p>
            <w:pPr>
              <w:pStyle w:val="Compact"/>
              <w:jc w:val="center"/>
            </w:pPr>
            <w:r>
              <w:t xml:space="preserve">23</w:t>
            </w:r>
          </w:p>
        </w:tc>
        <w:tc>
          <w:tcPr/>
          <w:p>
            <w:pPr>
              <w:pStyle w:val="Compact"/>
              <w:jc w:val="center"/>
            </w:pPr>
            <w:r>
              <w:t xml:space="preserve">8.7m</w:t>
            </w:r>
          </w:p>
        </w:tc>
        <w:tc>
          <w:tcPr/>
          <w:p>
            <w:pPr>
              <w:pStyle w:val="Compact"/>
              <w:jc w:val="center"/>
            </w:pPr>
            <w:r>
              <w:t xml:space="preserve">12.1m</w:t>
            </w:r>
          </w:p>
        </w:tc>
      </w:tr>
      <w:tr>
        <w:tc>
          <w:tcPr/>
          <w:p>
            <w:pPr>
              <w:pStyle w:val="Compact"/>
              <w:jc w:val="center"/>
            </w:pPr>
            <w:r>
              <w:t xml:space="preserve">24</w:t>
            </w:r>
          </w:p>
        </w:tc>
        <w:tc>
          <w:tcPr/>
          <w:p>
            <w:pPr>
              <w:pStyle w:val="Compact"/>
              <w:jc w:val="center"/>
            </w:pPr>
            <w:r>
              <w:t xml:space="preserve">9.0m</w:t>
            </w:r>
          </w:p>
        </w:tc>
        <w:tc>
          <w:tcPr/>
          <w:p>
            <w:pPr>
              <w:pStyle w:val="Compact"/>
              <w:jc w:val="center"/>
            </w:pPr>
            <w:r>
              <w:t xml:space="preserve">12.4m</w:t>
            </w:r>
          </w:p>
        </w:tc>
      </w:tr>
      <w:tr>
        <w:tc>
          <w:tcPr/>
          <w:p>
            <w:pPr>
              <w:pStyle w:val="Compact"/>
              <w:jc w:val="center"/>
            </w:pPr>
            <w:r>
              <w:t xml:space="preserve">25</w:t>
            </w:r>
          </w:p>
        </w:tc>
        <w:tc>
          <w:tcPr/>
          <w:p>
            <w:pPr>
              <w:pStyle w:val="Compact"/>
              <w:jc w:val="center"/>
            </w:pPr>
            <w:r>
              <w:t xml:space="preserve">9.3m</w:t>
            </w:r>
          </w:p>
        </w:tc>
        <w:tc>
          <w:tcPr/>
          <w:p>
            <w:pPr>
              <w:pStyle w:val="Compact"/>
              <w:jc w:val="center"/>
            </w:pPr>
            <w:r>
              <w:t xml:space="preserve">12.7m</w:t>
            </w:r>
          </w:p>
        </w:tc>
      </w:tr>
      <w:tr>
        <w:tc>
          <w:tcPr/>
          <w:p>
            <w:pPr>
              <w:pStyle w:val="Compact"/>
              <w:jc w:val="center"/>
            </w:pPr>
            <w:r>
              <w:t xml:space="preserve">26</w:t>
            </w:r>
          </w:p>
        </w:tc>
        <w:tc>
          <w:tcPr/>
          <w:p>
            <w:pPr>
              <w:pStyle w:val="Compact"/>
              <w:jc w:val="center"/>
            </w:pPr>
            <w:r>
              <w:t xml:space="preserve">9.6m</w:t>
            </w:r>
          </w:p>
        </w:tc>
        <w:tc>
          <w:tcPr/>
          <w:p>
            <w:pPr>
              <w:pStyle w:val="Compact"/>
              <w:jc w:val="center"/>
            </w:pPr>
            <w:r>
              <w:t xml:space="preserve">12.9m</w:t>
            </w:r>
          </w:p>
        </w:tc>
      </w:tr>
      <w:tr>
        <w:tc>
          <w:tcPr/>
          <w:p>
            <w:pPr>
              <w:pStyle w:val="Compact"/>
              <w:jc w:val="center"/>
            </w:pPr>
            <w:r>
              <w:t xml:space="preserve">27</w:t>
            </w:r>
          </w:p>
        </w:tc>
        <w:tc>
          <w:tcPr/>
          <w:p>
            <w:pPr>
              <w:pStyle w:val="Compact"/>
              <w:jc w:val="center"/>
            </w:pPr>
            <w:r>
              <w:t xml:space="preserve">9.9m</w:t>
            </w:r>
          </w:p>
        </w:tc>
        <w:tc>
          <w:tcPr/>
          <w:p>
            <w:pPr>
              <w:pStyle w:val="Compact"/>
              <w:jc w:val="center"/>
            </w:pPr>
            <w:r>
              <w:t xml:space="preserve">13.2m</w:t>
            </w:r>
          </w:p>
        </w:tc>
      </w:tr>
      <w:tr>
        <w:tc>
          <w:tcPr/>
          <w:p>
            <w:pPr>
              <w:pStyle w:val="Compact"/>
              <w:jc w:val="center"/>
            </w:pPr>
            <w:r>
              <w:t xml:space="preserve">28</w:t>
            </w:r>
          </w:p>
        </w:tc>
        <w:tc>
          <w:tcPr/>
          <w:p>
            <w:pPr>
              <w:pStyle w:val="Compact"/>
              <w:jc w:val="center"/>
            </w:pPr>
            <w:r>
              <w:t xml:space="preserve">10.2m</w:t>
            </w:r>
          </w:p>
        </w:tc>
        <w:tc>
          <w:tcPr/>
          <w:p>
            <w:pPr>
              <w:pStyle w:val="Compact"/>
              <w:jc w:val="center"/>
            </w:pPr>
            <w:r>
              <w:t xml:space="preserve">13.4m</w:t>
            </w:r>
          </w:p>
        </w:tc>
      </w:tr>
      <w:tr>
        <w:tc>
          <w:tcPr/>
          <w:p>
            <w:pPr>
              <w:pStyle w:val="Compact"/>
              <w:jc w:val="center"/>
            </w:pPr>
            <w:r>
              <w:t xml:space="preserve">29</w:t>
            </w:r>
          </w:p>
        </w:tc>
        <w:tc>
          <w:tcPr/>
          <w:p>
            <w:pPr>
              <w:pStyle w:val="Compact"/>
              <w:jc w:val="center"/>
            </w:pPr>
            <w:r>
              <w:t xml:space="preserve">10.5m</w:t>
            </w:r>
          </w:p>
        </w:tc>
        <w:tc>
          <w:tcPr/>
          <w:p>
            <w:pPr>
              <w:pStyle w:val="Compact"/>
              <w:jc w:val="center"/>
            </w:pPr>
            <w:r>
              <w:t xml:space="preserve">13.7m</w:t>
            </w:r>
          </w:p>
        </w:tc>
      </w:tr>
      <w:tr>
        <w:tc>
          <w:tcPr/>
          <w:p>
            <w:pPr>
              <w:pStyle w:val="Compact"/>
              <w:jc w:val="center"/>
            </w:pPr>
            <w:r>
              <w:t xml:space="preserve">30</w:t>
            </w:r>
          </w:p>
        </w:tc>
        <w:tc>
          <w:tcPr/>
          <w:p>
            <w:pPr>
              <w:pStyle w:val="Compact"/>
              <w:jc w:val="center"/>
            </w:pPr>
            <w:r>
              <w:t xml:space="preserve">10.8m</w:t>
            </w:r>
          </w:p>
        </w:tc>
        <w:tc>
          <w:tcPr/>
          <w:p>
            <w:pPr>
              <w:pStyle w:val="Compact"/>
              <w:jc w:val="center"/>
            </w:pPr>
            <w:r>
              <w:t xml:space="preserve">14.0m</w:t>
            </w:r>
          </w:p>
        </w:tc>
      </w:tr>
      <w:tr>
        <w:tc>
          <w:tcPr/>
          <w:p>
            <w:pPr>
              <w:pStyle w:val="Compact"/>
              <w:jc w:val="center"/>
            </w:pPr>
            <w:r>
              <w:t xml:space="preserve">31</w:t>
            </w:r>
          </w:p>
        </w:tc>
        <w:tc>
          <w:tcPr/>
          <w:p>
            <w:pPr>
              <w:pStyle w:val="Compact"/>
              <w:jc w:val="center"/>
            </w:pPr>
            <w:r>
              <w:t xml:space="preserve">11.1m</w:t>
            </w:r>
          </w:p>
        </w:tc>
        <w:tc>
          <w:tcPr/>
          <w:p>
            <w:pPr>
              <w:pStyle w:val="Compact"/>
              <w:jc w:val="center"/>
            </w:pPr>
            <w:r>
              <w:t xml:space="preserve">14.2m</w:t>
            </w:r>
          </w:p>
        </w:tc>
      </w:tr>
      <w:tr>
        <w:tc>
          <w:tcPr/>
          <w:p>
            <w:pPr>
              <w:pStyle w:val="Compact"/>
              <w:jc w:val="center"/>
            </w:pPr>
            <w:r>
              <w:t xml:space="preserve">32</w:t>
            </w:r>
          </w:p>
        </w:tc>
        <w:tc>
          <w:tcPr/>
          <w:p>
            <w:pPr>
              <w:pStyle w:val="Compact"/>
              <w:jc w:val="center"/>
            </w:pPr>
            <w:r>
              <w:t xml:space="preserve">11.4m</w:t>
            </w:r>
          </w:p>
        </w:tc>
        <w:tc>
          <w:tcPr/>
          <w:p>
            <w:pPr>
              <w:pStyle w:val="Compact"/>
              <w:jc w:val="center"/>
            </w:pPr>
            <w:r>
              <w:t xml:space="preserve">14.5m</w:t>
            </w:r>
          </w:p>
        </w:tc>
      </w:tr>
      <w:tr>
        <w:tc>
          <w:tcPr/>
          <w:p>
            <w:pPr>
              <w:pStyle w:val="Compact"/>
              <w:jc w:val="center"/>
            </w:pPr>
            <w:r>
              <w:t xml:space="preserve">33</w:t>
            </w:r>
          </w:p>
        </w:tc>
        <w:tc>
          <w:tcPr/>
          <w:p>
            <w:pPr>
              <w:pStyle w:val="Compact"/>
              <w:jc w:val="center"/>
            </w:pPr>
            <w:r>
              <w:t xml:space="preserve">11.7m</w:t>
            </w:r>
          </w:p>
        </w:tc>
        <w:tc>
          <w:tcPr/>
          <w:p>
            <w:pPr>
              <w:pStyle w:val="Compact"/>
              <w:jc w:val="center"/>
            </w:pPr>
            <w:r>
              <w:t xml:space="preserve">14.7m</w:t>
            </w:r>
          </w:p>
        </w:tc>
      </w:tr>
      <w:tr>
        <w:tc>
          <w:tcPr/>
          <w:p>
            <w:pPr>
              <w:pStyle w:val="Compact"/>
              <w:jc w:val="center"/>
            </w:pPr>
            <w:r>
              <w:t xml:space="preserve">34</w:t>
            </w:r>
          </w:p>
        </w:tc>
        <w:tc>
          <w:tcPr/>
          <w:p>
            <w:pPr>
              <w:pStyle w:val="Compact"/>
              <w:jc w:val="center"/>
            </w:pPr>
            <w:r>
              <w:t xml:space="preserve">12.0m</w:t>
            </w:r>
          </w:p>
        </w:tc>
        <w:tc>
          <w:tcPr/>
          <w:p>
            <w:pPr>
              <w:pStyle w:val="Compact"/>
              <w:jc w:val="center"/>
            </w:pPr>
            <w:r>
              <w:t xml:space="preserve">15.0m</w:t>
            </w:r>
          </w:p>
        </w:tc>
      </w:tr>
      <w:tr>
        <w:tc>
          <w:tcPr/>
          <w:p>
            <w:pPr>
              <w:pStyle w:val="Compact"/>
              <w:jc w:val="center"/>
            </w:pPr>
            <w:r>
              <w:t xml:space="preserve">35</w:t>
            </w:r>
          </w:p>
        </w:tc>
        <w:tc>
          <w:tcPr/>
          <w:p>
            <w:pPr>
              <w:pStyle w:val="Compact"/>
              <w:jc w:val="center"/>
            </w:pPr>
            <w:r>
              <w:t xml:space="preserve">12.3m</w:t>
            </w:r>
          </w:p>
        </w:tc>
        <w:tc>
          <w:tcPr/>
          <w:p>
            <w:pPr>
              <w:pStyle w:val="Compact"/>
              <w:jc w:val="center"/>
            </w:pPr>
            <w:r>
              <w:t xml:space="preserve">15.2m</w:t>
            </w:r>
          </w:p>
        </w:tc>
      </w:tr>
      <w:tr>
        <w:tc>
          <w:tcPr/>
          <w:p>
            <w:pPr>
              <w:pStyle w:val="Compact"/>
              <w:jc w:val="center"/>
            </w:pPr>
            <w:r>
              <w:t xml:space="preserve">36 and above</w:t>
            </w:r>
          </w:p>
        </w:tc>
        <w:tc>
          <w:tcPr/>
          <w:p>
            <w:pPr>
              <w:pStyle w:val="Compact"/>
              <w:jc w:val="center"/>
            </w:pPr>
            <w:r>
              <w:t xml:space="preserve">12.6m</w:t>
            </w:r>
          </w:p>
        </w:tc>
        <w:tc>
          <w:tcPr/>
          <w:p>
            <w:pPr>
              <w:pStyle w:val="Compact"/>
              <w:jc w:val="center"/>
            </w:pPr>
            <w:r>
              <w:t xml:space="preserve">15.5m</w:t>
            </w:r>
          </w:p>
        </w:tc>
      </w:tr>
      <w:tr>
        <w:tc>
          <w:tcPr>
            <w:gridSpan w:val="3"/>
          </w:tcPr>
          <w:p>
            <w:pPr>
              <w:pStyle w:val="Compact"/>
              <w:jc w:val="center"/>
            </w:pPr>
            <w:r>
              <w:rPr>
                <w:b/>
                <w:bCs/>
                <w:i/>
                <w:iCs/>
              </w:rPr>
              <w:t xml:space="preserve">Note</w:t>
            </w:r>
            <w:r>
              <w:rPr>
                <w:i/>
                <w:iCs/>
              </w:rPr>
              <w:t xml:space="preserve">: A 2m-wide (minimum) planting strip is to be provided along all common boundaries of the development site.</w:t>
            </w:r>
          </w:p>
        </w:tc>
      </w:tr>
    </w:tbl>
    <w:p>
      <w:pPr>
        <w:pStyle w:val="BodyText"/>
      </w:pPr>
      <w:r>
        <w:br/>
      </w:r>
    </w:p>
    <w:bookmarkStart w:id="30" w:name="Table-21"/>
    <w:bookmarkEnd w:id="30"/>
    <w:bookmarkEnd w:id="31"/>
    <w:p>
      <w:pPr>
        <w:pStyle w:val="BodyText"/>
      </w:pPr>
      <w:hyperlink w:anchor="Table-3"/>
    </w:p>
    <w:p>
      <w:pPr>
        <w:pStyle w:val="BodyText"/>
      </w:pPr>
      <w:r>
        <w:t xml:space="preserve">Table 3: Setback of Flats and Condominiums from Good Class Bungalow Areas (GCBA)</w:t>
      </w:r>
    </w:p>
    <w:bookmarkStart w:id="33" w:name="Table-3"/>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Storey Height</w:t>
            </w:r>
          </w:p>
        </w:tc>
        <w:tc>
          <w:tcPr/>
          <w:p>
            <w:pPr>
              <w:pStyle w:val="Compact"/>
              <w:jc w:val="left"/>
            </w:pPr>
            <w:r>
              <w:rPr>
                <w:b/>
                <w:bCs/>
              </w:rPr>
              <w:t xml:space="preserve">Minimum Setback from GCBA Boundary</w:t>
            </w:r>
          </w:p>
        </w:tc>
      </w:tr>
      <w:tr>
        <w:tc>
          <w:tcPr/>
          <w:p>
            <w:pPr>
              <w:pStyle w:val="Compact"/>
              <w:jc w:val="left"/>
            </w:pPr>
            <w:r>
              <w:t xml:space="preserve">1-2 storeys* </w:t>
            </w:r>
          </w:p>
        </w:tc>
        <w:tc>
          <w:tcPr/>
          <w:p>
            <w:pPr>
              <w:pStyle w:val="Compact"/>
              <w:jc w:val="left"/>
            </w:pPr>
            <w:r>
              <w:t xml:space="preserve">3m or Road buffer requirement (if fronting road)</w:t>
            </w:r>
          </w:p>
        </w:tc>
      </w:tr>
      <w:tr>
        <w:tc>
          <w:tcPr/>
          <w:p>
            <w:pPr>
              <w:pStyle w:val="Compact"/>
              <w:jc w:val="left"/>
            </w:pPr>
            <w:r>
              <w:t xml:space="preserve">3-5 storeys</w:t>
            </w:r>
          </w:p>
        </w:tc>
        <w:tc>
          <w:tcPr/>
          <w:p>
            <w:pPr>
              <w:pStyle w:val="Compact"/>
              <w:jc w:val="left"/>
            </w:pPr>
            <w:r>
              <w:t xml:space="preserve">25m</w:t>
            </w:r>
          </w:p>
        </w:tc>
      </w:tr>
      <w:tr>
        <w:tc>
          <w:tcPr/>
          <w:p>
            <w:pPr>
              <w:pStyle w:val="Compact"/>
              <w:jc w:val="left"/>
            </w:pPr>
            <w:r>
              <w:t xml:space="preserve">6-35 storeys</w:t>
            </w:r>
          </w:p>
        </w:tc>
        <w:tc>
          <w:tcPr/>
          <w:p>
            <w:pPr>
              <w:pStyle w:val="Compact"/>
              <w:jc w:val="left"/>
            </w:pPr>
            <w:r>
              <w:t xml:space="preserve">Setback is increased by 1m beyond 25m for each storey height. For example:</w:t>
            </w:r>
            <w:r>
              <w:br/>
            </w:r>
            <w:r>
              <w:br/>
            </w:r>
            <w:r>
              <w:t xml:space="preserve">a 6 storey flat shall set back 26m;</w:t>
            </w:r>
            <w:r>
              <w:br/>
            </w:r>
            <w:r>
              <w:br/>
            </w:r>
            <w:r>
              <w:t xml:space="preserve">a 7 storey flat shall be set back 27m;</w:t>
            </w:r>
            <w:r>
              <w:br/>
            </w:r>
            <w:r>
              <w:br/>
            </w:r>
            <w:r>
              <w:t xml:space="preserve">and so on</w:t>
            </w:r>
          </w:p>
        </w:tc>
      </w:tr>
      <w:tr>
        <w:tc>
          <w:tcPr/>
          <w:p>
            <w:pPr>
              <w:pStyle w:val="Compact"/>
              <w:jc w:val="left"/>
            </w:pPr>
            <w:r>
              <w:t xml:space="preserve">36 storeys and above</w:t>
            </w:r>
          </w:p>
        </w:tc>
        <w:tc>
          <w:tcPr/>
          <w:p>
            <w:pPr>
              <w:pStyle w:val="Compact"/>
              <w:jc w:val="left"/>
            </w:pPr>
            <w:r>
              <w:t xml:space="preserve">56m</w:t>
            </w:r>
          </w:p>
        </w:tc>
      </w:tr>
      <w:tr>
        <w:tc>
          <w:tcPr>
            <w:gridSpan w:val="2"/>
          </w:tcPr>
          <w:p>
            <w:pPr>
              <w:pStyle w:val="Compact"/>
              <w:jc w:val="left"/>
            </w:pPr>
            <w:r>
              <w:rPr>
                <w:b/>
                <w:bCs/>
                <w:i/>
                <w:iCs/>
              </w:rPr>
              <w:t xml:space="preserve">Note:</w:t>
            </w:r>
            <w:r>
              <w:rPr>
                <w:i/>
                <w:iCs/>
              </w:rPr>
              <w:t xml:space="preserve"> </w:t>
            </w:r>
            <w:r>
              <w:rPr>
                <w:i/>
                <w:iCs/>
              </w:rPr>
              <w:t xml:space="preserve">A 2m-wide (minimum) planting strip is to be provided along all common boundaries of the development site.</w:t>
            </w:r>
          </w:p>
        </w:tc>
      </w:tr>
    </w:tbl>
    <w:p>
      <w:pPr>
        <w:pStyle w:val="BodyText"/>
      </w:pPr>
      <w:r>
        <w:t xml:space="preserve">*</w:t>
      </w:r>
      <w:r>
        <w:t xml:space="preserve">Roof terrace(s), if proposed, shall be orientated to face away from the GCBA</w:t>
      </w:r>
    </w:p>
    <w:bookmarkStart w:id="32" w:name="Table-31"/>
    <w:bookmarkEnd w:id="32"/>
    <w:bookmarkEnd w:id="33"/>
    <w:p>
      <w:pPr>
        <w:pStyle w:val="BodyText"/>
      </w:pPr>
      <w:hyperlink w:anchor="Table-4"/>
    </w:p>
    <w:p>
      <w:pPr>
        <w:pStyle w:val="BodyText"/>
      </w:pPr>
      <w:r>
        <w:t xml:space="preserve">Table 4: Building Setback for Multi-Storey Car Parks (MSCP)</w:t>
      </w:r>
    </w:p>
    <w:bookmarkStart w:id="39" w:name="Table-4"/>
    <w:bookmarkStart w:id="38" w:name="Table-41"/>
    <w:p>
      <w:pPr>
        <w:pStyle w:val="BodyText"/>
      </w:pPr>
      <w:hyperlink w:anchor="Road"/>
    </w:p>
    <w:bookmarkStart w:id="34" w:name="setback-from-road"/>
    <w:p>
      <w:pPr>
        <w:pStyle w:val="Heading4"/>
      </w:pPr>
      <w:r>
        <w:t xml:space="preserve">Setback from Road</w:t>
      </w:r>
    </w:p>
    <w:bookmarkEnd w:id="34"/>
    <w:bookmarkStart w:id="35" w:name="Road"/>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Road Category</w:t>
            </w:r>
          </w:p>
        </w:tc>
        <w:tc>
          <w:tcPr/>
          <w:p>
            <w:pPr>
              <w:pStyle w:val="Compact"/>
              <w:jc w:val="center"/>
            </w:pPr>
            <w:r>
              <w:rPr>
                <w:b/>
                <w:bCs/>
              </w:rPr>
              <w:t xml:space="preserve">Setback from Road for all MSCPs</w:t>
            </w:r>
            <w:r>
              <w:br/>
            </w:r>
            <w:r>
              <w:rPr>
                <w:b/>
                <w:bCs/>
              </w:rPr>
              <w:t xml:space="preserve">(inclusive of Green Buffer indicated in brackets)</w:t>
            </w:r>
          </w:p>
        </w:tc>
      </w:tr>
      <w:tr>
        <w:tc>
          <w:tcPr/>
          <w:p>
            <w:pPr>
              <w:pStyle w:val="Compact"/>
              <w:jc w:val="center"/>
            </w:pPr>
            <w:r>
              <w:t xml:space="preserve">Category 1</w:t>
            </w:r>
          </w:p>
        </w:tc>
        <w:tc>
          <w:tcPr/>
          <w:p>
            <w:pPr>
              <w:pStyle w:val="Compact"/>
              <w:jc w:val="center"/>
            </w:pPr>
            <w:r>
              <w:t xml:space="preserve">15m</w:t>
            </w:r>
            <w:r>
              <w:br/>
            </w:r>
            <w:r>
              <w:t xml:space="preserve">(5m)</w:t>
            </w:r>
          </w:p>
        </w:tc>
      </w:tr>
      <w:tr>
        <w:tc>
          <w:tcPr/>
          <w:p>
            <w:pPr>
              <w:pStyle w:val="Compact"/>
              <w:jc w:val="center"/>
            </w:pPr>
            <w:r>
              <w:t xml:space="preserve">Category 2</w:t>
            </w:r>
          </w:p>
        </w:tc>
        <w:tc>
          <w:tcPr/>
          <w:p>
            <w:pPr>
              <w:pStyle w:val="Compact"/>
              <w:jc w:val="center"/>
            </w:pPr>
            <w:r>
              <w:t xml:space="preserve">7.5m</w:t>
            </w:r>
            <w:r>
              <w:br/>
            </w:r>
            <w:r>
              <w:t xml:space="preserve">(5m)</w:t>
            </w:r>
          </w:p>
        </w:tc>
      </w:tr>
      <w:tr>
        <w:tc>
          <w:tcPr/>
          <w:p>
            <w:pPr>
              <w:pStyle w:val="Compact"/>
              <w:jc w:val="center"/>
            </w:pPr>
            <w:r>
              <w:t xml:space="preserve">Category 3 – 5 and Slip Road</w:t>
            </w:r>
          </w:p>
        </w:tc>
        <w:tc>
          <w:tcPr/>
          <w:p>
            <w:pPr>
              <w:pStyle w:val="Compact"/>
              <w:jc w:val="center"/>
            </w:pPr>
            <w:r>
              <w:t xml:space="preserve">Refer to note below</w:t>
            </w:r>
            <w:r>
              <w:br/>
            </w:r>
            <w:r>
              <w:t xml:space="preserve">(3m)</w:t>
            </w:r>
          </w:p>
        </w:tc>
      </w:tr>
      <w:tr>
        <w:tc>
          <w:tcPr>
            <w:gridSpan w:val="2"/>
          </w:tcPr>
          <w:p>
            <w:pPr>
              <w:pStyle w:val="Compact"/>
              <w:jc w:val="center"/>
            </w:pPr>
            <w:r>
              <w:rPr>
                <w:b/>
                <w:bCs/>
                <w:i/>
                <w:iCs/>
              </w:rPr>
              <w:t xml:space="preserve">Note</w:t>
            </w:r>
            <w:r>
              <w:rPr>
                <w:i/>
                <w:iCs/>
              </w:rPr>
              <w:t xml:space="preserve">: The road buffer for MSCPs facing a Category 3-5 road and slip road is based on the predominant use of the development. This is to achieve a consistent streetscape along these smaller roads.</w:t>
            </w:r>
          </w:p>
        </w:tc>
      </w:tr>
    </w:tbl>
    <w:p>
      <w:pPr>
        <w:pStyle w:val="BodyText"/>
      </w:pPr>
      <w:r>
        <w:br/>
      </w:r>
    </w:p>
    <w:bookmarkEnd w:id="35"/>
    <w:p>
      <w:pPr>
        <w:pStyle w:val="BodyText"/>
      </w:pPr>
      <w:hyperlink w:anchor="Common-Boundaries"/>
    </w:p>
    <w:bookmarkStart w:id="36" w:name="setback-from-common-boundaries"/>
    <w:p>
      <w:pPr>
        <w:pStyle w:val="Heading4"/>
      </w:pPr>
      <w:r>
        <w:t xml:space="preserve">Setback from Common Boundaries</w:t>
      </w:r>
    </w:p>
    <w:bookmarkEnd w:id="36"/>
    <w:bookmarkStart w:id="37" w:name="Common-Boundaries"/>
    <w:tbl>
      <w:tblPr>
        <w:tblStyle w:val="Table"/>
        <w:tblW w:type="auto" w:w="0"/>
        <w:tblLook w:firstRow="0" w:lastRow="0" w:firstColumn="0" w:lastColumn="0" w:noHBand="0" w:noVBand="0" w:val="0000"/>
      </w:tblPr>
      <w:tblGrid>
        <w:gridCol w:w="3960"/>
        <w:gridCol w:w="3960"/>
      </w:tblGrid>
      <w:tr>
        <w:tc>
          <w:tcPr/>
          <w:p>
            <w:pPr>
              <w:pStyle w:val="Compact"/>
              <w:jc w:val="center"/>
            </w:pPr>
            <w:r>
              <w:rPr>
                <w:b/>
                <w:bCs/>
              </w:rPr>
              <w:t xml:space="preserve">Multi-Storey Car Parks</w:t>
            </w:r>
          </w:p>
        </w:tc>
        <w:tc>
          <w:tcPr/>
          <w:p>
            <w:pPr>
              <w:pStyle w:val="Compact"/>
              <w:jc w:val="center"/>
            </w:pPr>
            <w:r>
              <w:rPr>
                <w:b/>
                <w:bCs/>
              </w:rPr>
              <w:t xml:space="preserve">Setback from Common Boundaries</w:t>
            </w:r>
          </w:p>
        </w:tc>
      </w:tr>
      <w:tr>
        <w:tc>
          <w:tcPr/>
          <w:p>
            <w:pPr>
              <w:pStyle w:val="Compact"/>
              <w:jc w:val="center"/>
            </w:pPr>
            <w:r>
              <w:t xml:space="preserve">MSCP façade with openings</w:t>
            </w:r>
          </w:p>
        </w:tc>
        <w:tc>
          <w:tcPr/>
          <w:p>
            <w:pPr>
              <w:pStyle w:val="Compact"/>
              <w:jc w:val="center"/>
            </w:pPr>
            <w:r>
              <w:t xml:space="preserve">6m (minimum)</w:t>
            </w:r>
          </w:p>
        </w:tc>
      </w:tr>
      <w:tr>
        <w:tc>
          <w:tcPr/>
          <w:p>
            <w:pPr>
              <w:pStyle w:val="Compact"/>
              <w:jc w:val="center"/>
            </w:pPr>
            <w:r>
              <w:t xml:space="preserve">MSCP façade with no openings</w:t>
            </w:r>
          </w:p>
        </w:tc>
        <w:tc>
          <w:tcPr>
            <w:vMerge w:val="restart"/>
          </w:tcPr>
          <w:p>
            <w:pPr>
              <w:pStyle w:val="Compact"/>
              <w:jc w:val="center"/>
            </w:pPr>
            <w:r>
              <w:t xml:space="preserve">4.5m (minimum)</w:t>
            </w:r>
          </w:p>
        </w:tc>
      </w:tr>
      <w:tr>
        <w:tc>
          <w:tcPr/>
          <w:p>
            <w:pPr>
              <w:pStyle w:val="Compact"/>
              <w:jc w:val="center"/>
            </w:pPr>
            <w:r>
              <w:t xml:space="preserve">MSCP facade fronting open areas (ie open space, drainage reserve more than 6m in width)</w:t>
            </w:r>
          </w:p>
        </w:tc>
        <w:tc>
          <w:tcPr>
            <w:gridSpan w:val="1"/>
            <w:vMerge w:val="continue"/>
          </w:tcPr>
          <w:p>
            <w:pPr/>
          </w:p>
        </w:tc>
      </w:tr>
    </w:tbl>
    <w:p>
      <w:pPr>
        <w:pStyle w:val="BodyText"/>
      </w:pPr>
      <w:r>
        <w:br/>
      </w:r>
    </w:p>
    <w:bookmarkEnd w:id="37"/>
    <w:bookmarkEnd w:id="38"/>
    <w:bookmarkEnd w:id="39"/>
    <w:p>
      <w:pPr>
        <w:pStyle w:val="BodyText"/>
      </w:pPr>
      <w:hyperlink w:anchor="Table-5"/>
    </w:p>
    <w:p>
      <w:pPr>
        <w:pStyle w:val="BodyText"/>
      </w:pPr>
      <w:r>
        <w:t xml:space="preserve">Table 5: Setback for Building Appendages</w:t>
      </w:r>
    </w:p>
    <w:bookmarkStart w:id="41" w:name="Table-5"/>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Building Feature</w:t>
            </w:r>
          </w:p>
        </w:tc>
        <w:tc>
          <w:tcPr/>
          <w:p>
            <w:pPr>
              <w:pStyle w:val="Compact"/>
              <w:jc w:val="center"/>
            </w:pPr>
            <w:r>
              <w:rPr>
                <w:b/>
                <w:bCs/>
              </w:rPr>
              <w:t xml:space="preserve">Within Road Buffer</w:t>
            </w:r>
          </w:p>
        </w:tc>
        <w:tc>
          <w:tcPr/>
          <w:p>
            <w:pPr>
              <w:pStyle w:val="Compact"/>
              <w:jc w:val="center"/>
            </w:pPr>
            <w:r>
              <w:rPr>
                <w:b/>
                <w:bCs/>
              </w:rPr>
              <w:t xml:space="preserve">Within Setback from Common Boundaries</w:t>
            </w:r>
          </w:p>
        </w:tc>
      </w:tr>
      <w:tr>
        <w:tc>
          <w:tcPr/>
          <w:p>
            <w:pPr>
              <w:pStyle w:val="Compact"/>
              <w:jc w:val="left"/>
            </w:pPr>
            <w:r>
              <w:t xml:space="preserve">Main building roof eaves</w:t>
            </w:r>
          </w:p>
        </w:tc>
        <w:tc>
          <w:tcPr>
            <w:vMerge w:val="restart"/>
          </w:tcPr>
          <w:p>
            <w:pPr>
              <w:pStyle w:val="Compact"/>
              <w:jc w:val="center"/>
            </w:pPr>
            <w:r>
              <w:t xml:space="preserve">Allowed, provided it is not within green buffer</w:t>
            </w:r>
          </w:p>
        </w:tc>
        <w:tc>
          <w:tcPr>
            <w:vMerge w:val="restart"/>
          </w:tcPr>
          <w:p>
            <w:pPr>
              <w:pStyle w:val="Compact"/>
              <w:jc w:val="center"/>
            </w:pPr>
            <w:r>
              <w:t xml:space="preserve">Allowed, provided it is not within the 2.0m planting strip</w:t>
            </w:r>
            <w:r>
              <w:br/>
            </w:r>
            <w:r>
              <w:t xml:space="preserve">(to allow sunlight and rain to reach the plants)</w:t>
            </w:r>
          </w:p>
        </w:tc>
      </w:tr>
      <w:tr>
        <w:tc>
          <w:tcPr/>
          <w:p>
            <w:pPr>
              <w:pStyle w:val="Compact"/>
              <w:jc w:val="left"/>
            </w:pPr>
            <w:r>
              <w:t xml:space="preserve">Secondary building roof eaves &amp; RC ledges</w:t>
            </w:r>
            <w:r>
              <w:br/>
            </w:r>
            <w:r>
              <w:t xml:space="preserve">(cantilevered)</w:t>
            </w:r>
          </w:p>
        </w:tc>
        <w:tc>
          <w:tcPr>
            <w:gridSpan w:val="1"/>
            <w:vMerge w:val="continue"/>
          </w:tcPr>
          <w:p>
            <w:pPr/>
          </w:p>
        </w:tc>
        <w:tc>
          <w:tcPr>
            <w:gridSpan w:val="1"/>
            <w:vMerge w:val="continue"/>
          </w:tcPr>
          <w:p>
            <w:pPr/>
          </w:p>
        </w:tc>
      </w:tr>
      <w:tr>
        <w:tc>
          <w:tcPr/>
          <w:p>
            <w:pPr>
              <w:pStyle w:val="Compact"/>
              <w:jc w:val="left"/>
            </w:pPr>
            <w:r>
              <w:t xml:space="preserve">Bay windows</w:t>
            </w:r>
            <w:r>
              <w:br/>
            </w:r>
            <w:r>
              <w:t xml:space="preserve">(raised windows, not exceeding one structural bay width and cantilevered at least 0.5m high from the floor)</w:t>
            </w:r>
          </w:p>
        </w:tc>
        <w:tc>
          <w:tcPr>
            <w:vMerge w:val="restart"/>
          </w:tcPr>
          <w:p>
            <w:pPr>
              <w:pStyle w:val="Compact"/>
              <w:jc w:val="center"/>
            </w:pPr>
            <w:r>
              <w:t xml:space="preserve">Allowed to protrude 0.5m into road buffer</w:t>
            </w:r>
          </w:p>
        </w:tc>
        <w:tc>
          <w:tcPr>
            <w:vMerge w:val="restart"/>
          </w:tcPr>
          <w:p>
            <w:pPr>
              <w:pStyle w:val="Compact"/>
              <w:jc w:val="center"/>
            </w:pPr>
            <w:r>
              <w:t xml:space="preserve">Allowed to protrude 0.5m into setback from common boundary</w:t>
            </w:r>
          </w:p>
        </w:tc>
      </w:tr>
      <w:tr>
        <w:tc>
          <w:tcPr/>
          <w:p>
            <w:pPr>
              <w:pStyle w:val="Compact"/>
              <w:jc w:val="left"/>
            </w:pPr>
            <w:r>
              <w:t xml:space="preserve">Planters</w:t>
            </w:r>
            <w:r>
              <w:br/>
            </w:r>
            <w:r>
              <w:t xml:space="preserve">(cantilevered box structures for planting purposes)</w:t>
            </w:r>
          </w:p>
        </w:tc>
        <w:tc>
          <w:tcPr>
            <w:gridSpan w:val="1"/>
            <w:vMerge w:val="continue"/>
          </w:tcPr>
          <w:p>
            <w:pPr/>
          </w:p>
        </w:tc>
        <w:tc>
          <w:tcPr>
            <w:gridSpan w:val="1"/>
            <w:vMerge w:val="continue"/>
          </w:tcPr>
          <w:p>
            <w:pPr/>
          </w:p>
        </w:tc>
      </w:tr>
      <w:tr>
        <w:tc>
          <w:tcPr/>
          <w:p>
            <w:pPr>
              <w:pStyle w:val="Compact"/>
              <w:jc w:val="left"/>
            </w:pPr>
            <w:r>
              <w:t xml:space="preserve">Air-conditioner ledges</w:t>
            </w:r>
          </w:p>
        </w:tc>
        <w:tc>
          <w:tcPr>
            <w:gridSpan w:val="1"/>
            <w:vMerge w:val="continue"/>
          </w:tcPr>
          <w:p>
            <w:pPr/>
          </w:p>
        </w:tc>
        <w:tc>
          <w:tcPr>
            <w:gridSpan w:val="1"/>
            <w:vMerge w:val="continue"/>
          </w:tcPr>
          <w:p>
            <w:pPr/>
          </w:p>
        </w:tc>
      </w:tr>
      <w:tr>
        <w:tc>
          <w:tcPr/>
          <w:p>
            <w:pPr>
              <w:pStyle w:val="Compact"/>
              <w:jc w:val="left"/>
            </w:pPr>
            <w:r>
              <w:t xml:space="preserve">Other horizontal sun-shading devices, fins or any other decorative features</w:t>
            </w:r>
            <w:r>
              <w:br/>
            </w:r>
            <w:r>
              <w:t xml:space="preserve">(includes light weight cantilevered screens spaced apart for sun-shading purpose without vertical supports)</w:t>
            </w:r>
          </w:p>
        </w:tc>
        <w:tc>
          <w:tcPr>
            <w:gridSpan w:val="1"/>
            <w:vMerge w:val="continue"/>
          </w:tcPr>
          <w:p>
            <w:pPr/>
          </w:p>
        </w:tc>
        <w:tc>
          <w:tcPr>
            <w:gridSpan w:val="1"/>
            <w:vMerge w:val="continue"/>
          </w:tcPr>
          <w:p>
            <w:pPr/>
          </w:p>
        </w:tc>
      </w:tr>
    </w:tbl>
    <w:p>
      <w:pPr>
        <w:pStyle w:val="BodyText"/>
      </w:pPr>
      <w:r>
        <w:br/>
      </w:r>
    </w:p>
    <w:bookmarkStart w:id="40" w:name="Table-51"/>
    <w:bookmarkEnd w:id="40"/>
    <w:bookmarkEnd w:id="41"/>
    <w:p>
      <w:r>
        <w:pict>
          <v:rect style="width:0;height:1.5pt" o:hralign="center" o:hrstd="t" o:hr="t"/>
        </w:pict>
      </w:r>
    </w:p>
    <w:p>
      <w:pPr>
        <w:pStyle w:val="FirstParagraph"/>
      </w:pPr>
      <w:r>
        <w:rPr>
          <w:i/>
          <w:iCs/>
        </w:rPr>
        <w:t xml:space="preserve">Last updated on 15 Feb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4" Target="/-/media/Corporate/Guidelines/Development-control/Flats-Condominiums/Central_Area_Map.pdf" TargetMode="External" /><Relationship Type="http://schemas.openxmlformats.org/officeDocument/2006/relationships/hyperlink" Id="rId23" Target="/Corporate/Guidelines/Development-Control/Residential/Flats-Condominiums/Street-Block-Plans" TargetMode="External" /></Relationships>
</file>

<file path=word/_rels/footnotes.xml.rels><?xml version="1.0" encoding="UTF-8"?><Relationships xmlns="http://schemas.openxmlformats.org/package/2006/relationships"><Relationship Type="http://schemas.openxmlformats.org/officeDocument/2006/relationships/hyperlink" Id="rId24" Target="/-/media/Corporate/Guidelines/Development-control/Flats-Condominiums/Central_Area_Map.pdf" TargetMode="External" /><Relationship Type="http://schemas.openxmlformats.org/officeDocument/2006/relationships/hyperlink" Id="rId23" Target="/Corporate/Guidelines/Development-Control/Residential/Flats-Condominiums/Street-Block-Pla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2024-05-23T00:52:24Z</dcterms:created>
  <dcterms:modified xsi:type="dcterms:W3CDTF">2024-05-23T00:52:24Z</dcterms:modified>
</cp:coreProperties>
</file>

<file path=docProps/custom.xml><?xml version="1.0" encoding="utf-8"?>
<Properties xmlns="http://schemas.openxmlformats.org/officeDocument/2006/custom-properties" xmlns:vt="http://schemas.openxmlformats.org/officeDocument/2006/docPropsVTypes"/>
</file>