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trata-subdivision"/>
    <w:p>
      <w:pPr>
        <w:pStyle w:val="Heading3"/>
      </w:pPr>
      <w:r>
        <w:t xml:space="preserve">Strata Subdivision</w:t>
      </w:r>
    </w:p>
    <w:p>
      <w:pPr>
        <w:pStyle w:val="FirstParagraph"/>
      </w:pPr>
      <w:r>
        <w:t xml:space="preserve">Only residential units may be strata sub-divided. Common areas (including the management corporation office, if applicable) shall not be strata subdivided into a separate strata unit.</w:t>
      </w:r>
    </w:p>
    <w:p>
      <w:pPr>
        <w:pStyle w:val="BodyText"/>
      </w:pPr>
      <w:r>
        <w:t xml:space="preserve">Strata subdivision of Serviced Apartments is not allowed.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2024-05-23T03:20:51Z</dcterms:created>
  <dcterms:modified xsi:type="dcterms:W3CDTF">2024-05-23T03:20:51Z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