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8" w:name="Submission"/>
    <w:p>
      <w:pPr>
        <w:pStyle w:val="BodyText"/>
      </w:pPr>
      <w:r>
        <w:t xml:space="preserve">Flats and condominiums with more than 700 DUs are required to provide a WCP as part of their Development Application. For HDB housing developments with more than 1,000 DUs, LTA and URA will work with HDB on the WCP requirements.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6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7" w:name="Submission1"/>
    <w:bookmarkEnd w:id="27"/>
    <w:bookmarkEnd w:id="28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2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</w:t>
      </w:r>
      <w:r>
        <w:t xml:space="preserve"> </w:t>
      </w:r>
      <w:hyperlink r:id="rId29">
        <w:r>
          <w:rPr>
            <w:rStyle w:val="Hyperlink"/>
          </w:rPr>
          <w:t xml:space="preserve">LTA’s Code of Practice 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31" w:name="Design1"/>
    <w:bookmarkEnd w:id="31"/>
    <w:bookmarkEnd w:id="3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2024-05-23T00:52:25Z</dcterms:created>
  <dcterms:modified xsi:type="dcterms:W3CDTF">2024-05-23T00:52:25Z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