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semi-detached-house"/>
    <w:p>
      <w:pPr>
        <w:pStyle w:val="Heading3"/>
      </w:pPr>
      <w:r>
        <w:t xml:space="preserve">Redeveloping to a Semi-Detached House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A corner terrace house plot may be redeveloped into a new pair of semi-detached houses, provided:</w:t>
      </w:r>
    </w:p>
    <w:p>
      <w:pPr>
        <w:pStyle w:val="Compact"/>
        <w:numPr>
          <w:ilvl w:val="0"/>
          <w:numId w:val="1001"/>
        </w:numPr>
      </w:pPr>
      <w:r>
        <w:t xml:space="preserve">It can comply with the minimum plot width and size, and</w:t>
      </w:r>
    </w:p>
    <w:p>
      <w:pPr>
        <w:pStyle w:val="Compact"/>
        <w:numPr>
          <w:ilvl w:val="0"/>
          <w:numId w:val="1001"/>
        </w:numPr>
      </w:pPr>
      <w:r>
        <w:t xml:space="preserve">The adjoining terrace plot has 8m plot width and 200sqm plot size.</w:t>
      </w:r>
    </w:p>
    <w:p>
      <w:pPr>
        <w:pStyle w:val="FirstParagraph"/>
      </w:pPr>
      <w:r>
        <w:t xml:space="preserve">Any unit in a row of intermediate terrace houses may be redeveloped to a semi-detached house provided:</w:t>
      </w:r>
    </w:p>
    <w:p>
      <w:pPr>
        <w:pStyle w:val="Compact"/>
        <w:numPr>
          <w:ilvl w:val="0"/>
          <w:numId w:val="1002"/>
        </w:numPr>
      </w:pPr>
      <w:r>
        <w:t xml:space="preserve">The plot size and width are sufficient to allow the change, and</w:t>
      </w:r>
    </w:p>
    <w:p>
      <w:pPr>
        <w:pStyle w:val="Compact"/>
        <w:numPr>
          <w:ilvl w:val="0"/>
          <w:numId w:val="1002"/>
        </w:numPr>
      </w:pPr>
      <w:r>
        <w:t xml:space="preserve">The adjacent affected unit that the subject unit is detaching from, may be rebuilt into a corner terrace unit in the future (ie has a minimum plot size of 200sqm and width of 8m).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24" w:name="Party-Walls"/>
    <w:p>
      <w:pPr>
        <w:pStyle w:val="BodyText"/>
      </w:pPr>
      <w:r>
        <w:t xml:space="preserve">The creation of a new blank party wall at the common boundary for a new house is generally not allowed.</w:t>
      </w:r>
    </w:p>
    <w:p>
      <w:pPr>
        <w:pStyle w:val="BodyText"/>
      </w:pPr>
      <w:r>
        <w:t xml:space="preserve">For all redevelopments involving detachment 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3"/>
        </w:numPr>
      </w:pPr>
      <w:r>
        <w:t xml:space="preserve">Submit to the Building and Construction Authority, an engineer’s certification of the structural stability of the remaining unit;</w:t>
      </w:r>
    </w:p>
    <w:p>
      <w:pPr>
        <w:pStyle w:val="Compact"/>
        <w:numPr>
          <w:ilvl w:val="0"/>
          <w:numId w:val="1003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3"/>
        </w:numPr>
      </w:pPr>
      <w:r>
        <w:t xml:space="preserve">Allow the adjacent owner access to the site to maintain or repair the roof and the exposed blank wall of the remaining semi-detached house or terrace house. This shall not be required if part of the party wall within the subject site is retained.</w:t>
      </w:r>
    </w:p>
    <w:p>
      <w:pPr>
        <w:pStyle w:val="FirstParagraph"/>
      </w:pPr>
      <w:r>
        <w:t xml:space="preserve">After the adjoining semi-detached house is redeveloped, the remaining semi-detached unit may remain as approved.</w:t>
      </w:r>
    </w:p>
    <w:bookmarkStart w:id="23" w:name="Party-Walls1"/>
    <w:bookmarkEnd w:id="23"/>
    <w:bookmarkEnd w:id="24"/>
    <w:bookmarkStart w:id="26" w:name="column_0_right_2_txtTitle"/>
    <w:bookmarkStart w:id="25" w:name="illustrated-examples"/>
    <w:p>
      <w:pPr>
        <w:pStyle w:val="Heading3"/>
      </w:pPr>
      <w:r>
        <w:t xml:space="preserve">Illustrated Examples</w:t>
      </w:r>
    </w:p>
    <w:bookmarkEnd w:id="25"/>
    <w:bookmarkEnd w:id="26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35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https://www.ura.gov.sg/-/media/Corporate/Guidelines/Development-control/Redevelopment/LH_Fig171_Redevelopment_A1_NA.jpg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https://www.ura.gov.sg/-/media/Corporate/Guidelines/Development-control/Redevelopment/LH_Fig171_Redevelopment_A2_A.jpg?h=876&amp;w=2201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https://www.ura.gov.sg/-/media/Corporate/Guidelines/Development-control/Redevelopment/LH_Fig171_Redevelopment_C1_A.jpg?h=876&amp;w=2580</w:t>
              </w:r>
            </w:hyperlink>
            <w:r>
              <w:br/>
            </w:r>
            <w:r>
              <w:br/>
            </w:r>
            <w:hyperlink r:id="rId30">
              <w:r>
                <w:rPr>
                  <w:rStyle w:val="Hyperlink"/>
                </w:rPr>
                <w:t xml:space="preserve">https://www.ura.gov.sg/-/media/Corporate/Guidelines/Development-control/Redevelopment/LH_Fig171_Redevelopment_C2_A.jpg?h=876&amp;w=2580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https://www.ura.gov.sg/-/media/Corporate/Guidelines/Development-control/Redevelopment/LH_Fig175_Redevelopment_B_NA.jpg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jc w:val="center"/>
            </w:pPr>
            <w:r>
              <w:t xml:space="preserve">Plot B shall not be allowed to redevelop into a semi-detached house and a bungalow because it would prejudice the development option for A to breakaway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https://www.ura.gov.sg/-/media/Corporate/Guidelines/Development-control/Redevelopment/LH_Fig174_Redevelopment_A1_NA.jpg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https://www.ura.gov.sg/-/media/Corporate/Guidelines/Development-control/Redevelopment/LH_Fig174_Redevelopment_A2_A.jpg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34" w:name="Semi-Detached1"/>
    <w:bookmarkEnd w:id="34"/>
    <w:bookmarkEnd w:id="35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40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https://www.ura.gov.sg/-/media/Corporate/Guidelines/Development-control/Redevelopment/LH_Fig172_Redevelopment_A1_A.jpg</w:t>
              </w:r>
            </w:hyperlink>
            <w:r>
              <w:br/>
            </w:r>
            <w:r>
              <w:br/>
            </w:r>
            <w:hyperlink r:id="rId37">
              <w:r>
                <w:rPr>
                  <w:rStyle w:val="Hyperlink"/>
                </w:rPr>
                <w:t xml:space="preserve">https://www.ura.gov.sg/-/media/Corporate/Guidelines/Development-control/Redevelopment/LH_Fig172_Redevelopment_A2_A.jpg?h=876&amp;w=2906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https://www.ura.gov.sg/-/media/Corporate/Guidelines/Development-control/Redevelopment/LH_Fig172_Redevelopment_B_NA.jpg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39" w:name="Terrace1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ura.gov.sg/-/media/Corporate/Guidelines/Development-control/Redevelopment/LH_Fig171_Redevelopment_A1_NA.jpg" TargetMode="External" /><Relationship Type="http://schemas.openxmlformats.org/officeDocument/2006/relationships/hyperlink" Id="rId28" Target="https://www.ura.gov.sg/-/media/Corporate/Guidelines/Development-control/Redevelopment/LH_Fig171_Redevelopment_A2_A.jpg?h=876&amp;w=2201" TargetMode="External" /><Relationship Type="http://schemas.openxmlformats.org/officeDocument/2006/relationships/hyperlink" Id="rId29" Target="https://www.ura.gov.sg/-/media/Corporate/Guidelines/Development-control/Redevelopment/LH_Fig171_Redevelopment_C1_A.jpg?h=876&amp;w=2580" TargetMode="External" /><Relationship Type="http://schemas.openxmlformats.org/officeDocument/2006/relationships/hyperlink" Id="rId30" Target="https://www.ura.gov.sg/-/media/Corporate/Guidelines/Development-control/Redevelopment/LH_Fig171_Redevelopment_C2_A.jpg?h=876&amp;w=2580" TargetMode="External" /><Relationship Type="http://schemas.openxmlformats.org/officeDocument/2006/relationships/hyperlink" Id="rId36" Target="https://www.ura.gov.sg/-/media/Corporate/Guidelines/Development-control/Redevelopment/LH_Fig172_Redevelopment_A1_A.jpg" TargetMode="External" /><Relationship Type="http://schemas.openxmlformats.org/officeDocument/2006/relationships/hyperlink" Id="rId37" Target="https://www.ura.gov.sg/-/media/Corporate/Guidelines/Development-control/Redevelopment/LH_Fig172_Redevelopment_A2_A.jpg?h=876&amp;w=2906" TargetMode="External" /><Relationship Type="http://schemas.openxmlformats.org/officeDocument/2006/relationships/hyperlink" Id="rId38" Target="https://www.ura.gov.sg/-/media/Corporate/Guidelines/Development-control/Redevelopment/LH_Fig172_Redevelopment_B_NA.jpg" TargetMode="External" /><Relationship Type="http://schemas.openxmlformats.org/officeDocument/2006/relationships/hyperlink" Id="rId32" Target="https://www.ura.gov.sg/-/media/Corporate/Guidelines/Development-control/Redevelopment/LH_Fig174_Redevelopment_A1_NA.jpg" TargetMode="External" /><Relationship Type="http://schemas.openxmlformats.org/officeDocument/2006/relationships/hyperlink" Id="rId33" Target="https://www.ura.gov.sg/-/media/Corporate/Guidelines/Development-control/Redevelopment/LH_Fig174_Redevelopment_A2_A.jpg" TargetMode="External" /><Relationship Type="http://schemas.openxmlformats.org/officeDocument/2006/relationships/hyperlink" Id="rId31" Target="https://www.ura.gov.sg/-/media/Corporate/Guidelines/Development-control/Redevelopment/LH_Fig175_Redevelopment_B_N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ura.gov.sg/-/media/Corporate/Guidelines/Development-control/Redevelopment/LH_Fig171_Redevelopment_A1_NA.jpg" TargetMode="External" /><Relationship Type="http://schemas.openxmlformats.org/officeDocument/2006/relationships/hyperlink" Id="rId28" Target="https://www.ura.gov.sg/-/media/Corporate/Guidelines/Development-control/Redevelopment/LH_Fig171_Redevelopment_A2_A.jpg?h=876&amp;w=2201" TargetMode="External" /><Relationship Type="http://schemas.openxmlformats.org/officeDocument/2006/relationships/hyperlink" Id="rId29" Target="https://www.ura.gov.sg/-/media/Corporate/Guidelines/Development-control/Redevelopment/LH_Fig171_Redevelopment_C1_A.jpg?h=876&amp;w=2580" TargetMode="External" /><Relationship Type="http://schemas.openxmlformats.org/officeDocument/2006/relationships/hyperlink" Id="rId30" Target="https://www.ura.gov.sg/-/media/Corporate/Guidelines/Development-control/Redevelopment/LH_Fig171_Redevelopment_C2_A.jpg?h=876&amp;w=2580" TargetMode="External" /><Relationship Type="http://schemas.openxmlformats.org/officeDocument/2006/relationships/hyperlink" Id="rId36" Target="https://www.ura.gov.sg/-/media/Corporate/Guidelines/Development-control/Redevelopment/LH_Fig172_Redevelopment_A1_A.jpg" TargetMode="External" /><Relationship Type="http://schemas.openxmlformats.org/officeDocument/2006/relationships/hyperlink" Id="rId37" Target="https://www.ura.gov.sg/-/media/Corporate/Guidelines/Development-control/Redevelopment/LH_Fig172_Redevelopment_A2_A.jpg?h=876&amp;w=2906" TargetMode="External" /><Relationship Type="http://schemas.openxmlformats.org/officeDocument/2006/relationships/hyperlink" Id="rId38" Target="https://www.ura.gov.sg/-/media/Corporate/Guidelines/Development-control/Redevelopment/LH_Fig172_Redevelopment_B_NA.jpg" TargetMode="External" /><Relationship Type="http://schemas.openxmlformats.org/officeDocument/2006/relationships/hyperlink" Id="rId32" Target="https://www.ura.gov.sg/-/media/Corporate/Guidelines/Development-control/Redevelopment/LH_Fig174_Redevelopment_A1_NA.jpg" TargetMode="External" /><Relationship Type="http://schemas.openxmlformats.org/officeDocument/2006/relationships/hyperlink" Id="rId33" Target="https://www.ura.gov.sg/-/media/Corporate/Guidelines/Development-control/Redevelopment/LH_Fig174_Redevelopment_A2_A.jpg" TargetMode="External" /><Relationship Type="http://schemas.openxmlformats.org/officeDocument/2006/relationships/hyperlink" Id="rId31" Target="https://www.ura.gov.sg/-/media/Corporate/Guidelines/Development-control/Redevelopment/LH_Fig175_Redevelopment_B_N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2024-05-23T09:32:52Z</dcterms:created>
  <dcterms:modified xsi:type="dcterms:W3CDTF">2024-05-23T09:32:52Z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