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etaining-and-boundary-walls"/>
    <w:p>
      <w:pPr>
        <w:pStyle w:val="Heading3"/>
      </w:pPr>
      <w:r>
        <w:t xml:space="preserve">Retaining and Boundary Walls</w:t>
      </w:r>
    </w:p>
    <w:p>
      <w:pPr>
        <w:pStyle w:val="FirstParagraph"/>
      </w:pPr>
      <w:r>
        <w:drawing>
          <wp:inline>
            <wp:extent cx="9525" cy="9525"/>
            <wp:effectExtent b="0" l="0" r="0" t="0"/>
            <wp:docPr descr=""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Height of Retaining and Boundary Walls</w:t>
      </w:r>
    </w:p>
    <w:bookmarkEnd w:id="23"/>
    <w:bookmarkStart w:id="25" w:name="column_0_right_1_txtTitle"/>
    <w:bookmarkStart w:id="24" w:name="section"/>
    <w:p>
      <w:pPr>
        <w:pStyle w:val="Heading3"/>
      </w:pPr>
    </w:p>
    <w:bookmarkEnd w:id="24"/>
    <w:bookmarkEnd w:id="25"/>
    <w:p>
      <w:pPr>
        <w:pStyle w:val="FirstParagraph"/>
      </w:pPr>
      <w:hyperlink w:anchor="Retaining-Walls"/>
    </w:p>
    <w:p>
      <w:pPr>
        <w:pStyle w:val="BodyText"/>
      </w:pPr>
      <w:r>
        <w:t xml:space="preserve">Retaining Walls</w:t>
      </w:r>
    </w:p>
    <w:bookmarkStart w:id="27"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 </w:t>
      </w:r>
    </w:p>
    <w:bookmarkStart w:id="26" w:name="Retaining-Walls1"/>
    <w:bookmarkEnd w:id="26"/>
    <w:bookmarkEnd w:id="27"/>
    <w:p>
      <w:pPr>
        <w:pStyle w:val="FirstParagraph"/>
      </w:pPr>
      <w:hyperlink w:anchor="Boundary-Walls"/>
    </w:p>
    <w:p>
      <w:pPr>
        <w:pStyle w:val="BodyText"/>
      </w:pPr>
      <w:r>
        <w:t xml:space="preserve">Boundary Walls</w:t>
      </w:r>
    </w:p>
    <w:bookmarkStart w:id="29" w:name="Boundary-Walls"/>
    <w:p>
      <w:pPr>
        <w:pStyle w:val="BodyText"/>
      </w:pPr>
      <w:r>
        <w:t xml:space="preserve">Boundary walls shall not exceed 1.8m.</w:t>
      </w:r>
    </w:p>
    <w:p>
      <w:pPr>
        <w:pStyle w:val="BodyText"/>
      </w:pPr>
      <w:r>
        <w:t xml:space="preserve">The combined height of retaining and boundary wall shall not exceed 2.8m, of which solid wall shall not exceed 1.8m. Where a boundary wall is proposed on top of the retaining wall, only porous material (eg fencing) shall be used for the boundary wall.</w:t>
      </w:r>
    </w:p>
    <w:p>
      <w:pPr>
        <w:pStyle w:val="BodyText"/>
      </w:pPr>
      <w:r>
        <w:t xml:space="preserve">Full-height wall along the common boundary between 2 semi-detached houses abutting the car porch/patio area can be allowed. This may also be considered for terrace houses if site context allows for it (eg where the car porches are paired and aligned) or if it is to meet FSSD’s requirements.</w:t>
      </w:r>
    </w:p>
    <w:bookmarkStart w:id="28" w:name="Boundary-Walls1"/>
    <w:bookmarkEnd w:id="28"/>
    <w:bookmarkEnd w:id="29"/>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2024-05-23T00:52:29Z</dcterms:created>
  <dcterms:modified xsi:type="dcterms:W3CDTF">2024-05-23T00:52:29Z</dcterms:modified>
</cp:coreProperties>
</file>

<file path=docProps/custom.xml><?xml version="1.0" encoding="utf-8"?>
<Properties xmlns="http://schemas.openxmlformats.org/officeDocument/2006/custom-properties" xmlns:vt="http://schemas.openxmlformats.org/officeDocument/2006/docPropsVTypes"/>
</file>