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building-setback-from-boundary"/>
    <w:p>
      <w:pPr>
        <w:pStyle w:val="Heading3"/>
      </w:pPr>
      <w:r>
        <w:t xml:space="preserve">Building Setback from Boundary</w:t>
      </w:r>
    </w:p>
    <w:p>
      <w:pPr>
        <w:pStyle w:val="FirstParagraph"/>
      </w:pPr>
      <w:r>
        <w:drawing>
          <wp:inline>
            <wp:extent cx="9525" cy="9525"/>
            <wp:effectExtent b="0" l="0" r="0" t="0"/>
            <wp:docPr descr="Setback requirements for a strata landed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Building Setback</w:t>
      </w:r>
    </w:p>
    <w:p>
      <w:pPr>
        <w:pStyle w:val="BodyText"/>
      </w:pPr>
      <w:r>
        <w:t xml:space="preserve">These guidelines are applicable to residential developments comprising strata landed housing only.</w:t>
      </w:r>
    </w:p>
    <w:bookmarkEnd w:id="23"/>
    <w:bookmarkStart w:id="25" w:name="column_0_right_1_txtTitle"/>
    <w:bookmarkStart w:id="24" w:name="section"/>
    <w:p>
      <w:pPr>
        <w:pStyle w:val="Heading3"/>
      </w:pPr>
    </w:p>
    <w:bookmarkEnd w:id="24"/>
    <w:bookmarkEnd w:id="25"/>
    <w:p>
      <w:pPr>
        <w:pStyle w:val="FirstParagraph"/>
      </w:pPr>
      <w:hyperlink w:anchor="RB-GB"/>
    </w:p>
    <w:p>
      <w:pPr>
        <w:pStyle w:val="BodyText"/>
      </w:pPr>
      <w:r>
        <w:t xml:space="preserve">Road Buffer and Green Buffer</w:t>
      </w:r>
    </w:p>
    <w:bookmarkStart w:id="27" w:name="RB-GB"/>
    <w:p>
      <w:pPr>
        <w:pStyle w:val="BodyText"/>
      </w:pPr>
      <w:r>
        <w:t xml:space="preserve">The building setback controls of strata landed housing developments from public roads shall be determined by the road buffer as shown in the table below. Where the strata landed housing development site fronts two or more public roads, the buffer requirements from the roads shall be applied to all boundaries fronting roads.</w:t>
      </w:r>
    </w:p>
    <w:p>
      <w:pPr>
        <w:pStyle w:val="BodyText"/>
      </w:pPr>
      <w:r>
        <w:rPr>
          <w:b/>
          <w:bCs/>
        </w:rPr>
        <w:t xml:space="preserve">Road Buffer and Green Buffer requirements</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Road Buffer and Green Buffer</w:t>
            </w:r>
          </w:p>
        </w:tc>
      </w:tr>
      <w:tr>
        <w:tc>
          <w:tcPr/>
          <w:p>
            <w:pPr>
              <w:pStyle w:val="Compact"/>
              <w:jc w:val="center"/>
            </w:pPr>
            <w:r>
              <w:t xml:space="preserve">Category 1</w:t>
            </w:r>
          </w:p>
        </w:tc>
        <w:tc>
          <w:tcPr/>
          <w:p>
            <w:pPr>
              <w:pStyle w:val="Compact"/>
              <w:jc w:val="center"/>
            </w:pPr>
            <w:r>
              <w:t xml:space="preserve">24m</w:t>
            </w:r>
            <w:r>
              <w:br/>
            </w:r>
            <w:r>
              <w:t xml:space="preserve">(including 5m green buffer)</w:t>
            </w:r>
          </w:p>
        </w:tc>
      </w:tr>
      <w:tr>
        <w:tc>
          <w:tcPr/>
          <w:p>
            <w:pPr>
              <w:pStyle w:val="Compact"/>
              <w:jc w:val="center"/>
            </w:pPr>
            <w:r>
              <w:t xml:space="preserve">Category 2</w:t>
            </w:r>
          </w:p>
        </w:tc>
        <w:tc>
          <w:tcPr/>
          <w:p>
            <w:pPr>
              <w:pStyle w:val="Compact"/>
              <w:jc w:val="center"/>
            </w:pPr>
            <w:r>
              <w:t xml:space="preserve">12m</w:t>
            </w:r>
            <w:r>
              <w:br/>
            </w:r>
            <w:r>
              <w:t xml:space="preserve">(</w:t>
            </w:r>
            <w:r>
              <w:t xml:space="preserve">including </w:t>
            </w:r>
            <w:r>
              <w:t xml:space="preserve">5m green buffer)</w:t>
            </w:r>
          </w:p>
        </w:tc>
      </w:tr>
      <w:tr>
        <w:tc>
          <w:tcPr/>
          <w:p>
            <w:pPr>
              <w:pStyle w:val="Compact"/>
              <w:jc w:val="center"/>
            </w:pPr>
            <w:r>
              <w:t xml:space="preserve">Category 3 - 5 and slip road</w:t>
            </w:r>
          </w:p>
        </w:tc>
        <w:tc>
          <w:tcPr/>
          <w:p>
            <w:pPr>
              <w:pStyle w:val="Compact"/>
              <w:jc w:val="center"/>
            </w:pPr>
            <w:r>
              <w:t xml:space="preserve">7.5m</w:t>
            </w:r>
            <w:r>
              <w:br/>
            </w:r>
            <w:r>
              <w:t xml:space="preserve">(</w:t>
            </w:r>
            <w:r>
              <w:t xml:space="preserve">including </w:t>
            </w:r>
            <w:r>
              <w:t xml:space="preserve">3m green buffer)</w:t>
            </w:r>
          </w:p>
        </w:tc>
      </w:tr>
    </w:tbl>
    <w:bookmarkStart w:id="26" w:name="RB-GB1"/>
    <w:bookmarkEnd w:id="26"/>
    <w:bookmarkEnd w:id="27"/>
    <w:p>
      <w:pPr>
        <w:pStyle w:val="BodyText"/>
      </w:pPr>
      <w:hyperlink w:anchor="Common-Boundaries"/>
    </w:p>
    <w:p>
      <w:pPr>
        <w:pStyle w:val="BodyText"/>
      </w:pPr>
      <w:r>
        <w:t xml:space="preserve">Common Boundaries Setback and Planting Strip</w:t>
      </w:r>
    </w:p>
    <w:bookmarkStart w:id="29" w:name="Common-Boundaries"/>
    <w:p>
      <w:pPr>
        <w:pStyle w:val="BodyText"/>
      </w:pPr>
      <w:r>
        <w:t xml:space="preserve">Any strata unit within the development site shall be set back 3m (minimum) from the common site boundary with another development.</w:t>
      </w:r>
    </w:p>
    <w:p>
      <w:pPr>
        <w:pStyle w:val="BodyText"/>
      </w:pPr>
      <w:r>
        <w:t xml:space="preserve">A wider setback shall be required for 3-storey strata landed housing sharing a common boundary with Good Class Bungalow Areas (GCBA).</w:t>
      </w:r>
    </w:p>
    <w:p>
      <w:pPr>
        <w:pStyle w:val="BodyText"/>
      </w:pPr>
      <w:r>
        <w:rPr>
          <w:b/>
          <w:bCs/>
        </w:rPr>
        <w:t xml:space="preserve">Setback of Strata Landed Housing from Common Boundaries</w:t>
      </w:r>
      <w:r>
        <w:br/>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Strata Landed Housing Storey Height</w:t>
            </w:r>
          </w:p>
        </w:tc>
        <w:tc>
          <w:tcPr/>
          <w:p>
            <w:pPr>
              <w:pStyle w:val="Compact"/>
              <w:jc w:val="center"/>
            </w:pPr>
            <w:r>
              <w:rPr>
                <w:b/>
                <w:bCs/>
              </w:rPr>
              <w:t xml:space="preserve">Minimum Setback from Common Boundary with GCBA Plots</w:t>
            </w:r>
          </w:p>
        </w:tc>
        <w:tc>
          <w:tcPr/>
          <w:p>
            <w:pPr>
              <w:pStyle w:val="Compact"/>
              <w:jc w:val="center"/>
            </w:pPr>
            <w:r>
              <w:rPr>
                <w:b/>
                <w:bCs/>
              </w:rPr>
              <w:t xml:space="preserve">Minimum Setback from Common Boundaries</w:t>
            </w:r>
            <w:r>
              <w:br/>
            </w:r>
            <w:r>
              <w:rPr>
                <w:b/>
                <w:bCs/>
              </w:rPr>
              <w:t xml:space="preserve">(All other developments)</w:t>
            </w:r>
          </w:p>
        </w:tc>
      </w:tr>
      <w:tr>
        <w:tc>
          <w:tcPr/>
          <w:p>
            <w:pPr>
              <w:pStyle w:val="Compact"/>
              <w:jc w:val="center"/>
            </w:pPr>
            <w:r>
              <w:t xml:space="preserve">1 – 2 storeys*</w:t>
            </w:r>
          </w:p>
        </w:tc>
        <w:tc>
          <w:tcPr/>
          <w:p>
            <w:pPr>
              <w:pStyle w:val="Compact"/>
              <w:jc w:val="center"/>
            </w:pPr>
            <w:r>
              <w:t xml:space="preserve">3m (including 2m green planting strip)</w:t>
            </w:r>
          </w:p>
        </w:tc>
        <w:tc>
          <w:tcPr/>
          <w:p>
            <w:pPr>
              <w:pStyle w:val="Compact"/>
              <w:jc w:val="center"/>
            </w:pPr>
            <w:r>
              <w:t xml:space="preserve">3m (including 2m green planting strip)</w:t>
            </w:r>
          </w:p>
        </w:tc>
      </w:tr>
      <w:tr>
        <w:tc>
          <w:tcPr/>
          <w:p>
            <w:pPr>
              <w:pStyle w:val="Compact"/>
              <w:jc w:val="center"/>
            </w:pPr>
            <w:r>
              <w:t xml:space="preserve">3 storeys</w:t>
            </w:r>
          </w:p>
        </w:tc>
        <w:tc>
          <w:tcPr/>
          <w:p>
            <w:pPr>
              <w:pStyle w:val="Compact"/>
              <w:jc w:val="center"/>
            </w:pPr>
            <w:r>
              <w:t xml:space="preserve">25m (including 2m green planting strip)</w:t>
            </w:r>
          </w:p>
        </w:tc>
        <w:tc>
          <w:tcPr/>
          <w:p>
            <w:pPr>
              <w:pStyle w:val="Compact"/>
              <w:jc w:val="center"/>
            </w:pPr>
            <w:r>
              <w:t xml:space="preserve">3m (including 2m green planting strip)</w:t>
            </w:r>
          </w:p>
        </w:tc>
      </w:tr>
    </w:tbl>
    <w:p>
      <w:pPr>
        <w:pStyle w:val="BodyText"/>
      </w:pPr>
      <w:r>
        <w:t xml:space="preserve">*</w:t>
      </w:r>
      <w:r>
        <w:t xml:space="preserve">Roof terrace(s), if proposed, shall be orientated to face away from the GCBA. </w:t>
      </w:r>
    </w:p>
    <w:bookmarkStart w:id="28" w:name="Common-Boundaries1"/>
    <w:bookmarkEnd w:id="28"/>
    <w:bookmarkEnd w:id="29"/>
    <w:p>
      <w:pPr>
        <w:pStyle w:val="BodyText"/>
      </w:pPr>
      <w:hyperlink w:anchor="Ancillary-Structures"/>
    </w:p>
    <w:p>
      <w:pPr>
        <w:pStyle w:val="BodyText"/>
      </w:pPr>
      <w:r>
        <w:t xml:space="preserve">Ancillary Structures</w:t>
      </w:r>
    </w:p>
    <w:bookmarkStart w:id="34" w:name="Ancillary-Structures"/>
    <w:p>
      <w:pPr>
        <w:pStyle w:val="BodyText"/>
      </w:pPr>
      <w:r>
        <w:drawing>
          <wp:inline>
            <wp:extent cx="9525" cy="9525"/>
            <wp:effectExtent b="0" l="0" r="0" t="0"/>
            <wp:docPr descr="Setback for ancillary structures in a strata landed development" title="" id="30"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1"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Setback Requirements for Ancillary Structures</w:t>
      </w:r>
    </w:p>
    <w:p>
      <w:pPr>
        <w:pStyle w:val="BodyText"/>
      </w:pPr>
      <w:r>
        <w:t xml:space="preserve">Ancillary structures are minor structures erected to support the main use of the site. The building setback distance and height control for ancillary structures shown in the table below.</w:t>
      </w:r>
    </w:p>
    <w:p>
      <w:pPr>
        <w:pStyle w:val="BodyText"/>
      </w:pPr>
      <w:r>
        <w:t xml:space="preserve">Ancillary structures located within the green buffer and tree-planting strip may be assessed in accordance with the objective-based guidelines administered by NParks – see</w:t>
      </w:r>
      <w:r>
        <w:t xml:space="preserve"> </w:t>
      </w:r>
      <w:hyperlink r:id="rId32">
        <w:r>
          <w:rPr>
            <w:rStyle w:val="Hyperlink"/>
          </w:rPr>
          <w:t xml:space="preserve">here</w:t>
        </w:r>
      </w:hyperlink>
      <w:r>
        <w:t xml:space="preserve">.</w:t>
      </w:r>
    </w:p>
    <w:p>
      <w:pPr>
        <w:pStyle w:val="BodyText"/>
      </w:pPr>
      <w:r>
        <w:t xml:space="preserve">Ancillary structures located within the physical buffer and building setback that exceed the requirements in the table above, but are below 6m in height, shall be evaluated depending on the merits of the design and function.</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rPr>
                <w:b/>
                <w:bCs/>
              </w:rPr>
              <w:t xml:space="preserve">Type of Ancillary Structure</w:t>
            </w:r>
          </w:p>
        </w:tc>
        <w:tc>
          <w:tcPr/>
          <w:p>
            <w:pPr>
              <w:pStyle w:val="Compact"/>
              <w:jc w:val="center"/>
            </w:pPr>
            <w:r>
              <w:rPr>
                <w:b/>
                <w:bCs/>
              </w:rPr>
              <w:t xml:space="preserve">Required Setback from Road</w:t>
            </w:r>
          </w:p>
        </w:tc>
        <w:tc>
          <w:tcPr/>
          <w:p>
            <w:pPr>
              <w:pStyle w:val="Compact"/>
              <w:jc w:val="center"/>
            </w:pPr>
            <w:r>
              <w:rPr>
                <w:b/>
                <w:bCs/>
              </w:rPr>
              <w:t xml:space="preserve">Required Setback from Other Boundaries</w:t>
            </w:r>
          </w:p>
        </w:tc>
        <w:tc>
          <w:tcPr/>
          <w:p>
            <w:pPr>
              <w:pStyle w:val="Compact"/>
              <w:jc w:val="center"/>
            </w:pPr>
            <w:r>
              <w:rPr>
                <w:b/>
                <w:bCs/>
              </w:rPr>
              <w:t xml:space="preserve">Height Control</w:t>
            </w:r>
          </w:p>
        </w:tc>
      </w:tr>
      <w:tr>
        <w:tc>
          <w:tcPr/>
          <w:p>
            <w:pPr>
              <w:pStyle w:val="Compact"/>
              <w:jc w:val="left"/>
            </w:pPr>
            <w:r>
              <w:t xml:space="preserve">Electric Substation</w:t>
            </w:r>
          </w:p>
        </w:tc>
        <w:tc>
          <w:tcPr>
            <w:vMerge w:val="restart"/>
          </w:tcPr>
          <w:p>
            <w:pPr>
              <w:pStyle w:val="Compact"/>
              <w:jc w:val="center"/>
            </w:pPr>
            <w:r>
              <w:t xml:space="preserve">Category 1 &amp; 2 roads: 5m</w:t>
            </w:r>
            <w:r>
              <w:br/>
            </w:r>
            <w:r>
              <w:br/>
            </w:r>
            <w:r>
              <w:t xml:space="preserve">Category 3 – 5 roads: 3m</w:t>
            </w:r>
          </w:p>
        </w:tc>
        <w:tc>
          <w:tcPr>
            <w:vMerge w:val="restart"/>
          </w:tcPr>
          <w:p>
            <w:pPr>
              <w:pStyle w:val="Compact"/>
              <w:jc w:val="center"/>
            </w:pPr>
            <w:r>
              <w:t xml:space="preserve">Outside GCBA: 2m</w:t>
            </w:r>
            <w:r>
              <w:br/>
            </w:r>
            <w:r>
              <w:br/>
            </w:r>
            <w:r>
              <w:t xml:space="preserve">Within GCBA or with GCBA plots: 3m</w:t>
            </w:r>
          </w:p>
        </w:tc>
        <w:tc>
          <w:tcPr/>
          <w:p>
            <w:pPr>
              <w:pStyle w:val="Compact"/>
              <w:jc w:val="center"/>
            </w:pPr>
            <w:r>
              <w:t xml:space="preserve">6m</w:t>
            </w:r>
          </w:p>
        </w:tc>
      </w:tr>
      <w:tr>
        <w:tc>
          <w:tcPr/>
          <w:p>
            <w:pPr>
              <w:pStyle w:val="Compact"/>
              <w:jc w:val="left"/>
            </w:pPr>
            <w:r>
              <w:t xml:space="preserve">Sunken Swimming Pool</w:t>
            </w:r>
          </w:p>
        </w:tc>
        <w:tc>
          <w:tcPr>
            <w:gridSpan w:val="1"/>
            <w:vMerge w:val="continue"/>
          </w:tcPr>
          <w:p>
            <w:pPr/>
          </w:p>
        </w:tc>
        <w:tc>
          <w:tcPr>
            <w:gridSpan w:val="1"/>
            <w:vMerge w:val="continue"/>
          </w:tcPr>
          <w:p>
            <w:pPr/>
          </w:p>
        </w:tc>
        <w:tc>
          <w:tcPr>
            <w:vMerge w:val="restart"/>
          </w:tcPr>
          <w:p>
            <w:pPr>
              <w:pStyle w:val="Compact"/>
              <w:jc w:val="center"/>
            </w:pPr>
            <w:r>
              <w:t xml:space="preserve">Not applicable</w:t>
            </w:r>
            <w:r>
              <w:br/>
            </w:r>
          </w:p>
        </w:tc>
      </w:tr>
      <w:tr>
        <w:tc>
          <w:tcPr/>
          <w:p>
            <w:pPr>
              <w:pStyle w:val="Compact"/>
              <w:jc w:val="left"/>
            </w:pPr>
            <w:r>
              <w:t xml:space="preserve">Raised Swimming Pool</w:t>
            </w:r>
          </w:p>
        </w:tc>
        <w:tc>
          <w:tcPr>
            <w:vMerge w:val="restart"/>
          </w:tcPr>
          <w:p>
            <w:pPr>
              <w:pStyle w:val="Compact"/>
              <w:jc w:val="center"/>
            </w:pPr>
            <w:r>
              <w:t xml:space="preserve">Follow road buffer standards</w:t>
            </w:r>
          </w:p>
        </w:tc>
        <w:tc>
          <w:tcPr>
            <w:gridSpan w:val="1"/>
            <w:vMerge w:val="continue"/>
          </w:tcPr>
          <w:p>
            <w:pPr/>
          </w:p>
        </w:tc>
        <w:tc>
          <w:tcPr>
            <w:gridSpan w:val="1"/>
            <w:vMerge w:val="continue"/>
          </w:tcPr>
          <w:p>
            <w:pPr/>
          </w:p>
        </w:tc>
      </w:tr>
      <w:tr>
        <w:tc>
          <w:tcPr/>
          <w:p>
            <w:pPr>
              <w:pStyle w:val="Compact"/>
              <w:jc w:val="left"/>
            </w:pPr>
            <w:r>
              <w:t xml:space="preserve">Water Tank &amp; Pump</w:t>
            </w:r>
          </w:p>
        </w:tc>
        <w:tc>
          <w:tcPr>
            <w:gridSpan w:val="1"/>
            <w:vMerge w:val="continue"/>
          </w:tcPr>
          <w:p>
            <w:pPr/>
          </w:p>
        </w:tc>
        <w:tc>
          <w:tcPr>
            <w:gridSpan w:val="1"/>
            <w:vMerge w:val="continue"/>
          </w:tcPr>
          <w:p>
            <w:pPr/>
          </w:p>
        </w:tc>
        <w:tc>
          <w:tcPr>
            <w:gridSpan w:val="1"/>
            <w:vMerge w:val="continue"/>
          </w:tcPr>
          <w:p>
            <w:pPr/>
          </w:p>
        </w:tc>
      </w:tr>
      <w:tr>
        <w:tc>
          <w:tcPr/>
          <w:p>
            <w:pPr>
              <w:pStyle w:val="Compact"/>
              <w:jc w:val="left"/>
            </w:pPr>
            <w:r>
              <w:t xml:space="preserve">Meter Compartment</w:t>
            </w:r>
          </w:p>
        </w:tc>
        <w:tc>
          <w:tcPr>
            <w:gridSpan w:val="2"/>
            <w:vMerge w:val="restart"/>
          </w:tcPr>
          <w:p>
            <w:pPr>
              <w:pStyle w:val="Compact"/>
              <w:jc w:val="center"/>
            </w:pPr>
            <w:r>
              <w:t xml:space="preserve">Subject to evaluation</w:t>
            </w:r>
          </w:p>
        </w:tc>
        <w:tc>
          <w:tcPr>
            <w:vMerge w:val="restart"/>
          </w:tcPr>
          <w:p>
            <w:pPr>
              <w:pStyle w:val="Compact"/>
              <w:jc w:val="center"/>
            </w:pPr>
            <w:r>
              <w:t xml:space="preserve">If these are located within the green buffer or tree planting strip, 1.8m</w:t>
            </w:r>
          </w:p>
        </w:tc>
      </w:tr>
      <w:tr>
        <w:tc>
          <w:tcPr/>
          <w:p>
            <w:pPr>
              <w:pStyle w:val="Compact"/>
              <w:jc w:val="left"/>
            </w:pPr>
            <w:r>
              <w:t xml:space="preserve">Bin Point</w:t>
            </w:r>
          </w:p>
        </w:tc>
        <w:tc>
          <w:tcPr>
            <w:gridSpan w:val="2"/>
            <w:vMerge w:val="continue"/>
          </w:tcPr>
          <w:p>
            <w:pPr/>
          </w:p>
        </w:tc>
        <w:tc>
          <w:tcPr>
            <w:gridSpan w:val="1"/>
            <w:vMerge w:val="continue"/>
          </w:tcPr>
          <w:p>
            <w:pPr/>
          </w:p>
        </w:tc>
      </w:tr>
      <w:tr>
        <w:tc>
          <w:tcPr/>
          <w:p>
            <w:pPr>
              <w:pStyle w:val="Compact"/>
              <w:jc w:val="left"/>
            </w:pPr>
            <w:r>
              <w:t xml:space="preserve">Guardhouse</w:t>
            </w:r>
          </w:p>
        </w:tc>
        <w:tc>
          <w:tcPr>
            <w:gridSpan w:val="2"/>
            <w:vMerge w:val="continue"/>
          </w:tcPr>
          <w:p>
            <w:pPr/>
          </w:p>
        </w:tc>
        <w:tc>
          <w:tcPr/>
          <w:p>
            <w:pPr>
              <w:pStyle w:val="Compact"/>
              <w:jc w:val="center"/>
            </w:pPr>
            <w:r>
              <w:t xml:space="preserve">If this is located within the green buffer or tree planting strip, 2.6m</w:t>
            </w:r>
          </w:p>
        </w:tc>
      </w:tr>
      <w:tr>
        <w:tc>
          <w:tcPr/>
          <w:p>
            <w:pPr>
              <w:pStyle w:val="Compact"/>
              <w:jc w:val="left"/>
            </w:pPr>
            <w:r>
              <w:t xml:space="preserve">Generator Set</w:t>
            </w:r>
          </w:p>
        </w:tc>
        <w:tc>
          <w:tcPr>
            <w:gridSpan w:val="3"/>
          </w:tcPr>
          <w:p>
            <w:pPr>
              <w:pStyle w:val="Compact"/>
              <w:jc w:val="center"/>
            </w:pPr>
            <w:r>
              <w:t xml:space="preserve">Subject to evaluation</w:t>
            </w:r>
            <w:r>
              <w:br/>
            </w:r>
            <w:r>
              <w:t xml:space="preserve">Adequate setback may have to be provided to minimise glare and noise disturbance to adjoining developments</w:t>
            </w:r>
          </w:p>
        </w:tc>
      </w:tr>
    </w:tbl>
    <w:bookmarkStart w:id="33" w:name="Ancillary-Structures1"/>
    <w:bookmarkEnd w:id="33"/>
    <w:bookmarkEnd w:id="34"/>
    <w:p>
      <w:pPr>
        <w:pStyle w:val="BodyText"/>
      </w:pPr>
      <w:hyperlink w:anchor="Building-Appendages"/>
    </w:p>
    <w:p>
      <w:pPr>
        <w:pStyle w:val="BodyText"/>
      </w:pPr>
      <w:r>
        <w:t xml:space="preserve">Minor Building Appendages</w:t>
      </w:r>
    </w:p>
    <w:bookmarkStart w:id="36" w:name="Building-Appendages"/>
    <w:p>
      <w:pPr>
        <w:pStyle w:val="BodyText"/>
      </w:pPr>
      <w:r>
        <w:rPr>
          <w:b/>
          <w:bCs/>
        </w:rPr>
        <w:t xml:space="preserve">Maximum allowable protrusion into road buffer and common boundary setbacks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Appendages</w:t>
            </w:r>
          </w:p>
        </w:tc>
        <w:tc>
          <w:tcPr/>
          <w:p>
            <w:pPr>
              <w:pStyle w:val="Compact"/>
              <w:jc w:val="left"/>
            </w:pPr>
            <w:r>
              <w:rPr>
                <w:b/>
                <w:bCs/>
              </w:rPr>
              <w:t xml:space="preserve">Within GCBA</w:t>
            </w:r>
          </w:p>
        </w:tc>
        <w:tc>
          <w:tcPr/>
          <w:p>
            <w:pPr>
              <w:pStyle w:val="Compact"/>
              <w:jc w:val="left"/>
            </w:pPr>
            <w:r>
              <w:rPr>
                <w:b/>
                <w:bCs/>
              </w:rPr>
              <w:t xml:space="preserve">Outside GCBA</w:t>
            </w:r>
          </w:p>
        </w:tc>
      </w:tr>
      <w:tr>
        <w:tc>
          <w:tcPr>
            <w:gridSpan w:val="3"/>
          </w:tcPr>
          <w:p>
            <w:pPr>
              <w:pStyle w:val="Compact"/>
              <w:jc w:val="left"/>
            </w:pPr>
            <w:r>
              <w:t xml:space="preserve">While the building appendages may be within the permissible building envelope, such features may require further evaluation depending on the site context, to ensure that they do not substantially add to building bulk.</w:t>
            </w:r>
          </w:p>
        </w:tc>
      </w:tr>
      <w:tr>
        <w:tc>
          <w:tcPr/>
          <w:p>
            <w:pPr>
              <w:pStyle w:val="Compact"/>
              <w:jc w:val="left"/>
            </w:pPr>
            <w:r>
              <w:rPr>
                <w:b/>
                <w:bCs/>
              </w:rPr>
              <w:t xml:space="preserve">Main roof eaves</w:t>
            </w:r>
            <w:r>
              <w:rPr>
                <w:b/>
                <w:bCs/>
                <w:vertAlign w:val="superscript"/>
              </w:rPr>
              <w:t xml:space="preserve">1</w:t>
            </w:r>
            <w:r>
              <w:br/>
            </w:r>
            <w:r>
              <w:br/>
            </w:r>
            <w:r>
              <w:rPr>
                <w:vertAlign w:val="superscript"/>
              </w:rPr>
              <w:t xml:space="preserve">1</w:t>
            </w:r>
            <w:r>
              <w:t xml:space="preserve"> </w:t>
            </w:r>
            <w:r>
              <w:t xml:space="preserve">Secondary roof eaves may only extend 1m beyond the permissible building envelope.</w:t>
            </w:r>
          </w:p>
        </w:tc>
        <w:tc>
          <w:tcPr/>
          <w:p>
            <w:pPr>
              <w:pStyle w:val="Compact"/>
              <w:jc w:val="left"/>
            </w:pPr>
            <w:r>
              <w:t xml:space="preserve">Into road buffer: 2m</w:t>
            </w:r>
            <w:r>
              <w:br/>
            </w:r>
            <w:r>
              <w:br/>
            </w:r>
            <w:r>
              <w:t xml:space="preserve">Into common boundary setback: 1.4m</w:t>
            </w:r>
          </w:p>
        </w:tc>
        <w:tc>
          <w:tcPr/>
          <w:p>
            <w:pPr>
              <w:pStyle w:val="Compact"/>
              <w:jc w:val="left"/>
            </w:pPr>
            <w:r>
              <w:t xml:space="preserve">Into road buffer: 2m</w:t>
            </w:r>
            <w:r>
              <w:br/>
            </w:r>
            <w:r>
              <w:br/>
            </w:r>
            <w:r>
              <w:t xml:space="preserve">Into common boundary setback: 1m</w:t>
            </w:r>
          </w:p>
        </w:tc>
      </w:tr>
      <w:tr>
        <w:tc>
          <w:tcPr/>
          <w:p>
            <w:pPr>
              <w:jc w:val="left"/>
            </w:pPr>
            <w:r>
              <w:rPr>
                <w:b/>
                <w:bCs/>
              </w:rPr>
              <w:t xml:space="preserve">Ledges or cantilevered awnings</w:t>
            </w:r>
            <w:r>
              <w:rPr>
                <w:b/>
                <w:bCs/>
                <w:vertAlign w:val="superscript"/>
              </w:rPr>
              <w:t xml:space="preserve">2</w:t>
            </w:r>
            <w:r>
              <w:rPr>
                <w:b/>
                <w:bCs/>
              </w:rPr>
              <w:t xml:space="preserve"> </w:t>
            </w:r>
            <w:r>
              <w:rPr>
                <w:b/>
                <w:bCs/>
              </w:rPr>
              <w:t xml:space="preserve">(without vertical supports)</w:t>
            </w:r>
          </w:p>
          <w:p>
            <w:pPr>
              <w:jc w:val="left"/>
            </w:pPr>
            <w:r>
              <w:rPr>
                <w:vertAlign w:val="superscript"/>
              </w:rPr>
              <w:t xml:space="preserve">2</w:t>
            </w:r>
            <w:r>
              <w:rPr>
                <w:b/>
                <w:bCs/>
              </w:rPr>
              <w:t xml:space="preserve"> </w:t>
            </w:r>
            <w:r>
              <w:t xml:space="preserve">The maximum projection (i.e. 1m or 1.4m) into the road buffer or into the common boundary setback applies to retractable awnings when they are fully stretched out (i.e. not when the awnings are in their retracted positions).</w:t>
            </w:r>
          </w:p>
        </w:tc>
        <w:tc>
          <w:tcPr/>
          <w:p>
            <w:pPr>
              <w:pStyle w:val="Compact"/>
              <w:jc w:val="left"/>
            </w:pPr>
            <w:r>
              <w:t xml:space="preserve">Into road buffer: 1.4m</w:t>
            </w:r>
            <w:r>
              <w:br/>
            </w:r>
            <w:r>
              <w:br/>
            </w:r>
            <w:r>
              <w:t xml:space="preserve">Into common boundary setback: 1.4m</w:t>
            </w:r>
          </w:p>
        </w:tc>
        <w:tc>
          <w:tcPr/>
          <w:p>
            <w:pPr>
              <w:pStyle w:val="Compact"/>
              <w:jc w:val="left"/>
            </w:pPr>
            <w:r>
              <w:t xml:space="preserve">Into road buffer: 1m</w:t>
            </w:r>
            <w:r>
              <w:br/>
            </w:r>
            <w:r>
              <w:br/>
            </w:r>
            <w:r>
              <w:t xml:space="preserve">Into common boundary setback: 1m</w:t>
            </w:r>
          </w:p>
        </w:tc>
      </w:tr>
      <w:tr>
        <w:tc>
          <w:tcPr/>
          <w:p>
            <w:pPr>
              <w:pStyle w:val="Compact"/>
              <w:jc w:val="left"/>
            </w:pPr>
            <w:r>
              <w:rPr>
                <w:b/>
                <w:bCs/>
              </w:rPr>
              <w:t xml:space="preserve">Horizontal sun-shading devices, vertical sun-shading fins/ screens, other minor decorative features</w:t>
            </w:r>
            <w:r>
              <w:rPr>
                <w:b/>
                <w:bCs/>
                <w:vertAlign w:val="superscript"/>
              </w:rPr>
              <w:t xml:space="preserve">3</w:t>
            </w:r>
            <w:r>
              <w:rPr>
                <w:b/>
                <w:bCs/>
              </w:rPr>
              <w:t xml:space="preserve">, planter boxes</w:t>
            </w:r>
            <w:r>
              <w:rPr>
                <w:b/>
                <w:bCs/>
                <w:vertAlign w:val="superscript"/>
              </w:rPr>
              <w:t xml:space="preserve">4</w:t>
            </w:r>
            <w:r>
              <w:br/>
            </w:r>
            <w:r>
              <w:br/>
            </w:r>
            <w:r>
              <w:rPr>
                <w:vertAlign w:val="superscript"/>
              </w:rPr>
              <w:t xml:space="preserve">3</w:t>
            </w:r>
            <w:r>
              <w:t xml:space="preserve"> </w:t>
            </w:r>
            <w:r>
              <w:t xml:space="preserve">includes light weight cantilevered screens spaced apart for sun-shading purpose without vertical supports. All such structural projections shall not exceed 500mm in depth.</w:t>
            </w:r>
            <w:r>
              <w:br/>
            </w:r>
            <w:r>
              <w:br/>
            </w:r>
            <w:r>
              <w:rPr>
                <w:vertAlign w:val="superscript"/>
              </w:rPr>
              <w:t xml:space="preserve">4</w:t>
            </w:r>
            <w:r>
              <w:t xml:space="preserve"> </w:t>
            </w:r>
            <w:r>
              <w:rPr>
                <w:b/>
                <w:bCs/>
              </w:rPr>
              <w:t xml:space="preserve">Planter boxes</w:t>
            </w:r>
            <w:r>
              <w:t xml:space="preserve">: cantilevered box structures for planting purposes.</w:t>
            </w:r>
            <w:r>
              <w:t xml:space="preserve"> </w:t>
            </w:r>
          </w:p>
        </w:tc>
        <w:tc>
          <w:tcPr/>
          <w:p>
            <w:pPr>
              <w:pStyle w:val="Compact"/>
              <w:jc w:val="left"/>
            </w:pPr>
            <w:r>
              <w:t xml:space="preserve">Into road buffer: 0.5m</w:t>
            </w:r>
            <w:r>
              <w:br/>
            </w:r>
            <w:r>
              <w:br/>
            </w:r>
            <w:r>
              <w:t xml:space="preserve">Into common boundary setback: 0.5m</w:t>
            </w:r>
          </w:p>
        </w:tc>
        <w:tc>
          <w:tcPr/>
          <w:p>
            <w:pPr>
              <w:pStyle w:val="Compact"/>
              <w:jc w:val="left"/>
            </w:pPr>
            <w:r>
              <w:t xml:space="preserve">Into road buffer: 0.5m</w:t>
            </w:r>
            <w:r>
              <w:br/>
            </w:r>
            <w:r>
              <w:br/>
            </w:r>
            <w:r>
              <w:t xml:space="preserve">Not to encroach into common boundary setback</w:t>
            </w:r>
          </w:p>
        </w:tc>
      </w:tr>
      <w:tr>
        <w:tc>
          <w:tcPr/>
          <w:p>
            <w:pPr>
              <w:pStyle w:val="Compact"/>
              <w:jc w:val="left"/>
            </w:pPr>
            <w:r>
              <w:rPr>
                <w:b/>
                <w:bCs/>
              </w:rPr>
              <w:t xml:space="preserve">Bay windows</w:t>
            </w:r>
            <w:r>
              <w:rPr>
                <w:b/>
                <w:bCs/>
                <w:vertAlign w:val="superscript"/>
              </w:rPr>
              <w:t xml:space="preserve">5</w:t>
            </w:r>
            <w:r>
              <w:br/>
            </w:r>
            <w:r>
              <w:br/>
            </w:r>
            <w:r>
              <w:rPr>
                <w:vertAlign w:val="superscript"/>
              </w:rPr>
              <w:t xml:space="preserve">5</w:t>
            </w:r>
            <w:r>
              <w:t xml:space="preserve"> </w:t>
            </w:r>
            <w:r>
              <w:rPr>
                <w:b/>
                <w:bCs/>
              </w:rPr>
              <w:t xml:space="preserve">Bay Window</w:t>
            </w:r>
            <w:r>
              <w:t xml:space="preserve">: Raised windows not exceeding one structural bay width and cantilevered at least 0.5m high from the floor.</w:t>
            </w:r>
            <w:r>
              <w:t xml:space="preserve"> </w:t>
            </w:r>
          </w:p>
        </w:tc>
        <w:tc>
          <w:tcPr>
            <w:gridSpan w:val="2"/>
          </w:tcPr>
          <w:p>
            <w:pPr>
              <w:pStyle w:val="Compact"/>
              <w:jc w:val="left"/>
            </w:pPr>
            <w:r>
              <w:t xml:space="preserve">Not to encroach into road buffer or common boundary setback</w:t>
            </w:r>
          </w:p>
        </w:tc>
      </w:tr>
    </w:tbl>
    <w:bookmarkStart w:id="35" w:name="Building-Appendages1"/>
    <w:bookmarkEnd w:id="35"/>
    <w:bookmarkEnd w:id="36"/>
    <w:p>
      <w:pPr>
        <w:pStyle w:val="BodyText"/>
      </w:pPr>
      <w:hyperlink w:anchor="Unit-Spacing"/>
    </w:p>
    <w:p>
      <w:pPr>
        <w:pStyle w:val="BodyText"/>
      </w:pPr>
      <w:r>
        <w:t xml:space="preserve">Unit Spacing</w:t>
      </w:r>
    </w:p>
    <w:bookmarkStart w:id="38" w:name="Unit-Spacing"/>
    <w:p>
      <w:pPr>
        <w:pStyle w:val="BodyText"/>
      </w:pPr>
      <w:r>
        <w:t xml:space="preserve">Owners/developers and Qualified Persons are free to decide the suitable front, side and rear spacing between individual strata landed units within the site.</w:t>
      </w:r>
    </w:p>
    <w:bookmarkStart w:id="37" w:name="Unit-Spacing1"/>
    <w:bookmarkEnd w:id="37"/>
    <w:bookmarkEnd w:id="38"/>
    <w:p>
      <w:r>
        <w:pict>
          <v:rect style="width:0;height:1.5pt" o:hralign="center" o:hrstd="t" o:hr="t"/>
        </w:pict>
      </w:r>
    </w:p>
    <w:p>
      <w:pPr>
        <w:pStyle w:val="FirstParagraph"/>
      </w:pPr>
      <w:r>
        <w:rPr>
          <w:i/>
          <w:iCs/>
        </w:rPr>
        <w:t xml:space="preserve">Last updated on 23 October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https://www.nparks.gov.sg/partner-us/development-plan-submission/guidelines-on-greenery-provision-and-tree-conservation-for-developments" TargetMode="External" /></Relationships>
</file>

<file path=word/_rels/footnotes.xml.rels><?xml version="1.0" encoding="UTF-8"?><Relationships xmlns="http://schemas.openxmlformats.org/package/2006/relationships"><Relationship Type="http://schemas.openxmlformats.org/officeDocument/2006/relationships/hyperlink" Id="rId32" Target="https://www.nparks.gov.sg/partner-us/development-plan-submission/guidelines-on-greenery-provision-and-tree-conservation-for-develop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2024-05-23T00:52:30Z</dcterms:created>
  <dcterms:modified xsi:type="dcterms:W3CDTF">2024-05-23T00:52:30Z</dcterms:modified>
</cp:coreProperties>
</file>

<file path=docProps/custom.xml><?xml version="1.0" encoding="utf-8"?>
<Properties xmlns="http://schemas.openxmlformats.org/officeDocument/2006/custom-properties" xmlns:vt="http://schemas.openxmlformats.org/officeDocument/2006/docPropsVTypes"/>
</file>