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special-and-detailed-control-plans"/>
    <w:p>
      <w:pPr>
        <w:pStyle w:val="Heading3"/>
      </w:pPr>
      <w:r>
        <w:t xml:space="preserve">Special and Detailed Control Plans</w:t>
      </w:r>
    </w:p>
    <w:p>
      <w:pPr>
        <w:pStyle w:val="FirstParagraph"/>
      </w:pPr>
      <w:r>
        <w:t xml:space="preserve">Special and Detailed Control Plans (SDCP) provide detailed guidelines for specific areas. The SDCPs may be viewed</w:t>
      </w:r>
      <w:r>
        <w:t xml:space="preserve"> </w:t>
      </w:r>
      <w:hyperlink r:id="rId20">
        <w:r>
          <w:rPr>
            <w:rStyle w:val="Hyperlink"/>
          </w:rPr>
          <w:t xml:space="preserve">here</w:t>
        </w:r>
      </w:hyperlink>
      <w:r>
        <w:t xml:space="preserve">.</w:t>
      </w:r>
    </w:p>
    <w:bookmarkEnd w:id="21"/>
    <w:bookmarkStart w:id="23" w:name="column_0_right_1_txtTitle"/>
    <w:bookmarkStart w:id="22" w:name="section"/>
    <w:p>
      <w:pPr>
        <w:pStyle w:val="Heading3"/>
      </w:pPr>
    </w:p>
    <w:bookmarkEnd w:id="22"/>
    <w:bookmarkEnd w:id="23"/>
    <w:p>
      <w:pPr>
        <w:pStyle w:val="FirstParagraph"/>
      </w:pPr>
      <w:hyperlink w:anchor="SpecialControlAreas"/>
    </w:p>
    <w:p>
      <w:pPr>
        <w:pStyle w:val="BodyText"/>
      </w:pPr>
      <w:r>
        <w:t xml:space="preserve">Special Control Areas</w:t>
      </w:r>
    </w:p>
    <w:bookmarkStart w:id="31" w:name="SpecialControlAreas"/>
    <w:p>
      <w:pPr>
        <w:pStyle w:val="BodyText"/>
      </w:pPr>
      <w:r>
        <w:t xml:space="preserve">The following areas may be subject to security screening requirements. URA will confirm this upon submission of a proposed development.</w:t>
      </w:r>
    </w:p>
    <w:p>
      <w:pPr>
        <w:pStyle w:val="BodyText"/>
      </w:pPr>
      <w:hyperlink r:id="rId24">
        <w:r>
          <w:rPr>
            <w:rStyle w:val="Hyperlink"/>
          </w:rPr>
          <w:t xml:space="preserve">https://ura.gov.sg/-/media/Corporate/Guidelines/Development-control/Industrial/Special-Control-Area-1.jpg?h=416&amp;w=750</w:t>
        </w:r>
      </w:hyperlink>
    </w:p>
    <w:p>
      <w:pPr>
        <w:pStyle w:val="BodyText"/>
      </w:pPr>
      <w:r>
        <w:t xml:space="preserve">                                                                  Special Control Area 1</w:t>
      </w:r>
    </w:p>
    <w:p>
      <w:pPr>
        <w:pStyle w:val="BodyText"/>
      </w:pPr>
      <w:hyperlink r:id="rId25">
        <w:r>
          <w:rPr>
            <w:rStyle w:val="Hyperlink"/>
          </w:rPr>
          <w:t xml:space="preserve">https://ura.gov.sg/-/media/Corporate/Guidelines/Development-control/Industrial/Special-Control-Area-2.jpg?h=383&amp;w=750</w:t>
        </w:r>
      </w:hyperlink>
    </w:p>
    <w:p>
      <w:pPr>
        <w:pStyle w:val="BodyText"/>
      </w:pPr>
      <w:r>
        <w:t xml:space="preserve">                                                                  Special Control Area 2</w:t>
      </w:r>
    </w:p>
    <w:p>
      <w:pPr>
        <w:pStyle w:val="BodyText"/>
      </w:pPr>
      <w:r>
        <w:t xml:space="preserve">Qualified Persons (QPs) should consider the screening requirements in the early stage of their planning and design to avoid abortive work subsequently.</w:t>
      </w:r>
    </w:p>
    <w:p>
      <w:pPr>
        <w:pStyle w:val="BodyText"/>
      </w:pPr>
      <w:r>
        <w:t xml:space="preserve">Where security screening is deemed necessary, it shall consist of permanent fixtures that are difficult, if not impossible to remove. The following screening measures may be considered:</w:t>
      </w:r>
    </w:p>
    <w:bookmarkStart w:id="30" w:name="SpecialControlAreas1"/>
    <w:p>
      <w:pPr>
        <w:pStyle w:val="BodyText"/>
      </w:pPr>
      <w:hyperlink w:anchor="VisualScreening"/>
    </w:p>
    <w:bookmarkStart w:id="26" w:name="visual-screening"/>
    <w:p>
      <w:pPr>
        <w:pStyle w:val="Heading4"/>
      </w:pPr>
      <w:r>
        <w:t xml:space="preserve">Visual Screening</w:t>
      </w:r>
    </w:p>
    <w:bookmarkEnd w:id="26"/>
    <w:bookmarkStart w:id="27" w:name="VisualScreening"/>
    <w:p>
      <w:pPr>
        <w:pStyle w:val="FirstParagraph"/>
      </w:pPr>
      <w:r>
        <w:t xml:space="preserve">Residential units and common areas may be screened where necessary with blank walls, external concrete/metal fins, or the building may be re-orientated such that the windows</w:t>
      </w:r>
      <w:r>
        <w:rPr>
          <w:vertAlign w:val="superscript"/>
        </w:rPr>
        <w:t xml:space="preserve">1</w:t>
      </w:r>
      <w:r>
        <w:t xml:space="preserve">/openings/balconies do not have direct view towards the protected area.</w:t>
      </w:r>
    </w:p>
    <w:p>
      <w:pPr>
        <w:pStyle w:val="BodyText"/>
      </w:pPr>
      <w:r>
        <w:rPr>
          <w:vertAlign w:val="superscript"/>
        </w:rPr>
        <w:t xml:space="preserve">1</w:t>
      </w:r>
      <w:r>
        <w:t xml:space="preserve"> </w:t>
      </w:r>
      <w:r>
        <w:rPr>
          <w:b/>
          <w:bCs/>
        </w:rPr>
        <w:t xml:space="preserve">Window</w:t>
      </w:r>
      <w:r>
        <w:t xml:space="preserve">: Raised openings that are at least 0.9m above the floor slab. They are intended to provide ventilation and lighting, and not for access. Full height windows and windows that are lower than 0.9m that can potentially be used as access points will need to be highlighted in the submission plans for URA’s evaluation and approval.</w:t>
      </w:r>
    </w:p>
    <w:bookmarkEnd w:id="27"/>
    <w:p>
      <w:pPr>
        <w:pStyle w:val="BodyText"/>
      </w:pPr>
      <w:hyperlink w:anchor="RoofScreening"/>
    </w:p>
    <w:bookmarkStart w:id="28" w:name="roof-screening"/>
    <w:p>
      <w:pPr>
        <w:pStyle w:val="Heading4"/>
      </w:pPr>
      <w:r>
        <w:t xml:space="preserve">Roof Screening</w:t>
      </w:r>
    </w:p>
    <w:bookmarkEnd w:id="28"/>
    <w:bookmarkStart w:id="29" w:name="RoofScreening"/>
    <w:p>
      <w:pPr>
        <w:pStyle w:val="FirstParagraph"/>
      </w:pPr>
      <w:r>
        <w:t xml:space="preserve">The parapet wall at the rooftop shall be at least 3m high and access to the rooftop from a public area shall be secured by a lockable door/hatch. The door/hatch may be electronically linked to an alarm system monitored by the building management.</w:t>
      </w:r>
    </w:p>
    <w:bookmarkEnd w:id="29"/>
    <w:bookmarkEnd w:id="30"/>
    <w:bookmarkEnd w:id="31"/>
    <w:p>
      <w:r>
        <w:pict>
          <v:rect style="width:0;height:1.5pt" o:hralign="center" o:hrstd="t" o:hr="t"/>
        </w:pict>
      </w:r>
    </w:p>
    <w:p>
      <w:pPr>
        <w:pStyle w:val="FirstParagraph"/>
      </w:pPr>
      <w:r>
        <w:rPr>
          <w:i/>
          <w:iCs/>
        </w:rPr>
        <w:t xml:space="preserve">Last updated on 13 April 2020</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ttps://ura.gov.sg/-/media/Corporate/Guidelines/Development-control/Industrial/Special-Control-Area-1.jpg?h=416&amp;w=750" TargetMode="External" /><Relationship Type="http://schemas.openxmlformats.org/officeDocument/2006/relationships/hyperlink" Id="rId25" Target="https://ura.gov.sg/-/media/Corporate/Guidelines/Development-control/Industrial/Special-Control-Area-2.jpg?h=383&amp;w=750" TargetMode="External" /><Relationship Type="http://schemas.openxmlformats.org/officeDocument/2006/relationships/hyperlink" Id="rId20" Target="https://www.ura.gov.sg/maps/index.html?service=CTRLPLAN" TargetMode="External" /></Relationships>
</file>

<file path=word/_rels/footnotes.xml.rels><?xml version="1.0" encoding="UTF-8"?><Relationships xmlns="http://schemas.openxmlformats.org/package/2006/relationships"><Relationship Type="http://schemas.openxmlformats.org/officeDocument/2006/relationships/hyperlink" Id="rId24" Target="https://ura.gov.sg/-/media/Corporate/Guidelines/Development-control/Industrial/Special-Control-Area-1.jpg?h=416&amp;w=750" TargetMode="External" /><Relationship Type="http://schemas.openxmlformats.org/officeDocument/2006/relationships/hyperlink" Id="rId25" Target="https://ura.gov.sg/-/media/Corporate/Guidelines/Development-control/Industrial/Special-Control-Area-2.jpg?h=383&amp;w=750" TargetMode="External" /><Relationship Type="http://schemas.openxmlformats.org/officeDocument/2006/relationships/hyperlink" Id="rId20" Target="https://www.ura.gov.sg/maps/index.html?service=CTRLPLA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2024-05-23T03:20:56Z</dcterms:created>
  <dcterms:modified xsi:type="dcterms:W3CDTF">2024-05-23T03:20:56Z</dcterms:modified>
</cp:coreProperties>
</file>

<file path=docProps/custom.xml><?xml version="1.0" encoding="utf-8"?>
<Properties xmlns="http://schemas.openxmlformats.org/officeDocument/2006/custom-properties" xmlns:vt="http://schemas.openxmlformats.org/officeDocument/2006/docPropsVTypes"/>
</file>