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https://ura.gov.sg/-/media/Corporate/Guidelines/Development-control/Landed-Housing/TH04A_Envelope_Control_3D_With_Fins.jpg?h=100%25&amp;w=100%25</w:t>
        </w:r>
      </w:hyperlink>
    </w:p>
    <w:p>
      <w:pPr>
        <w:pStyle w:val="BodyText"/>
      </w:pPr>
      <w:r>
        <w:rPr>
          <w:i/>
          <w:iCs/>
        </w:rPr>
        <w:t xml:space="preserve">Envelope Control Guidelines</w:t>
      </w:r>
    </w:p>
    <w:p>
      <w:pPr>
        <w:pStyle w:val="BodyText"/>
      </w:pPr>
      <w:r>
        <w:t xml:space="preserve">From 11 May 2015, all landed housing shall follow the envelope control guidelines which define an allowable building envelope based on storey height and building setbacks. The development shall not exceed the permissible building envelope as illustrated in the figure above.</w:t>
      </w:r>
    </w:p>
    <w:p>
      <w:pPr>
        <w:pStyle w:val="BodyText"/>
      </w:pPr>
      <w:r>
        <w:t xml:space="preserve">For existing landed housing approved under previous landed housing guidelines, new Additions and Alterations works should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metres.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neighbourhood character</w:t>
      </w:r>
      <w:r>
        <w:rPr>
          <w:vertAlign w:val="superscript"/>
        </w:rPr>
        <w:t xml:space="preserve">1</w:t>
      </w:r>
      <w:r>
        <w:t xml:space="preserve">.</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hyperlink r:id="rId24">
        <w:r>
          <w:rPr>
            <w:rStyle w:val="Hyperlink"/>
          </w:rPr>
          <w:t xml:space="preserve">https://ura.gov.sg/-/media/Corporate/Guidelines/Development-control/Bungalows/LHD11-Envelope-control-2styedited10aug21LHD09A-Envelope-control-2sty.jpg?h=327&amp;w=800</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r>
        <w:t xml:space="preserve"> </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3"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2</w:t>
            </w:r>
            <w:r>
              <w:t xml:space="preserve"> 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 </w:t>
            </w:r>
          </w:p>
        </w:tc>
      </w:tr>
    </w:tbl>
    <w:p>
      <w:pPr>
        <w:pStyle w:val="FirstParagraph"/>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2" w:name="Basements1"/>
    <w:p>
      <w:pPr>
        <w:pStyle w:val="BodyText"/>
      </w:pPr>
      <w:hyperlink w:anchor="Exceptions"/>
    </w:p>
    <w:bookmarkStart w:id="36" w:name="basements-in-low-lying-areas"/>
    <w:p>
      <w:pPr>
        <w:pStyle w:val="Heading4"/>
      </w:pPr>
      <w:r>
        <w:t xml:space="preserve">Basements in Low-lying Areas</w:t>
      </w:r>
    </w:p>
    <w:bookmarkEnd w:id="36"/>
    <w:bookmarkStart w:id="38" w:name="Exceptions"/>
    <w:p>
      <w:pPr>
        <w:pStyle w:val="FirstParagraph"/>
      </w:pPr>
      <w:r>
        <w:t xml:space="preserve">For sites in low lying landed housing areas, internal areas below the minimum platform level (MPL)</w:t>
      </w:r>
      <w:r>
        <w:rPr>
          <w:vertAlign w:val="superscript"/>
        </w:rPr>
        <w:t xml:space="preserve">3</w:t>
      </w:r>
      <w:r>
        <w:t xml:space="preserve"> </w:t>
      </w:r>
      <w:r>
        <w:t xml:space="preserve">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allowed to be built up to the site lot boundary.</w:t>
      </w:r>
    </w:p>
    <w:p>
      <w:pPr>
        <w:pStyle w:val="BodyText"/>
      </w:pPr>
      <w:hyperlink r:id="rId37">
        <w:r>
          <w:rPr>
            <w:rStyle w:val="Hyperlink"/>
          </w:rPr>
          <w:t xml:space="preserve">https://ura.gov.sg/-/media/Corporate/Guidelines/Development-control/Landed-Housing/LHD16_Height_MPL_2D.jpg?h=100%25&amp;w=100%25</w:t>
        </w:r>
      </w:hyperlink>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38"/>
    <w:p>
      <w:pPr>
        <w:pStyle w:val="FirstParagraph"/>
      </w:pPr>
      <w:hyperlink w:anchor="Sloping"/>
    </w:p>
    <w:bookmarkStart w:id="39" w:name="basements-on-sloping-sites"/>
    <w:p>
      <w:pPr>
        <w:pStyle w:val="Heading4"/>
      </w:pPr>
      <w:r>
        <w:t xml:space="preserve">Basements on Sloping Sites</w:t>
      </w:r>
    </w:p>
    <w:bookmarkEnd w:id="39"/>
    <w:bookmarkStart w:id="41" w:name="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hyperlink r:id="rId40">
        <w:r>
          <w:rPr>
            <w:rStyle w:val="Hyperlink"/>
          </w:rPr>
          <w:t xml:space="preserve">https://ura.gov.sg/-/media/Corporate/Guidelines/Development-control/Landed-Housing/LHD15_Envelope_Control_Sloping_Sites.jpg?h=100%25&amp;w=100%25</w:t>
        </w:r>
      </w:hyperlink>
    </w:p>
    <w:p>
      <w:pPr>
        <w:pStyle w:val="BodyText"/>
      </w:pPr>
      <w:r>
        <w:rPr>
          <w:i/>
          <w:iCs/>
        </w:rPr>
        <w:t xml:space="preserve">Basement on Sloping Sites</w:t>
      </w:r>
    </w:p>
    <w:bookmarkEnd w:id="41"/>
    <w:bookmarkEnd w:id="42"/>
    <w:bookmarkEnd w:id="43"/>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800"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40" Target="https://ura.gov.sg/-/media/Corporate/Guidelines/Development-control/Landed-Housing/LHD15_Envelope_Control_Sloping_Sites.jpg?h=100%25&amp;w=100%25" TargetMode="External" /><Relationship Type="http://schemas.openxmlformats.org/officeDocument/2006/relationships/hyperlink" Id="rId37" Target="https://ura.gov.sg/-/media/Corporate/Guidelines/Development-control/Landed-Housing/LHD16_Height_MPL_2D.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0" Target="https://ura.gov.sg/-/media/Corporate/Guidelines/Development-control/Landed-Housing/TH04A_Envelope_Control_3D_With_Fins.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800"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40" Target="https://ura.gov.sg/-/media/Corporate/Guidelines/Development-control/Landed-Housing/LHD15_Envelope_Control_Sloping_Sites.jpg?h=100%25&amp;w=100%25" TargetMode="External" /><Relationship Type="http://schemas.openxmlformats.org/officeDocument/2006/relationships/hyperlink" Id="rId37" Target="https://ura.gov.sg/-/media/Corporate/Guidelines/Development-control/Landed-Housing/LHD16_Height_MPL_2D.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0" Target="https://ura.gov.sg/-/media/Corporate/Guidelines/Development-control/Landed-Housing/TH04A_Envelope_Control_3D_With_Fins.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2024-05-23T03:20:57Z</dcterms:created>
  <dcterms:modified xsi:type="dcterms:W3CDTF">2024-05-23T03:20:57Z</dcterms:modified>
</cp:coreProperties>
</file>

<file path=docProps/custom.xml><?xml version="1.0" encoding="utf-8"?>
<Properties xmlns="http://schemas.openxmlformats.org/officeDocument/2006/custom-properties" xmlns:vt="http://schemas.openxmlformats.org/officeDocument/2006/docPropsVTypes"/>
</file>