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https://www.ura.gov.sg/-/media/Corporate/Guidelines/Development-control/Landed-Housing/TH02_Setbacks_Terrace_1.jpg?h=100%25&amp;w=100%25</w:t>
        </w:r>
      </w:hyperlink>
    </w:p>
    <w:p>
      <w:pPr>
        <w:pStyle w:val="BodyText"/>
      </w:pPr>
      <w:r>
        <w:rPr>
          <w:i/>
          <w:iCs/>
        </w:rPr>
        <w:t xml:space="preserve">Building Setback of Terrace Type I Houses</w:t>
      </w:r>
    </w:p>
    <w:bookmarkEnd w:id="21"/>
    <w:bookmarkStart w:id="23" w:name="column_0_right_1_txtTitle"/>
    <w:bookmarkStart w:id="22" w:name="section"/>
    <w:p>
      <w:pPr>
        <w:pStyle w:val="Heading3"/>
      </w:pPr>
    </w:p>
    <w:bookmarkEnd w:id="22"/>
    <w:bookmarkEnd w:id="23"/>
    <w:p>
      <w:pPr>
        <w:pStyle w:val="FirstParagraph"/>
      </w:pPr>
      <w:hyperlink w:anchor="RB-GB"/>
    </w:p>
    <w:p>
      <w:pPr>
        <w:pStyle w:val="BodyText"/>
      </w:pPr>
      <w:r>
        <w:t xml:space="preserve">Road Buffer and Green Buffer</w:t>
      </w:r>
    </w:p>
    <w:bookmarkStart w:id="29" w:name="RB-GB"/>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center"/>
            </w:pPr>
            <w:r>
              <w:rPr>
                <w:b/>
                <w:bCs/>
              </w:rPr>
              <w:t xml:space="preserve">Road Category</w:t>
            </w:r>
          </w:p>
        </w:tc>
        <w:tc>
          <w:tcPr>
            <w:gridSpan w:val="2"/>
          </w:tcPr>
          <w:p>
            <w:pPr>
              <w:pStyle w:val="Compact"/>
              <w:jc w:val="center"/>
            </w:pPr>
            <w:r>
              <w:rPr>
                <w:b/>
                <w:bCs/>
              </w:rPr>
              <w:t xml:space="preserve">Road Buffer</w:t>
            </w:r>
            <w:r>
              <w:br/>
            </w:r>
            <w:r>
              <w:rPr>
                <w:b/>
                <w:bCs/>
              </w:rPr>
              <w:t xml:space="preserve">(Inclusive of Green Buffer indicated in brackets)</w:t>
            </w:r>
          </w:p>
        </w:tc>
      </w:tr>
      <w:tr>
        <w:tc>
          <w:tcPr>
            <w:gridSpan w:val="1"/>
            <w:vMerge w:val="continue"/>
          </w:tcPr>
          <w:p>
            <w:pPr/>
          </w:p>
        </w:tc>
        <w:tc>
          <w:tcPr/>
          <w:p>
            <w:pPr>
              <w:pStyle w:val="Compact"/>
              <w:jc w:val="center"/>
            </w:pPr>
            <w:r>
              <w:rPr>
                <w:b/>
                <w:bCs/>
              </w:rPr>
              <w:t xml:space="preserve">Terrace Type I</w:t>
            </w:r>
          </w:p>
        </w:tc>
        <w:tc>
          <w:tcPr/>
          <w:p>
            <w:pPr>
              <w:pStyle w:val="Compact"/>
              <w:jc w:val="center"/>
            </w:pPr>
            <w:r>
              <w:rPr>
                <w:b/>
                <w:bCs/>
              </w:rPr>
              <w:t xml:space="preserve">Terrace Type II</w:t>
            </w:r>
          </w:p>
        </w:tc>
      </w:tr>
      <w:tr>
        <w:tc>
          <w:tcPr/>
          <w:p>
            <w:pPr>
              <w:pStyle w:val="Compact"/>
              <w:jc w:val="center"/>
            </w:pPr>
            <w:r>
              <w:t xml:space="preserve">Category 1</w:t>
            </w:r>
          </w:p>
        </w:tc>
        <w:tc>
          <w:tcPr/>
          <w:p>
            <w:pPr>
              <w:pStyle w:val="Compact"/>
              <w:jc w:val="center"/>
            </w:pPr>
            <w:r>
              <w:t xml:space="preserve">Main building: 24m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             </w:t>
            </w:r>
          </w:p>
        </w:tc>
        <w:tc>
          <w:tcPr/>
          <w:p>
            <w:pPr>
              <w:pStyle w:val="Compact"/>
              <w:jc w:val="center"/>
            </w:pPr>
            <w:r>
              <w:t xml:space="preserve">2m</w:t>
            </w:r>
          </w:p>
        </w:tc>
      </w:tr>
      <w:tr>
        <w:tc>
          <w:tcPr/>
          <w:p>
            <w:pPr>
              <w:pStyle w:val="Compact"/>
              <w:jc w:val="center"/>
            </w:pPr>
            <w:r>
              <w:t xml:space="preserve">Category 2</w:t>
            </w:r>
          </w:p>
        </w:tc>
        <w:tc>
          <w:tcPr/>
          <w:p>
            <w:pPr>
              <w:pStyle w:val="Compact"/>
              <w:jc w:val="center"/>
            </w:pPr>
            <w:r>
              <w:t xml:space="preserve">Main building: 12m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r>
              <w:br/>
            </w:r>
          </w:p>
        </w:tc>
        <w:tc>
          <w:tcPr/>
          <w:p>
            <w:pPr>
              <w:pStyle w:val="Compact"/>
              <w:jc w:val="center"/>
            </w:pPr>
            <w:r>
              <w:t xml:space="preserve">2m</w:t>
            </w:r>
          </w:p>
        </w:tc>
      </w:tr>
      <w:tr>
        <w:tc>
          <w:tcPr/>
          <w:p>
            <w:pPr>
              <w:pStyle w:val="Compact"/>
              <w:jc w:val="center"/>
            </w:pPr>
            <w:r>
              <w:t xml:space="preserve">Category 3 &amp; Category 4 / Slip Road</w:t>
            </w:r>
          </w:p>
        </w:tc>
        <w:tc>
          <w:tcPr/>
          <w:p>
            <w:pPr>
              <w:pStyle w:val="Compact"/>
              <w:jc w:val="center"/>
            </w:pPr>
            <w:r>
              <w:t xml:space="preserve">Main building: 7.5m (incl. 3m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             </w:t>
            </w:r>
          </w:p>
        </w:tc>
        <w:tc>
          <w:tcPr/>
          <w:p>
            <w:pPr>
              <w:pStyle w:val="Compact"/>
              <w:jc w:val="center"/>
            </w:pPr>
            <w:r>
              <w:t xml:space="preserve">2m</w:t>
            </w:r>
          </w:p>
        </w:tc>
      </w:tr>
      <w:tr>
        <w:tc>
          <w:tcPr/>
          <w:p>
            <w:pPr>
              <w:pStyle w:val="Compact"/>
              <w:jc w:val="center"/>
            </w:pPr>
            <w:r>
              <w:t xml:space="preserve">Category 5</w:t>
            </w:r>
          </w:p>
        </w:tc>
        <w:tc>
          <w:tcPr/>
          <w:p>
            <w:pPr>
              <w:pStyle w:val="Compact"/>
              <w:jc w:val="center"/>
            </w:pPr>
            <w:r>
              <w:t xml:space="preserve">Main building: 7.5m (no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w:t>
            </w:r>
          </w:p>
        </w:tc>
        <w:tc>
          <w:tcPr/>
          <w:p>
            <w:pPr>
              <w:pStyle w:val="Compact"/>
              <w:jc w:val="center"/>
            </w:pPr>
            <w:r>
              <w:t xml:space="preserve">2m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5">
              <w:r>
                <w:rPr>
                  <w:rStyle w:val="Hyperlink"/>
                </w:rPr>
                <w:t xml:space="preserve">https://www.ura.gov.sg/-/media/Corporate/Guidelines/Development-control/Redevelopment/LH_Fig182b_Redevelopment_NA.jpg</w:t>
              </w:r>
            </w:hyperlink>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w:t>
      </w:r>
      <w:r>
        <w:t xml:space="preserve"> </w:t>
      </w:r>
      <w:hyperlink r:id="rId26"/>
      <w:hyperlink r:id="rId26"/>
      <w:r>
        <w:t xml:space="preserve">Ancillary Structures</w:t>
      </w:r>
      <w:r>
        <w:t xml:space="preserve">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features into the setback areas.</w:t>
      </w:r>
    </w:p>
    <w:bookmarkStart w:id="28" w:name="RB-GB1"/>
    <w:bookmarkEnd w:id="28"/>
    <w:bookmarkEnd w:id="29"/>
    <w:p>
      <w:pPr>
        <w:pStyle w:val="BodyText"/>
      </w:pPr>
      <w:hyperlink w:anchor="Common-Boundary"/>
    </w:p>
    <w:p>
      <w:pPr>
        <w:pStyle w:val="BodyText"/>
      </w:pPr>
      <w:r>
        <w:t xml:space="preserve">Setbacks from Common Boundaries</w:t>
      </w:r>
    </w:p>
    <w:bookmarkStart w:id="31" w:name="Common-Boundary"/>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Structure</w:t>
            </w:r>
          </w:p>
        </w:tc>
        <w:tc>
          <w:tcPr/>
          <w:p>
            <w:pPr>
              <w:pStyle w:val="Compact"/>
              <w:jc w:val="left"/>
            </w:pPr>
            <w:r>
              <w:rPr>
                <w:b/>
                <w:bCs/>
              </w:rPr>
              <w:t xml:space="preserve">Terrace Type I</w:t>
            </w:r>
          </w:p>
        </w:tc>
        <w:tc>
          <w:tcPr/>
          <w:p>
            <w:pPr>
              <w:pStyle w:val="Compact"/>
              <w:jc w:val="left"/>
            </w:pPr>
            <w:r>
              <w:rPr>
                <w:b/>
                <w:bCs/>
              </w:rPr>
              <w:t xml:space="preserve">Terrace Type II</w:t>
            </w:r>
            <w:r>
              <w:br/>
            </w:r>
          </w:p>
        </w:tc>
      </w:tr>
      <w:tr>
        <w:tc>
          <w:tcPr/>
          <w:p>
            <w:pPr>
              <w:pStyle w:val="Compact"/>
              <w:jc w:val="left"/>
            </w:pPr>
            <w:r>
              <w:t xml:space="preserve">Main Building</w:t>
            </w:r>
            <w:r>
              <w:br/>
            </w:r>
            <w:r>
              <w:br/>
            </w:r>
            <w:r>
              <w:t xml:space="preserve">Car Porch columns</w:t>
            </w:r>
            <w:r>
              <w:br/>
            </w:r>
            <w:r>
              <w:br/>
            </w:r>
            <w:r>
              <w:t xml:space="preserve">Terrace/Patio</w:t>
            </w:r>
          </w:p>
        </w:tc>
        <w:tc>
          <w:tcPr/>
          <w:p>
            <w:pPr>
              <w:pStyle w:val="Compact"/>
              <w:jc w:val="left"/>
            </w:pPr>
            <w:r>
              <w:t xml:space="preserve">Main building: 2m</w:t>
            </w:r>
            <w:r>
              <w:br/>
            </w:r>
            <w:r>
              <w:br/>
            </w:r>
            <w:r>
              <w:rPr>
                <w:b/>
                <w:bCs/>
                <w:i/>
                <w:iCs/>
              </w:rPr>
              <w:t xml:space="preserve">Note</w:t>
            </w:r>
            <w:r>
              <w:rPr>
                <w:i/>
                <w:iCs/>
              </w:rPr>
              <w:t xml:space="preserve">: The 3m GCBA common boundary setback requirements shall apply if the plot abuts a GCBA.</w:t>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left"/>
            </w:pPr>
            <w:r>
              <w:t xml:space="preserve">Roof eaves*: 1m</w:t>
            </w:r>
            <w:r>
              <w:br/>
            </w:r>
            <w:r>
              <w:br/>
            </w:r>
            <w:r>
              <w:rPr>
                <w:b/>
                <w:bCs/>
                <w:i/>
                <w:iCs/>
              </w:rPr>
              <w:t xml:space="preserve">Note</w:t>
            </w:r>
            <w:r>
              <w:rPr>
                <w:i/>
                <w:iCs/>
              </w:rPr>
              <w:t xml:space="preserve">: The 1.6m GCBA common boundary setback requirements shall apply if the plot abuts a GCBA.</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t xml:space="preserve">Refer to</w:t>
      </w:r>
      <w:r>
        <w:t xml:space="preserve"> </w:t>
      </w:r>
      <w:hyperlink r:id="rId26"/>
      <w:r>
        <w:t xml:space="preserve">Ancillary Structures</w:t>
      </w:r>
      <w:r>
        <w:t xml:space="preserve">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appendages into the setback areas.</w:t>
      </w:r>
    </w:p>
    <w:bookmarkStart w:id="30" w:name="Common-Boundary1"/>
    <w:bookmarkEnd w:id="30"/>
    <w:bookmarkEnd w:id="31"/>
    <w:p>
      <w:pPr>
        <w:pStyle w:val="BodyText"/>
      </w:pPr>
      <w:hyperlink w:anchor="Irregular-Odd-Shaped-Plots"/>
    </w:p>
    <w:p>
      <w:pPr>
        <w:pStyle w:val="BodyText"/>
      </w:pPr>
      <w:r>
        <w:t xml:space="preserve">Setbacks for existing irregular or odd-shaped plots (excluding newly created plots)</w:t>
      </w:r>
    </w:p>
    <w:bookmarkStart w:id="36" w:name="Irregular-Odd-Shaped-Plots"/>
    <w:p>
      <w:pPr>
        <w:pStyle w:val="BodyText"/>
      </w:pPr>
      <w:r>
        <w:t xml:space="preserve">For already existing irregular or odd-shaped plots (excluding newly created ones), the standard 7.5m building setback from a road shall apply for a width of 8m, measured from the common boundary line with the adjoining neighbour. Beyond the 8m width, a reduced 2m building setback may be allowed, except for the car porch where a minimum 2.4m setback is required.</w:t>
      </w:r>
    </w:p>
    <w:p>
      <w:pPr>
        <w:pStyle w:val="BodyText"/>
      </w:pPr>
      <w:hyperlink r:id="rId32">
        <w:r>
          <w:rPr>
            <w:rStyle w:val="Hyperlink"/>
          </w:rPr>
          <w:t xml:space="preserve">https://www.ura.gov.sg/-/media/Corporate/Guidelines/Development-control/Landed-Housing/SD05_Setbacks_Odd_Shaped_Plots.jpg</w:t>
        </w:r>
      </w:hyperlink>
    </w:p>
    <w:p>
      <w:pPr>
        <w:pStyle w:val="BodyText"/>
      </w:pPr>
      <w:r>
        <w:rPr>
          <w:i/>
          <w:iCs/>
        </w:rPr>
        <w:t xml:space="preserve">Setbacks for corner terrace houses on irregular or odd-shaped plots</w:t>
      </w:r>
    </w:p>
    <w:p>
      <w:pPr>
        <w:pStyle w:val="BodyText"/>
      </w:pPr>
      <w:r>
        <w:t xml:space="preserve">A plot is deemed irregular or odd-shaped if:</w:t>
      </w:r>
    </w:p>
    <w:p>
      <w:pPr>
        <w:pStyle w:val="Compact"/>
        <w:numPr>
          <w:ilvl w:val="0"/>
          <w:numId w:val="1001"/>
        </w:numPr>
      </w:pPr>
      <w:r>
        <w:t xml:space="preserve">It is an</w:t>
      </w:r>
      <w:r>
        <w:t xml:space="preserve"> </w:t>
      </w:r>
      <w:r>
        <w:t xml:space="preserve">existing</w:t>
      </w:r>
      <w:r>
        <w:t xml:space="preserve"> </w:t>
      </w:r>
      <w:r>
        <w:t xml:space="preserve">plot configuration and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4"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hyperlink r:id="rId33">
              <w:r>
                <w:rPr>
                  <w:rStyle w:val="Hyperlink"/>
                </w:rPr>
                <w:t xml:space="preserve">https://www.ura.gov.sg/-/media/Corporate/Guidelines/Development-control/Redevelopment/LH_Fig182a_Redevelopment_NA.jpg</w:t>
              </w:r>
            </w:hyperlink>
          </w:p>
        </w:tc>
      </w:tr>
      <w:tr>
        <w:tc>
          <w:tcPr>
            <w:gridSpan w:val="2"/>
          </w:tcPr>
          <w:p>
            <w:pPr>
              <w:pStyle w:val="Compact"/>
              <w:jc w:val="center"/>
            </w:pPr>
            <w:r>
              <w:t xml:space="preserve">B1 &amp; B2 are newly created constrained plots. Such new subdivisions are not eligible to apply the reduced front setback guideline.</w:t>
            </w:r>
          </w:p>
        </w:tc>
      </w:tr>
    </w:tbl>
    <w:p>
      <w:pPr>
        <w:pStyle w:val="BodyText"/>
      </w:pPr>
      <w:r>
        <w:br/>
      </w:r>
      <w:r>
        <w:br/>
      </w:r>
    </w:p>
    <w:bookmarkEnd w:id="34"/>
    <w:bookmarkStart w:id="35" w:name="Irregular-Odd-Shaped-Plots1"/>
    <w:bookmarkEnd w:id="35"/>
    <w:bookmarkEnd w:id="36"/>
    <w:p>
      <w:pPr>
        <w:pStyle w:val="BodyText"/>
      </w:pPr>
      <w:hyperlink w:anchor="Rear-Setback"/>
    </w:p>
    <w:p>
      <w:pPr>
        <w:pStyle w:val="BodyText"/>
      </w:pPr>
      <w:r>
        <w:t xml:space="preserve">Rear Setback for Terrace Houses Abutting Existing Back Lanes</w:t>
      </w:r>
    </w:p>
    <w:bookmarkStart w:id="39" w:name="Rear-Setback"/>
    <w:p>
      <w:pPr>
        <w:pStyle w:val="BodyText"/>
      </w:pPr>
      <w:r>
        <w:t xml:space="preserve">The 1</w:t>
      </w:r>
      <w:r>
        <w:rPr>
          <w:vertAlign w:val="superscript"/>
        </w:rPr>
        <w:t xml:space="preserve">st</w:t>
      </w:r>
      <w:r>
        <w:t xml:space="preserve"> </w:t>
      </w:r>
      <w:r>
        <w:t xml:space="preserve">storey rear extension of terrace houses may be allowed to abut existing back lanes. Such back lanes (with widths of between 4 to 6m) would provide adequate setback between 2 rows of houses.</w:t>
      </w:r>
    </w:p>
    <w:p>
      <w:pPr>
        <w:pStyle w:val="BodyText"/>
      </w:pPr>
      <w:hyperlink r:id="rId37">
        <w:r>
          <w:rPr>
            <w:rStyle w:val="Hyperlink"/>
          </w:rPr>
          <w:t xml:space="preserve">https://www.ura.gov.sg/-/media/Corporate/Guidelines/Development-control/Landed-Housing/LH_Rear_Extensions_Abutting_Back_Lane.jpg?h=100%25&amp;w=100%25</w:t>
        </w:r>
      </w:hyperlink>
    </w:p>
    <w:p>
      <w:pPr>
        <w:pStyle w:val="BodyText"/>
      </w:pPr>
      <w:r>
        <w:rPr>
          <w:i/>
          <w:iCs/>
        </w:rPr>
        <w:t xml:space="preserve">Rear setback for terrace houses abutting existing back lanes</w:t>
      </w:r>
    </w:p>
    <w:p>
      <w:pPr>
        <w:pStyle w:val="BodyText"/>
      </w:pPr>
      <w:r>
        <w:t xml:space="preserve">All such rear extensions shall comply with the following requirements:</w:t>
      </w:r>
    </w:p>
    <w:p>
      <w:pPr>
        <w:pStyle w:val="Compact"/>
        <w:numPr>
          <w:ilvl w:val="0"/>
          <w:numId w:val="1002"/>
        </w:numPr>
      </w:pPr>
      <w:r>
        <w:t xml:space="preserve">The height of the rear extension shall not exceed that of the floor-to-floor height of first storey.</w:t>
      </w:r>
    </w:p>
    <w:p>
      <w:pPr>
        <w:pStyle w:val="Compact"/>
        <w:numPr>
          <w:ilvl w:val="0"/>
          <w:numId w:val="1002"/>
        </w:numPr>
      </w:pPr>
      <w:r>
        <w:t xml:space="preserve">No structure or roof eave shall encroach into the back lane.</w:t>
      </w:r>
    </w:p>
    <w:p>
      <w:pPr>
        <w:pStyle w:val="Compact"/>
        <w:numPr>
          <w:ilvl w:val="0"/>
          <w:numId w:val="1002"/>
        </w:numPr>
      </w:pPr>
      <w:r>
        <w:t xml:space="preserve">For houses abutting state owned back lanes, new door and window openings may be allowed at the walls or boundary walls abutting the back lanes.</w:t>
      </w:r>
    </w:p>
    <w:p>
      <w:pPr>
        <w:pStyle w:val="Compact"/>
        <w:numPr>
          <w:ilvl w:val="0"/>
          <w:numId w:val="1002"/>
        </w:numPr>
      </w:pPr>
      <w:r>
        <w:t xml:space="preserve">For houses abutting privately owned back lanes, existing door or window openings may remain, but they shall not be enlarged or shifted. New openings or enlargement of existing openings along privately owned back lanes shall not be allowed unless the applicant has prior written consent from the back lane owner.</w:t>
      </w:r>
    </w:p>
    <w:p>
      <w:pPr>
        <w:pStyle w:val="Compact"/>
        <w:numPr>
          <w:ilvl w:val="0"/>
          <w:numId w:val="1002"/>
        </w:numPr>
      </w:pPr>
      <w:r>
        <w:t xml:space="preserve">Any new openings, where allowed, shall open inwards.</w:t>
      </w:r>
    </w:p>
    <w:p>
      <w:pPr>
        <w:pStyle w:val="Compact"/>
        <w:numPr>
          <w:ilvl w:val="0"/>
          <w:numId w:val="1002"/>
        </w:numPr>
      </w:pPr>
      <w:r>
        <w:t xml:space="preserve">A planning condition may be imposed requiring the closure of any openings along the back lane, in the event the back lane is redeveloped.</w:t>
      </w:r>
    </w:p>
    <w:bookmarkStart w:id="38" w:name="Rear-Setback1"/>
    <w:bookmarkEnd w:id="38"/>
    <w:bookmarkEnd w:id="39"/>
    <w:p>
      <w:pPr>
        <w:pStyle w:val="FirstParagraph"/>
      </w:pPr>
      <w:hyperlink w:anchor="Rear-Garden-Landed-Housing"/>
    </w:p>
    <w:p>
      <w:pPr>
        <w:pStyle w:val="BodyText"/>
      </w:pPr>
      <w:r>
        <w:t xml:space="preserve">Rear Garden Landed Housing</w:t>
      </w:r>
    </w:p>
    <w:bookmarkStart w:id="50"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0">
        <w:r>
          <w:rPr>
            <w:rStyle w:val="Hyperlink"/>
          </w:rPr>
          <w:t xml:space="preserve">Hong Leong Garden</w:t>
        </w:r>
      </w:hyperlink>
      <w:r>
        <w:t xml:space="preserve"> (PDF, 1.22 MB),</w:t>
      </w:r>
      <w:r>
        <w:t xml:space="preserve"> </w:t>
      </w:r>
      <w:hyperlink r:id="rId41">
        <w:r>
          <w:rPr>
            <w:rStyle w:val="Hyperlink"/>
          </w:rPr>
          <w:t xml:space="preserve">Clementi Green Estate</w:t>
        </w:r>
      </w:hyperlink>
      <w:r>
        <w:t xml:space="preserve"> (PDF, 1.05 MB),</w:t>
      </w:r>
      <w:r>
        <w:t xml:space="preserve"> </w:t>
      </w:r>
      <w:hyperlink r:id="rId42">
        <w:r>
          <w:rPr>
            <w:rStyle w:val="Hyperlink"/>
          </w:rPr>
          <w:t xml:space="preserve">Changi Heights</w:t>
        </w:r>
      </w:hyperlink>
      <w:r>
        <w:t xml:space="preserve"> (PDF, 1.25 MB),</w:t>
      </w:r>
      <w:r>
        <w:t xml:space="preserve"> </w:t>
      </w:r>
      <w:hyperlink r:id="rId43">
        <w:r>
          <w:rPr>
            <w:rStyle w:val="Hyperlink"/>
          </w:rPr>
          <w:t xml:space="preserve">Lasia Avenue</w:t>
        </w:r>
      </w:hyperlink>
      <w:r>
        <w:t xml:space="preserve"> (PDF, 1.15 MB),</w:t>
      </w:r>
      <w:r>
        <w:t xml:space="preserve"> </w:t>
      </w:r>
      <w:hyperlink r:id="rId44">
        <w:r>
          <w:rPr>
            <w:rStyle w:val="Hyperlink"/>
          </w:rPr>
          <w:t xml:space="preserve">Peach Garden</w:t>
        </w:r>
      </w:hyperlink>
      <w:r>
        <w:t xml:space="preserve"> (PDF, 1.18 MB),</w:t>
      </w:r>
      <w:r>
        <w:t xml:space="preserve"> </w:t>
      </w:r>
      <w:hyperlink r:id="rId45">
        <w:r>
          <w:rPr>
            <w:rStyle w:val="Hyperlink"/>
          </w:rPr>
          <w:t xml:space="preserve">The Inglewood</w:t>
        </w:r>
      </w:hyperlink>
      <w:r>
        <w:t xml:space="preserve"> (part) (PDF, 134 KB),</w:t>
      </w:r>
      <w:r>
        <w:t xml:space="preserve"> </w:t>
      </w:r>
      <w:hyperlink r:id="rId46">
        <w:r>
          <w:rPr>
            <w:rStyle w:val="Hyperlink"/>
          </w:rPr>
          <w:t xml:space="preserve">Ford Avenue</w:t>
        </w:r>
      </w:hyperlink>
      <w:r>
        <w:t xml:space="preserve"> (PDF, 1.11 MB) and</w:t>
      </w:r>
      <w:r>
        <w:t xml:space="preserve"> </w:t>
      </w:r>
      <w:hyperlink r:id="rId47">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 Locational Criteria 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hyperlink r:id="rId48">
        <w:r>
          <w:rPr>
            <w:rStyle w:val="Hyperlink"/>
          </w:rPr>
          <w:t xml:space="preserve">https://www.ura.gov.sg/-/media/Corporate/Guidelines/Development-control/Landed-Housing/LHD20_Rear_Garden.jpg?h=100%25&amp;w=100%25</w:t>
        </w:r>
      </w:hyperlink>
    </w:p>
    <w:p>
      <w:pPr>
        <w:pStyle w:val="BodyText"/>
      </w:pPr>
      <w:r>
        <w:rPr>
          <w:i/>
          <w:iCs/>
        </w:rPr>
        <w:t xml:space="preserve">Setback Requirements for Rear Garden Landed Housing</w:t>
      </w:r>
    </w:p>
    <w:p>
      <w:pPr>
        <w:pStyle w:val="BodyText"/>
      </w:pPr>
      <w:r>
        <w:t xml:space="preserve">All other relevant landed housing guidelines (eg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9" w:name="Rear-Garden-Landed-Housing1"/>
    <w:bookmarkEnd w:id="49"/>
    <w:bookmarkEnd w:id="50"/>
    <w:p>
      <w:pPr>
        <w:pStyle w:val="BodyText"/>
      </w:pPr>
      <w:hyperlink w:anchor="Ancillary-Structures"/>
    </w:p>
    <w:p>
      <w:pPr>
        <w:pStyle w:val="BodyText"/>
      </w:pPr>
      <w:r>
        <w:t xml:space="preserve">Ancillary Structures</w:t>
      </w:r>
    </w:p>
    <w:bookmarkStart w:id="52" w:name="Ancillary-Structures"/>
    <w:p>
      <w:pPr>
        <w:pStyle w:val="BodyText"/>
      </w:pPr>
      <w:r>
        <w:t xml:space="preserve">Ancillary structures shall adhere to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Other Ancillary Structures</w:t>
            </w:r>
          </w:p>
        </w:tc>
        <w:tc>
          <w:tcPr/>
          <w:p>
            <w:pPr>
              <w:pStyle w:val="Compact"/>
              <w:jc w:val="left"/>
            </w:pPr>
            <w:r>
              <w:rPr>
                <w:b/>
                <w:bCs/>
              </w:rPr>
              <w:t xml:space="preserve">Setback from Road Reserve Line (Minimum)</w:t>
            </w:r>
          </w:p>
        </w:tc>
        <w:tc>
          <w:tcPr/>
          <w:p>
            <w:pPr>
              <w:pStyle w:val="Compact"/>
              <w:jc w:val="left"/>
            </w:pPr>
            <w:r>
              <w:rPr>
                <w:b/>
                <w:bCs/>
              </w:rPr>
              <w:t xml:space="preserve">Setback from Common Boundary (Minimum)</w:t>
            </w:r>
          </w:p>
        </w:tc>
      </w:tr>
      <w:tr>
        <w:tc>
          <w:tcPr/>
          <w:p>
            <w:pPr>
              <w:pStyle w:val="Compact"/>
              <w:jc w:val="left"/>
            </w:pPr>
            <w:r>
              <w:t xml:space="preserve">Raised Swimming Pool</w:t>
            </w:r>
          </w:p>
        </w:tc>
        <w:tc>
          <w:tcPr/>
          <w:p>
            <w:pPr>
              <w:pStyle w:val="Compact"/>
              <w:jc w:val="left"/>
            </w:pPr>
            <w:r>
              <w:t xml:space="preserve">Follow road buffer standards for main building</w:t>
            </w:r>
          </w:p>
        </w:tc>
        <w:tc>
          <w:tcPr/>
          <w:p>
            <w:pPr>
              <w:pStyle w:val="Compact"/>
              <w:jc w:val="left"/>
            </w:pPr>
            <w:r>
              <w:t xml:space="preserve">2m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Water Tank</w:t>
            </w:r>
          </w:p>
        </w:tc>
        <w:tc>
          <w:tcPr/>
          <w:p>
            <w:pPr>
              <w:pStyle w:val="Compact"/>
              <w:jc w:val="left"/>
            </w:pPr>
            <w:r>
              <w:t xml:space="preserve">Category 1 – 5 road: Follow road buffer standards</w:t>
            </w:r>
            <w:r>
              <w:br/>
            </w:r>
          </w:p>
        </w:tc>
        <w:tc>
          <w:tcPr/>
          <w:p>
            <w:pPr>
              <w:pStyle w:val="Compact"/>
              <w:jc w:val="left"/>
            </w:pPr>
            <w:r>
              <w:t xml:space="preserve">None</w:t>
            </w:r>
            <w:r>
              <w:br/>
            </w:r>
            <w:r>
              <w:br/>
            </w:r>
            <w:r>
              <w:t xml:space="preserve">Water tanks (without pumps) may abut boundary walls if its height does not exceed the boundary wall height of 1.8m (maximum)</w:t>
            </w:r>
          </w:p>
        </w:tc>
      </w:tr>
      <w:tr>
        <w:tc>
          <w:tcPr/>
          <w:p>
            <w:pPr>
              <w:pStyle w:val="Compact"/>
              <w:jc w:val="left"/>
            </w:pPr>
            <w:r>
              <w:t xml:space="preserve">Water Pump</w:t>
            </w:r>
          </w:p>
        </w:tc>
        <w:tc>
          <w:tcPr/>
          <w:p>
            <w:pPr>
              <w:pStyle w:val="Compact"/>
              <w:jc w:val="left"/>
            </w:pPr>
            <w:r>
              <w:t xml:space="preserve">Subject to evaluation</w:t>
            </w:r>
          </w:p>
        </w:tc>
        <w:tc>
          <w:tcPr/>
          <w:p>
            <w:pPr>
              <w:pStyle w:val="Compact"/>
              <w:jc w:val="left"/>
            </w:pPr>
            <w:r>
              <w:t xml:space="preserve">2m</w:t>
            </w:r>
          </w:p>
        </w:tc>
      </w:tr>
      <w:tr>
        <w:tc>
          <w:tcPr/>
          <w:p>
            <w:pPr>
              <w:pStyle w:val="Compact"/>
              <w:jc w:val="left"/>
            </w:pPr>
            <w:r>
              <w:t xml:space="preserve">Letter Boxes</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Meter Compartment</w:t>
            </w:r>
          </w:p>
        </w:tc>
        <w:tc>
          <w:tcPr/>
          <w:p>
            <w:pPr>
              <w:pStyle w:val="Compact"/>
              <w:jc w:val="left"/>
            </w:pPr>
            <w:r>
              <w:t xml:space="preserve">None</w:t>
            </w:r>
          </w:p>
        </w:tc>
        <w:tc>
          <w:tcPr/>
          <w:p>
            <w:pPr>
              <w:pStyle w:val="Compact"/>
              <w:jc w:val="left"/>
            </w:pPr>
            <w:r>
              <w:t xml:space="preserve">None</w:t>
            </w:r>
          </w:p>
        </w:tc>
      </w:tr>
      <w:tr>
        <w:tc>
          <w:tcPr>
            <w:gridSpan w:val="3"/>
          </w:tcPr>
          <w:p>
            <w:pPr>
              <w:pStyle w:val="Compact"/>
              <w:jc w:val="left"/>
            </w:pPr>
            <w:r>
              <w:t xml:space="preserve">Setback requirement for ancillary structures not mentioned in this table shall be assessed on the merits of the proposal.</w:t>
            </w:r>
          </w:p>
        </w:tc>
      </w:tr>
    </w:tbl>
    <w:bookmarkStart w:id="51" w:name="Ancillary-Structures1"/>
    <w:bookmarkEnd w:id="51"/>
    <w:bookmarkEnd w:id="52"/>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www.ura.gov.sg/-/media/Corporate/Guidelines/Development-control/Circulars/2018/Nov/dc18-10/dc18-10-Annex-1.pdf" TargetMode="External" /><Relationship Type="http://schemas.openxmlformats.org/officeDocument/2006/relationships/hyperlink" Id="rId48" Target="https://www.ura.gov.sg/-/media/Corporate/Guidelines/Development-control/Landed-Housing/LHD20_Rear_Garden.jpg?h=100%25&amp;w=100%25" TargetMode="External" /><Relationship Type="http://schemas.openxmlformats.org/officeDocument/2006/relationships/hyperlink" Id="rId37" Target="https://www.ura.gov.sg/-/media/Corporate/Guidelines/Development-control/Landed-Housing/LH_Rear_Extensions_Abutting_Back_Lane.jpg?h=100%25&amp;w=100%25" TargetMode="External" /><Relationship Type="http://schemas.openxmlformats.org/officeDocument/2006/relationships/hyperlink" Id="rId32" Target="https://www.ura.gov.sg/-/media/Corporate/Guidelines/Development-control/Landed-Housing/SD05_Setbacks_Odd_Shaped_Plots.jpg" TargetMode="External" /><Relationship Type="http://schemas.openxmlformats.org/officeDocument/2006/relationships/hyperlink" Id="rId20" Target="https://www.ura.gov.sg/-/media/Corporate/Guidelines/Development-control/Landed-Housing/TH02_Setbacks_Terrace_1.jpg?h=100%25&amp;w=100%25" TargetMode="External" /><Relationship Type="http://schemas.openxmlformats.org/officeDocument/2006/relationships/hyperlink" Id="rId33" Target="https://www.ura.gov.sg/-/media/Corporate/Guidelines/Development-control/Redevelopment/LH_Fig182a_Redevelopment_NA.jpg" TargetMode="External" /><Relationship Type="http://schemas.openxmlformats.org/officeDocument/2006/relationships/hyperlink" Id="rId25" Target="https://www.ura.gov.sg/-/media/Corporate/Guidelines/Development-control/Redevelopment/LH_Fig182b_Redevelopment_NA.jpg" TargetMode="External" /><Relationship Type="http://schemas.openxmlformats.org/officeDocument/2006/relationships/hyperlink" Id="rId42" Target="https://www.ura.gov.sg/-/media/Corporate/Guidelines/Development-control/Street-Block-Plans/Changi-Heights.pdf" TargetMode="External" /><Relationship Type="http://schemas.openxmlformats.org/officeDocument/2006/relationships/hyperlink" Id="rId41" Target="https://www.ura.gov.sg/-/media/Corporate/Guidelines/Development-control/Street-Block-Plans/Clementi-Green-Estate.pdf" TargetMode="External" /><Relationship Type="http://schemas.openxmlformats.org/officeDocument/2006/relationships/hyperlink" Id="rId46" Target="https://www.ura.gov.sg/-/media/Corporate/Guidelines/Development-control/Street-Block-Plans/Ford-Avenue.pdf" TargetMode="External" /><Relationship Type="http://schemas.openxmlformats.org/officeDocument/2006/relationships/hyperlink" Id="rId40" Target="https://www.ura.gov.sg/-/media/Corporate/Guidelines/Development-control/Street-Block-Plans/Hong-Leong-Garden-Estate.pdf" TargetMode="External" /><Relationship Type="http://schemas.openxmlformats.org/officeDocument/2006/relationships/hyperlink" Id="rId43" Target="https://www.ura.gov.sg/-/media/Corporate/Guidelines/Development-control/Street-Block-Plans/Lasia-Avenue.pdf" TargetMode="External" /><Relationship Type="http://schemas.openxmlformats.org/officeDocument/2006/relationships/hyperlink" Id="rId44" Target="https://www.ura.gov.sg/-/media/Corporate/Guidelines/Development-control/Street-Block-Plans/Peach-Garden.pdf" TargetMode="External" /><Relationship Type="http://schemas.openxmlformats.org/officeDocument/2006/relationships/hyperlink" Id="rId47" Target="https://www.ura.gov.sg/-/media/Corporate/Guidelines/Development-control/Street-Block-Plans/Yuk-Tong-Avenue.pdf" TargetMode="External" /><Relationship Type="http://schemas.openxmlformats.org/officeDocument/2006/relationships/hyperlink" Id="rId24" Target="https://www.ura.gov.sg/Corporate/Guidelines/Development-Control/Residential/Terrace/Building-Appendages" TargetMode="External" /><Relationship Type="http://schemas.openxmlformats.org/officeDocument/2006/relationships/hyperlink" Id="rId27" Target="https://www.ura.gov.sg/Corporate/Guidelines/Development-Control/Residential/Terrace/EC" TargetMode="External" /><Relationship Type="http://schemas.openxmlformats.org/officeDocument/2006/relationships/hyperlink" Id="rId26" Target="https://www.ura.gov.sg/Corporate/Guidelines/Development-Control/Residential/Terrace/Setbacks-from-boundaries/Ancillary-Structures" TargetMode="External" /></Relationships>
</file>

<file path=word/_rels/footnotes.xml.rels><?xml version="1.0" encoding="UTF-8"?><Relationships xmlns="http://schemas.openxmlformats.org/package/2006/relationships"><Relationship Type="http://schemas.openxmlformats.org/officeDocument/2006/relationships/hyperlink" Id="rId45" Target="https://www.ura.gov.sg/-/media/Corporate/Guidelines/Development-control/Circulars/2018/Nov/dc18-10/dc18-10-Annex-1.pdf" TargetMode="External" /><Relationship Type="http://schemas.openxmlformats.org/officeDocument/2006/relationships/hyperlink" Id="rId48" Target="https://www.ura.gov.sg/-/media/Corporate/Guidelines/Development-control/Landed-Housing/LHD20_Rear_Garden.jpg?h=100%25&amp;w=100%25" TargetMode="External" /><Relationship Type="http://schemas.openxmlformats.org/officeDocument/2006/relationships/hyperlink" Id="rId37" Target="https://www.ura.gov.sg/-/media/Corporate/Guidelines/Development-control/Landed-Housing/LH_Rear_Extensions_Abutting_Back_Lane.jpg?h=100%25&amp;w=100%25" TargetMode="External" /><Relationship Type="http://schemas.openxmlformats.org/officeDocument/2006/relationships/hyperlink" Id="rId32" Target="https://www.ura.gov.sg/-/media/Corporate/Guidelines/Development-control/Landed-Housing/SD05_Setbacks_Odd_Shaped_Plots.jpg" TargetMode="External" /><Relationship Type="http://schemas.openxmlformats.org/officeDocument/2006/relationships/hyperlink" Id="rId20" Target="https://www.ura.gov.sg/-/media/Corporate/Guidelines/Development-control/Landed-Housing/TH02_Setbacks_Terrace_1.jpg?h=100%25&amp;w=100%25" TargetMode="External" /><Relationship Type="http://schemas.openxmlformats.org/officeDocument/2006/relationships/hyperlink" Id="rId33" Target="https://www.ura.gov.sg/-/media/Corporate/Guidelines/Development-control/Redevelopment/LH_Fig182a_Redevelopment_NA.jpg" TargetMode="External" /><Relationship Type="http://schemas.openxmlformats.org/officeDocument/2006/relationships/hyperlink" Id="rId25" Target="https://www.ura.gov.sg/-/media/Corporate/Guidelines/Development-control/Redevelopment/LH_Fig182b_Redevelopment_NA.jpg" TargetMode="External" /><Relationship Type="http://schemas.openxmlformats.org/officeDocument/2006/relationships/hyperlink" Id="rId42" Target="https://www.ura.gov.sg/-/media/Corporate/Guidelines/Development-control/Street-Block-Plans/Changi-Heights.pdf" TargetMode="External" /><Relationship Type="http://schemas.openxmlformats.org/officeDocument/2006/relationships/hyperlink" Id="rId41" Target="https://www.ura.gov.sg/-/media/Corporate/Guidelines/Development-control/Street-Block-Plans/Clementi-Green-Estate.pdf" TargetMode="External" /><Relationship Type="http://schemas.openxmlformats.org/officeDocument/2006/relationships/hyperlink" Id="rId46" Target="https://www.ura.gov.sg/-/media/Corporate/Guidelines/Development-control/Street-Block-Plans/Ford-Avenue.pdf" TargetMode="External" /><Relationship Type="http://schemas.openxmlformats.org/officeDocument/2006/relationships/hyperlink" Id="rId40" Target="https://www.ura.gov.sg/-/media/Corporate/Guidelines/Development-control/Street-Block-Plans/Hong-Leong-Garden-Estate.pdf" TargetMode="External" /><Relationship Type="http://schemas.openxmlformats.org/officeDocument/2006/relationships/hyperlink" Id="rId43" Target="https://www.ura.gov.sg/-/media/Corporate/Guidelines/Development-control/Street-Block-Plans/Lasia-Avenue.pdf" TargetMode="External" /><Relationship Type="http://schemas.openxmlformats.org/officeDocument/2006/relationships/hyperlink" Id="rId44" Target="https://www.ura.gov.sg/-/media/Corporate/Guidelines/Development-control/Street-Block-Plans/Peach-Garden.pdf" TargetMode="External" /><Relationship Type="http://schemas.openxmlformats.org/officeDocument/2006/relationships/hyperlink" Id="rId47" Target="https://www.ura.gov.sg/-/media/Corporate/Guidelines/Development-control/Street-Block-Plans/Yuk-Tong-Avenue.pdf" TargetMode="External" /><Relationship Type="http://schemas.openxmlformats.org/officeDocument/2006/relationships/hyperlink" Id="rId24" Target="https://www.ura.gov.sg/Corporate/Guidelines/Development-Control/Residential/Terrace/Building-Appendages" TargetMode="External" /><Relationship Type="http://schemas.openxmlformats.org/officeDocument/2006/relationships/hyperlink" Id="rId27" Target="https://www.ura.gov.sg/Corporate/Guidelines/Development-Control/Residential/Terrace/EC" TargetMode="External" /><Relationship Type="http://schemas.openxmlformats.org/officeDocument/2006/relationships/hyperlink" Id="rId26" Target="https://www.ura.gov.sg/Corporate/Guidelines/Development-Control/Residential/Terrace/Setbacks-from-boundaries/Ancillary-Struc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2024-05-23T09:33:00Z</dcterms:created>
  <dcterms:modified xsi:type="dcterms:W3CDTF">2024-05-23T09:33:00Z</dcterms:modified>
</cp:coreProperties>
</file>

<file path=docProps/custom.xml><?xml version="1.0" encoding="utf-8"?>
<Properties xmlns="http://schemas.openxmlformats.org/officeDocument/2006/custom-properties" xmlns:vt="http://schemas.openxmlformats.org/officeDocument/2006/docPropsVTypes"/>
</file>