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The principles and illustrations used in this Gross Floor Area (GFA) handbook is not exhaustive in covering all building designs. URA reserves the right to interpret GFA matters based on the specific design of a development proposal, depending on the merits of the proposal.</w:t>
            </w:r>
            <w:r>
              <w:br/>
            </w:r>
          </w:p>
        </w:tc>
      </w:tr>
    </w:tbl>
    <w:p>
      <w:r>
        <w:pict>
          <v:rect style="width:0;height:1.5pt" o:hralign="center" o:hrstd="t" o:hr="t"/>
        </w:pict>
      </w:r>
    </w:p>
    <w:p>
      <w:pPr>
        <w:pStyle w:val="FirstParagraph"/>
      </w:pPr>
      <w:r>
        <w:rPr>
          <w:i/>
          <w:iCs/>
        </w:rPr>
        <w:t xml:space="preserve">The contents of this handbook was last updated on 14 July 2023.</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2024-05-23T09:30:36Z</dcterms:created>
  <dcterms:modified xsi:type="dcterms:W3CDTF">2024-05-23T09:30:36Z</dcterms:modified>
</cp:coreProperties>
</file>

<file path=docProps/custom.xml><?xml version="1.0" encoding="utf-8"?>
<Properties xmlns="http://schemas.openxmlformats.org/officeDocument/2006/custom-properties" xmlns:vt="http://schemas.openxmlformats.org/officeDocument/2006/docPropsVTypes"/>
</file>