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ay-windows"/>
    <w:p>
      <w:pPr>
        <w:pStyle w:val="Heading3"/>
      </w:pPr>
      <w:r>
        <w:t xml:space="preserve">Bay Windows</w:t>
      </w:r>
    </w:p>
    <w:p>
      <w:pPr>
        <w:pStyle w:val="FirstParagraph"/>
      </w:pPr>
      <w:r>
        <w:t xml:space="preserve">Bay windows refer to raised windows not exceeding one structural bay width and cantilevered at least 0.5m high from the floor. Bay windows, except those approved before 1</w:t>
      </w:r>
      <w:r>
        <w:rPr>
          <w:vertAlign w:val="superscript"/>
        </w:rPr>
        <w:t xml:space="preserve">st</w:t>
      </w:r>
      <w:r>
        <w:t xml:space="preserve"> </w:t>
      </w:r>
      <w:r>
        <w:t xml:space="preserve">January 2009, are included as GFA.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https://ura.gov.sg/-/media/Corporate/Guidelines/Development-control/GFA/GFA-09B-Bay-windows_final.jpg?h=569&amp;w=800</w:t>
        </w:r>
      </w:hyperlink>
    </w:p>
    <w:p>
      <w:pPr>
        <w:pStyle w:val="BodyText"/>
      </w:pPr>
      <w:r>
        <w:rPr>
          <w:i/>
          <w:iCs/>
        </w:rPr>
        <w:t xml:space="preserve">Bay Window (Section)</w:t>
      </w:r>
      <w:r>
        <w:t xml:space="preserve"> 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 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ura.gov.sg/-/media/Corporate/Guidelines/Development-control/GFA/GFA-09B-Bay-windows_final.jpg?h=569&amp;w=8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ra.gov.sg/-/media/Corporate/Guidelines/Development-control/GFA/GFA-09B-Bay-windows_final.jpg?h=569&amp;w=8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2024-05-23T03:19:59Z</dcterms:created>
  <dcterms:modified xsi:type="dcterms:W3CDTF">2024-05-23T03:19:59Z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