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able-chambers"/>
    <w:p>
      <w:pPr>
        <w:pStyle w:val="Heading3"/>
      </w:pPr>
      <w:r>
        <w:t xml:space="preserve">Cable Chambers</w:t>
      </w:r>
    </w:p>
    <w:bookmarkEnd w:id="20"/>
    <w:bookmarkStart w:id="22" w:name="column_0_right_1_txtTitle"/>
    <w:bookmarkStart w:id="21" w:name="section"/>
    <w:p>
      <w:pPr>
        <w:pStyle w:val="Heading3"/>
      </w:pPr>
    </w:p>
    <w:bookmarkEnd w:id="21"/>
    <w:bookmarkEnd w:id="22"/>
    <w:p>
      <w:pPr>
        <w:pStyle w:val="FirstParagraph"/>
      </w:pPr>
      <w:hyperlink w:anchor="X0a392b2b98c398616e23022bdeddde0176398ee"/>
    </w:p>
    <w:p>
      <w:pPr>
        <w:pStyle w:val="BodyText"/>
      </w:pPr>
      <w:r>
        <w:t xml:space="preserve">Cable Chambers Integrated with the Main Building</w:t>
      </w:r>
    </w:p>
    <w:bookmarkStart w:id="26" w:name="X0a392b2b98c398616e23022bdeddde0176398ee"/>
    <w:p>
      <w:pPr>
        <w:pStyle w:val="BodyText"/>
      </w:pPr>
      <w:r>
        <w:t xml:space="preserve">Cable chambers integrated within the main building are excluded from GFA if it does not exceed 2.5m in height</w:t>
      </w:r>
      <w:r>
        <w:rPr>
          <w:vertAlign w:val="superscript"/>
        </w:rPr>
        <w:t xml:space="preserve">1</w:t>
      </w:r>
      <w:r>
        <w:t xml:space="preserve">.</w:t>
      </w:r>
    </w:p>
    <w:p>
      <w:pPr>
        <w:pStyle w:val="BodyText"/>
      </w:pPr>
      <w:hyperlink r:id="rId23">
        <w:r>
          <w:rPr>
            <w:rStyle w:val="Hyperlink"/>
          </w:rPr>
          <w:t xml:space="preserve">https://ura.gov.sg/-/media/Corporate/Guidelines/Development-control/GFA/GFA-27-Cable-chamber_integrated-substation_final.jpg?h=566&amp;w=800</w:t>
        </w:r>
      </w:hyperlink>
    </w:p>
    <w:p>
      <w:pPr>
        <w:pStyle w:val="BodyText"/>
      </w:pPr>
      <w:r>
        <w:rPr>
          <w:i/>
          <w:iCs/>
        </w:rPr>
        <w:t xml:space="preserve">Cable Chambers Integrated Within Main Building</w:t>
      </w:r>
    </w:p>
    <w:p>
      <w:r>
        <w:pict>
          <v:rect style="width:0;height:1.5pt" o:hralign="center" o:hrstd="t" o:hr="t"/>
        </w:pict>
      </w:r>
    </w:p>
    <w:bookmarkStart w:id="24" w:name="ftn1"/>
    <w:bookmarkEnd w:id="24"/>
    <w:p>
      <w:pPr>
        <w:pStyle w:val="FirstParagraph"/>
      </w:pPr>
      <w:r>
        <w:rPr>
          <w:vertAlign w:val="superscript"/>
        </w:rPr>
        <w:t xml:space="preserve">1</w:t>
      </w:r>
      <w:r>
        <w:t xml:space="preserve"> The structural beams shall also be included in the height computation.</w:t>
      </w:r>
    </w:p>
    <w:bookmarkStart w:id="25" w:name="X09f26fa6dc67b01061da837ce0d7a76b0de1bfc"/>
    <w:bookmarkEnd w:id="25"/>
    <w:bookmarkEnd w:id="26"/>
    <w:p>
      <w:pPr>
        <w:pStyle w:val="BodyText"/>
      </w:pPr>
      <w:hyperlink w:anchor="StandaloneCableChambers"/>
    </w:p>
    <w:p>
      <w:pPr>
        <w:pStyle w:val="BodyText"/>
      </w:pPr>
      <w:r>
        <w:t xml:space="preserve">Standalone Cable Chambers</w:t>
      </w:r>
    </w:p>
    <w:bookmarkStart w:id="31" w:name="StandaloneCableChambers"/>
    <w:p>
      <w:pPr>
        <w:pStyle w:val="BodyText"/>
      </w:pPr>
      <w:r>
        <w:t xml:space="preserve">Standalone cable chambers that fulfil either criteria below are excluded from GFA:</w:t>
      </w:r>
    </w:p>
    <w:p>
      <w:pPr>
        <w:pStyle w:val="Compact"/>
        <w:numPr>
          <w:ilvl w:val="0"/>
          <w:numId w:val="1001"/>
        </w:numPr>
      </w:pPr>
      <w:r>
        <w:t xml:space="preserve">The height</w:t>
      </w:r>
      <w:r>
        <w:rPr>
          <w:vertAlign w:val="superscript"/>
        </w:rPr>
        <w:t xml:space="preserve">1</w:t>
      </w:r>
      <w:r>
        <w:t xml:space="preserve"> of the cable chamber, measured from the floor to the underside of the upper floor shall not exceed 2.0m; or</w:t>
      </w:r>
    </w:p>
    <w:p>
      <w:pPr>
        <w:pStyle w:val="Compact"/>
        <w:numPr>
          <w:ilvl w:val="0"/>
          <w:numId w:val="1001"/>
        </w:numPr>
      </w:pPr>
      <w:r>
        <w:t xml:space="preserve">The combined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(a + b) shall not exceed 4.5m for Residential developments, 5.0m for Commercial developments or 6.0m for Industrial or Warehouse developments.</w:t>
      </w:r>
    </w:p>
    <w:p>
      <w:pPr>
        <w:pStyle w:val="FirstParagraph"/>
      </w:pPr>
      <w:hyperlink r:id="rId27">
        <w:r>
          <w:rPr>
            <w:rStyle w:val="Hyperlink"/>
          </w:rPr>
          <w:t xml:space="preserve">https://ura.gov.sg/-/media/Corporate/Guidelines/Development-control/GFA/GFA-26A-Cable-chamber_standalone-substation_final.jpg?h=576&amp;w=1000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hyperlink r:id="rId28">
        <w:r>
          <w:rPr>
            <w:rStyle w:val="Hyperlink"/>
          </w:rPr>
          <w:t xml:space="preserve">https://ura.gov.sg/-/media/Corporate/Guidelines/Development-control/GFA/GFA-26B-Cable-chamber_standalone-substation_final.jpg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Example of Standalone Cable Chamber Excluded from GFA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Start w:id="29" w:name="ftn1"/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The structural beams shall also be included in the height computation.</w:t>
      </w:r>
      <w:r>
        <w:t xml:space="preserve"> </w:t>
      </w:r>
    </w:p>
    <w:bookmarkEnd w:id="29"/>
    <w:bookmarkStart w:id="30" w:name="StandaloneCableChambers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ura.gov.sg/-/media/Corporate/Guidelines/Development-control/GFA/GFA-26A-Cable-chamber_standalone-substation_final.jpg?h=576&amp;w=1000" TargetMode="External" /><Relationship Type="http://schemas.openxmlformats.org/officeDocument/2006/relationships/hyperlink" Id="rId28" Target="https://ura.gov.sg/-/media/Corporate/Guidelines/Development-control/GFA/GFA-26B-Cable-chamber_standalone-substation_final.jpg" TargetMode="External" /><Relationship Type="http://schemas.openxmlformats.org/officeDocument/2006/relationships/hyperlink" Id="rId23" Target="https://ura.gov.sg/-/media/Corporate/Guidelines/Development-control/GFA/GFA-27-Cable-chamber_integrated-substation_final.jpg?h=566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ura.gov.sg/-/media/Corporate/Guidelines/Development-control/GFA/GFA-26A-Cable-chamber_standalone-substation_final.jpg?h=576&amp;w=1000" TargetMode="External" /><Relationship Type="http://schemas.openxmlformats.org/officeDocument/2006/relationships/hyperlink" Id="rId28" Target="https://ura.gov.sg/-/media/Corporate/Guidelines/Development-control/GFA/GFA-26B-Cable-chamber_standalone-substation_final.jpg" TargetMode="External" /><Relationship Type="http://schemas.openxmlformats.org/officeDocument/2006/relationships/hyperlink" Id="rId23" Target="https://ura.gov.sg/-/media/Corporate/Guidelines/Development-control/GFA/GFA-27-Cable-chamber_integrated-substation_final.jpg?h=566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2024-05-23T03:19:59Z</dcterms:created>
  <dcterms:modified xsi:type="dcterms:W3CDTF">2024-05-23T03:19:59Z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