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munal-roof-terrace"/>
    <w:p>
      <w:pPr>
        <w:pStyle w:val="Heading3"/>
      </w:pPr>
      <w:r>
        <w:t xml:space="preserve">Communal Roof Terrace</w:t>
      </w:r>
    </w:p>
    <w:p>
      <w:pPr>
        <w:pStyle w:val="FirstParagraph"/>
      </w:pPr>
      <w:r>
        <w:t xml:space="preserve">Open to sky communal roof terraces managed by the MCST which serve to provide landscaping and communal facilities for residents in the development are excluded from GFA.</w:t>
      </w:r>
    </w:p>
    <w:p>
      <w:pPr>
        <w:pStyle w:val="BodyText"/>
      </w:pPr>
      <w:r>
        <w:t xml:space="preserve"> </w:t>
      </w:r>
      <w:r>
        <w:t xml:space="preserve">Covered or enclosed features within these communal roof terraces are included as GFA.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2024-05-23T00:51:32Z</dcterms:created>
  <dcterms:modified xsi:type="dcterms:W3CDTF">2024-05-23T00:51:32Z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