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vered-greenhouses-farms"/>
    <w:p>
      <w:pPr>
        <w:pStyle w:val="Heading3"/>
      </w:pPr>
      <w:r>
        <w:t xml:space="preserve">Covered Greenhouses / Farms</w:t>
      </w:r>
    </w:p>
    <w:p>
      <w:pPr>
        <w:pStyle w:val="FirstParagraph"/>
      </w:pPr>
      <w:r>
        <w:t xml:space="preserve">Covered greenhouse / farm spaces (including rooftop urban farms) shall be computed as GFA. Netting over plants will not constitute covered areas, and will not be computed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 December 2021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2024-05-23T03:20:00Z</dcterms:created>
  <dcterms:modified xsi:type="dcterms:W3CDTF">2024-05-23T03:20:00Z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