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vered-water-features"/>
    <w:p>
      <w:pPr>
        <w:pStyle w:val="Heading3"/>
      </w:pPr>
      <w:r>
        <w:t xml:space="preserve">Covered Water Features</w:t>
      </w:r>
    </w:p>
    <w:p>
      <w:pPr>
        <w:pStyle w:val="FirstParagraph"/>
      </w:pPr>
      <w:r>
        <w:t xml:space="preserve">Covered ornamental pond/ reflective pool that forms part of the communal landscape deck at the 1</w:t>
      </w:r>
      <w:r>
        <w:rPr>
          <w:vertAlign w:val="superscript"/>
        </w:rPr>
        <w:t xml:space="preserve">st</w:t>
      </w:r>
      <w:r>
        <w:t xml:space="preserve"> </w:t>
      </w:r>
      <w:r>
        <w:t xml:space="preserve">storey is excluded from GFA. Such area is delineated by the 45-degree line taken from the edge of the floor or overhang above the landscaped deck.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2024-05-23T00:51:33Z</dcterms:created>
  <dcterms:modified xsi:type="dcterms:W3CDTF">2024-05-23T00:51:33Z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