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curtain-wall"/>
    <w:p>
      <w:pPr>
        <w:pStyle w:val="Heading3"/>
      </w:pPr>
      <w:r>
        <w:t xml:space="preserve">Curtain Wall</w:t>
      </w:r>
    </w:p>
    <w:p>
      <w:pPr>
        <w:pStyle w:val="FirstParagraph"/>
      </w:pPr>
      <w:r>
        <w:t xml:space="preserve">For buildings with curtain walls fixed onto the main structure, the GFA is measured up to the middle of the outermost vertical facade element (e.g. the glass panel).</w:t>
      </w:r>
    </w:p>
    <w:p>
      <w:pPr>
        <w:pStyle w:val="BodyText"/>
      </w:pPr>
      <w:hyperlink r:id="rId20">
        <w:r>
          <w:rPr>
            <w:rStyle w:val="Hyperlink"/>
          </w:rPr>
          <w:t xml:space="preserve">https://ura.gov.sg/-/media/Corporate/Guidelines/Development-control/GFA/GFA-33A-Curtain-Wall.jpg?h=1000&amp;w=1167</w:t>
        </w:r>
      </w:hyperlink>
    </w:p>
    <w:p>
      <w:pPr>
        <w:pStyle w:val="BodyText"/>
      </w:pPr>
      <w:r>
        <w:rPr>
          <w:i/>
          <w:iCs/>
        </w:rPr>
        <w:t xml:space="preserve">         Curtain Wall (Section)</w:t>
      </w:r>
    </w:p>
    <w:p>
      <w:pPr>
        <w:pStyle w:val="BodyText"/>
      </w:pPr>
      <w:r>
        <w:t xml:space="preserve">                 </w:t>
      </w:r>
      <w:r>
        <w:t xml:space="preserve"> </w:t>
      </w:r>
      <w:hyperlink r:id="rId21">
        <w:r>
          <w:rPr>
            <w:rStyle w:val="Hyperlink"/>
          </w:rPr>
          <w:t xml:space="preserve">https://ura.gov.sg/-/media/Corporate/Guidelines/Development-control/GFA/GFA-33A-Curtain-Wall-Plan-View.jpg</w:t>
        </w:r>
      </w:hyperlink>
    </w:p>
    <w:p>
      <w:pPr>
        <w:pStyle w:val="BodyText"/>
      </w:pPr>
      <w:r>
        <w:rPr>
          <w:i/>
          <w:iCs/>
        </w:rPr>
        <w:t xml:space="preserve">                                                                         Curtain Wall (Plan View)</w:t>
      </w:r>
    </w:p>
    <w:bookmarkEnd w:id="22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8 Apr 2024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ura.gov.sg/-/media/Corporate/Guidelines/Development-control/GFA/GFA-33A-Curtain-Wall-Plan-View.jpg" TargetMode="External" /><Relationship Type="http://schemas.openxmlformats.org/officeDocument/2006/relationships/hyperlink" Id="rId20" Target="https://ura.gov.sg/-/media/Corporate/Guidelines/Development-control/GFA/GFA-33A-Curtain-Wall.jpg?h=1000&amp;w=116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ura.gov.sg/-/media/Corporate/Guidelines/Development-control/GFA/GFA-33A-Curtain-Wall-Plan-View.jpg" TargetMode="External" /><Relationship Type="http://schemas.openxmlformats.org/officeDocument/2006/relationships/hyperlink" Id="rId20" Target="https://ura.gov.sg/-/media/Corporate/Guidelines/Development-control/GFA/GFA-33A-Curtain-Wall.jpg?h=1000&amp;w=116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2024-05-23T03:20:01Z</dcterms:created>
  <dcterms:modified xsi:type="dcterms:W3CDTF">2024-05-23T03:20:01Z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