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letter-boxes"/>
    <w:p>
      <w:pPr>
        <w:pStyle w:val="Heading3"/>
      </w:pPr>
      <w:r>
        <w:t xml:space="preserve">Letter Boxes</w:t>
      </w:r>
    </w:p>
    <w:p>
      <w:pPr>
        <w:pStyle w:val="FirstParagraph"/>
      </w:pPr>
      <w:r>
        <w:t xml:space="preserve">Letter boxes located within car park are excluded from GFA except when they form an enclosed area. The enclosed area, including the letter boxes will be included as GFA.</w:t>
      </w:r>
    </w:p>
    <w:p>
      <w:pPr>
        <w:pStyle w:val="BodyText"/>
      </w:pPr>
      <w:hyperlink r:id="rId20">
        <w:r>
          <w:rPr>
            <w:rStyle w:val="Hyperlink"/>
          </w:rPr>
          <w:t xml:space="preserve">https://ura.gov.sg/-/media/Corporate/Guidelines/Development-control/GFA/GFA-66A-Letterbox-area_GFA_final.jpg?h=625&amp;w=1000</w:t>
        </w:r>
      </w:hyperlink>
      <w:r>
        <w:t xml:space="preserve"> </w:t>
      </w:r>
    </w:p>
    <w:p>
      <w:pPr>
        <w:pStyle w:val="BodyText"/>
      </w:pPr>
      <w:r>
        <w:rPr>
          <w:i/>
          <w:iCs/>
        </w:rPr>
        <w:t xml:space="preserve">Letter Boxes Included as GFA </w:t>
      </w:r>
    </w:p>
    <w:p>
      <w:pPr>
        <w:pStyle w:val="BodyText"/>
      </w:pPr>
      <w:hyperlink r:id="rId21">
        <w:r>
          <w:rPr>
            <w:rStyle w:val="Hyperlink"/>
          </w:rPr>
          <w:t xml:space="preserve">https://ura.gov.sg/-/media/Corporate/Guidelines/Development-control/GFA/GFA-66B-Letterbox-area_non-GFA_v1.jpg?h=625&amp;w=1000</w:t>
        </w:r>
      </w:hyperlink>
      <w:r>
        <w:t xml:space="preserve"> </w:t>
      </w:r>
    </w:p>
    <w:p>
      <w:pPr>
        <w:pStyle w:val="BodyText"/>
      </w:pPr>
      <w:r>
        <w:rPr>
          <w:i/>
          <w:iCs/>
        </w:rPr>
        <w:t xml:space="preserve">Letter Boxes Excluded from GFA </w:t>
      </w:r>
    </w:p>
    <w:bookmarkEnd w:id="22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/>
          <w:iCs/>
          <w:iCs/>
        </w:rPr>
        <w:t xml:space="preserve">Last updated on 26</w:t>
      </w:r>
      <w:r>
        <w:rPr>
          <w:i/>
          <w:i/>
          <w:i/>
          <w:i/>
          <w:iCs/>
          <w:iCs/>
          <w:iCs/>
          <w:iCs/>
        </w:rPr>
        <w:t xml:space="preserve"> Jul 2023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ura.gov.sg/-/media/Corporate/Guidelines/Development-control/GFA/GFA-66A-Letterbox-area_GFA_final.jpg?h=625&amp;w=1000" TargetMode="External" /><Relationship Type="http://schemas.openxmlformats.org/officeDocument/2006/relationships/hyperlink" Id="rId21" Target="https://ura.gov.sg/-/media/Corporate/Guidelines/Development-control/GFA/GFA-66B-Letterbox-area_non-GFA_v1.jpg?h=625&amp;w=100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ura.gov.sg/-/media/Corporate/Guidelines/Development-control/GFA/GFA-66A-Letterbox-area_GFA_final.jpg?h=625&amp;w=1000" TargetMode="External" /><Relationship Type="http://schemas.openxmlformats.org/officeDocument/2006/relationships/hyperlink" Id="rId21" Target="https://ura.gov.sg/-/media/Corporate/Guidelines/Development-control/GFA/GFA-66B-Letterbox-area_non-GFA_v1.jpg?h=625&amp;w=100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2024-05-23T03:20:02Z</dcterms:created>
  <dcterms:modified xsi:type="dcterms:W3CDTF">2024-05-23T03:20:02Z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