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etter-boxes"/>
    <w:p>
      <w:pPr>
        <w:pStyle w:val="Heading3"/>
      </w:pPr>
      <w:r>
        <w:t xml:space="preserve">Letter Boxes</w:t>
      </w:r>
    </w:p>
    <w:p>
      <w:pPr>
        <w:pStyle w:val="FirstParagraph"/>
      </w:pPr>
      <w:r>
        <w:t xml:space="preserve">Letter boxes located within car park are excluded from GFA except when they form an enclosed area. The enclosed area, including the letter boxes will be included as GFA.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BodyText"/>
      </w:pPr>
      <w:r>
        <w:rPr>
          <w:i/>
          <w:iCs/>
        </w:rPr>
        <w:t xml:space="preserve">Letter Boxes Included as GFA 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BodyText"/>
      </w:pPr>
      <w:r>
        <w:rPr>
          <w:i/>
          <w:iCs/>
        </w:rPr>
        <w:t xml:space="preserve">Letter Boxes Excluded from GFA 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2024-05-23T00:51:34Z</dcterms:created>
  <dcterms:modified xsi:type="dcterms:W3CDTF">2024-05-23T00:51:34Z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