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ft-motor-room"/>
    <w:p>
      <w:pPr>
        <w:pStyle w:val="Heading3"/>
      </w:pPr>
      <w:r>
        <w:t xml:space="preserve">Lift Motor Room</w:t>
      </w:r>
    </w:p>
    <w:p>
      <w:pPr>
        <w:pStyle w:val="FirstParagraph"/>
      </w:pPr>
      <w:r>
        <w:t xml:space="preserve">Lift motor rooms with headroom exceeding 1.8m are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https://www.ura.gov.sg/-/media/Corporate/Guidelines/Development-control/GFA/GFA-12A-Motor-Room-sectionfinal.jpg?h=503&amp;w=800</w:t>
        </w:r>
      </w:hyperlink>
    </w:p>
    <w:p>
      <w:pPr>
        <w:pStyle w:val="BodyText"/>
      </w:pPr>
      <w:r>
        <w:rPr>
          <w:i/>
          <w:iCs/>
        </w:rPr>
        <w:t xml:space="preserve">Lift Motor Room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12A-Motor-Room-sectionfinal.jpg?h=503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12A-Motor-Room-sectionfinal.jpg?h=503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2024-05-23T09:30:46Z</dcterms:created>
  <dcterms:modified xsi:type="dcterms:W3CDTF">2024-05-23T09:30:46Z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