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4bd6271780cf8b16e621169fc2a02b16a49b676"/>
    <w:p>
      <w:pPr>
        <w:pStyle w:val="Heading3"/>
      </w:pPr>
      <w:r>
        <w:t xml:space="preserve">Metal Ceiling Grids within Indoor Performance Venue</w:t>
      </w:r>
    </w:p>
    <w:p>
      <w:pPr>
        <w:pStyle w:val="FirstParagraph"/>
      </w:pPr>
      <w:r>
        <w:t xml:space="preserve">Ceiling grids located directly above a stage area within an indoor performance venue are excluded from GFA.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BodyText"/>
      </w:pPr>
      <w:r>
        <w:rPr>
          <w:i/>
          <w:iCs/>
        </w:rPr>
        <w:t xml:space="preserve">Metal Ceiling Grids within Indoor Performance Venue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2024-05-23T00:51:35Z</dcterms:created>
  <dcterms:modified xsi:type="dcterms:W3CDTF">2024-05-23T00:51:35Z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