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eter-compartments"/>
    <w:p>
      <w:pPr>
        <w:pStyle w:val="Heading3"/>
      </w:pPr>
      <w:r>
        <w:t xml:space="preserve">Meter Compartments</w:t>
      </w:r>
    </w:p>
    <w:p>
      <w:pPr>
        <w:pStyle w:val="FirstParagraph"/>
      </w:pPr>
      <w:r>
        <w:t xml:space="preserve">Meter compartments incorporated inside gateposts are excluded from GFA.</w:t>
      </w:r>
    </w:p>
    <w:bookmarkEnd w:id="2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/>
          <w:iCs/>
          <w:iCs/>
        </w:rPr>
        <w:t xml:space="preserve">Last updated on 5</w:t>
      </w:r>
      <w:r>
        <w:rPr>
          <w:i/>
          <w:i/>
          <w:i/>
          <w:i/>
          <w:iCs/>
          <w:iCs/>
          <w:iCs/>
          <w:iCs/>
        </w:rPr>
        <w:t xml:space="preserve"> Oct 2020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2024-05-23T03:20:03Z</dcterms:created>
  <dcterms:modified xsi:type="dcterms:W3CDTF">2024-05-23T03:20:03Z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