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ter-boxes"/>
    <w:p>
      <w:pPr>
        <w:pStyle w:val="Heading3"/>
      </w:pPr>
      <w:r>
        <w:t xml:space="preserve">Planter Boxes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CommunalPlanterBoxes"/>
    </w:p>
    <w:p>
      <w:pPr>
        <w:pStyle w:val="BodyText"/>
      </w:pPr>
      <w:r>
        <w:t xml:space="preserve">Communal Planter Boxes</w:t>
      </w:r>
    </w:p>
    <w:bookmarkStart w:id="32" w:name="CommunalPlanterBoxes"/>
    <w:p>
      <w:pPr>
        <w:pStyle w:val="BodyText"/>
      </w:pPr>
      <w:r>
        <w:t xml:space="preserve">Communal planter boxes are excluded from GFA if they comply with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Maximum width of 1.0m</w:t>
      </w:r>
      <w:r>
        <w:rPr>
          <w:vertAlign w:val="superscript"/>
        </w:rPr>
        <w:t xml:space="preserve">1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Minimum depth of 500mm (for planting purposes);</w:t>
      </w:r>
    </w:p>
    <w:p>
      <w:pPr>
        <w:pStyle w:val="Compact"/>
        <w:numPr>
          <w:ilvl w:val="0"/>
          <w:numId w:val="1001"/>
        </w:numPr>
      </w:pPr>
      <w:r>
        <w:t xml:space="preserve">To be sufficiently externalised;</w:t>
      </w:r>
    </w:p>
    <w:p>
      <w:pPr>
        <w:pStyle w:val="FirstParagraph"/>
      </w:pPr>
      <w:r>
        <w:t xml:space="preserve"> </w:t>
      </w:r>
      <w:r>
        <w:t xml:space="preserve">Communal planters shall be designed with safety and maintainability provisions in mind. Low height railings can be provided for safety purposes.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Examples of Communal Planter Boxes Excluded from GFA (Section)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Planter boxes provided behind full height screening and internalized planter boxes are included as GFA.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Communal Planter Boxes Included as GFA (Section)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Example of Internalised Communal Planter Boxes (Plan)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Example of Internalised Communal Planter Boxes (Plan)</w:t>
      </w:r>
    </w:p>
    <w:p>
      <w:pPr>
        <w:pStyle w:val="BodyText"/>
      </w:pPr>
      <w:r>
        <w:rPr>
          <w:i/>
          <w:iCs/>
        </w:rPr>
        <w:t xml:space="preserve"> </w:t>
      </w:r>
    </w:p>
    <w:p>
      <w:pPr>
        <w:pStyle w:val="BodyText"/>
      </w:pPr>
      <w:r>
        <w:t xml:space="preserve">For planter boxes that do not satisfy the abovementioned requirements, the entire planter box is included as GFA. There is no partial exclusion.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Example of Communal Planter Boxes Included as GFA (Plan)</w:t>
      </w:r>
    </w:p>
    <w:p>
      <w:pPr>
        <w:pStyle w:val="BodyText"/>
      </w:pPr>
      <w:r>
        <w:rPr>
          <w:i/>
          <w:iCs/>
        </w:rPr>
        <w:t xml:space="preserve"> </w:t>
      </w:r>
    </w:p>
    <w:p>
      <w:r>
        <w:pict>
          <v:rect style="width:0;height:1.5pt" o:hralign="center" o:hrstd="t" o:hr="t"/>
        </w:pict>
      </w:r>
    </w:p>
    <w:bookmarkStart w:id="30" w:name="ftn1"/>
    <w:bookmarkEnd w:id="30"/>
    <w:p>
      <w:pPr>
        <w:pStyle w:val="FirstParagraph"/>
      </w:pPr>
      <w:r>
        <w:rPr>
          <w:vertAlign w:val="superscript"/>
        </w:rPr>
        <w:t xml:space="preserve">1</w:t>
      </w:r>
      <w:r>
        <w:t xml:space="preserve"> Communal planter boxes of more than 1.0m wide may be allowed if the wider planter boxes are part of an overall scheme with design merit.</w:t>
      </w:r>
    </w:p>
    <w:bookmarkStart w:id="31" w:name="CommunalPlanterBoxes1"/>
    <w:bookmarkEnd w:id="31"/>
    <w:bookmarkEnd w:id="32"/>
    <w:p>
      <w:pPr>
        <w:pStyle w:val="BodyText"/>
      </w:pPr>
      <w:hyperlink w:anchor="PrivatePlanterBoxes"/>
    </w:p>
    <w:p>
      <w:pPr>
        <w:pStyle w:val="BodyText"/>
      </w:pPr>
      <w:r>
        <w:t xml:space="preserve">Private Planter Boxes</w:t>
      </w:r>
    </w:p>
    <w:bookmarkStart w:id="34" w:name="PrivatePlanterBoxes"/>
    <w:p>
      <w:pPr>
        <w:pStyle w:val="BodyText"/>
      </w:pPr>
      <w:r>
        <w:t xml:space="preserve">Private planter boxes located within strata units of both residential and non-residential developments are included as GFA.</w:t>
      </w:r>
    </w:p>
    <w:bookmarkStart w:id="33" w:name="PrivatePlanterBoxes1"/>
    <w:bookmarkEnd w:id="33"/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2024-05-23T00:51:36Z</dcterms:created>
  <dcterms:modified xsi:type="dcterms:W3CDTF">2024-05-23T00:51:36Z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