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refuse-chambers-and-refuse-chutes"/>
    <w:p>
      <w:pPr>
        <w:pStyle w:val="Heading3"/>
      </w:pPr>
      <w:r>
        <w:t xml:space="preserve">Refuse Chambers and Refuse Chutes</w:t>
      </w:r>
    </w:p>
    <w:p>
      <w:pPr>
        <w:pStyle w:val="FirstParagraph"/>
      </w:pPr>
      <w:r>
        <w:t xml:space="preserve">Refuse chutes are excluded from GFA.</w:t>
      </w:r>
    </w:p>
    <w:p>
      <w:pPr>
        <w:pStyle w:val="BodyText"/>
      </w:pPr>
      <w:r>
        <w:t xml:space="preserve">Refuse chambers and Discharge Valve (DV) chambers (part of a pneumatic system) located within fully sunken basement carparks are excluded from GFA.</w:t>
      </w:r>
    </w:p>
    <w:p>
      <w:pPr>
        <w:pStyle w:val="BodyText"/>
      </w:pPr>
      <w:r>
        <w:t xml:space="preserve">Outside of basement carparks, refuse chambers and DV chambers with headroom of up to 1.8m are excluded from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https://ura.gov.sg/-/media/Corporate/Guidelines/Development-control/GFA/GFA-71A-Refuse-Chute-and-Chamber_final.jpg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Refuse Chute and Refuse Chamber (Section)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https://ura.gov.sg/-/media/Corporate/Guidelines/Development-control/GFA/GFA-71B-Discharge-Valve-Chamber_final.jpg</w:t>
        </w:r>
      </w:hyperlink>
    </w:p>
    <w:p>
      <w:pPr>
        <w:pStyle w:val="BodyText"/>
      </w:pPr>
      <w:r>
        <w:rPr>
          <w:i/>
          <w:iCs/>
        </w:rPr>
        <w:t xml:space="preserve">Discharge Valve Chamber (Section)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71A-Refuse-Chute-and-Chamber_final.jpg" TargetMode="External" /><Relationship Type="http://schemas.openxmlformats.org/officeDocument/2006/relationships/hyperlink" Id="rId21" Target="https://ura.gov.sg/-/media/Corporate/Guidelines/Development-control/GFA/GFA-71B-Discharge-Valve-Chamber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71A-Refuse-Chute-and-Chamber_final.jpg" TargetMode="External" /><Relationship Type="http://schemas.openxmlformats.org/officeDocument/2006/relationships/hyperlink" Id="rId21" Target="https://ura.gov.sg/-/media/Corporate/Guidelines/Development-control/GFA/GFA-71B-Discharge-Valve-Chamber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2024-05-23T03:20:04Z</dcterms:created>
  <dcterms:modified xsi:type="dcterms:W3CDTF">2024-05-23T03:20:04Z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