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oof-eaves-and-building-projections"/>
    <w:p>
      <w:pPr>
        <w:pStyle w:val="Heading3"/>
      </w:pPr>
      <w:r>
        <w:t xml:space="preserve">Roof Eaves and Building Projections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RoofEaveslocatedbelowthe6thStorey"/>
    </w:p>
    <w:p>
      <w:pPr>
        <w:pStyle w:val="BodyText"/>
      </w:pPr>
      <w:r>
        <w:t xml:space="preserve">Roof Eaves located below the 6th Storey</w:t>
      </w:r>
    </w:p>
    <w:bookmarkStart w:id="26" w:name="RoofEaveslocatedbelowthe6thStorey"/>
    <w:p>
      <w:pPr>
        <w:pStyle w:val="BodyText"/>
      </w:pPr>
      <w:r>
        <w:t xml:space="preserve">For areas covered by roof eaves</w:t>
      </w:r>
      <w:r>
        <w:t xml:space="preserve"> </w:t>
      </w:r>
      <w:r>
        <w:t xml:space="preserve"> </w:t>
      </w:r>
      <w:r>
        <w:t xml:space="preserve">located below the 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storey, up to 2.0m of the area is excluded from GFA subject to the following requirements:</w:t>
      </w:r>
    </w:p>
    <w:p>
      <w:pPr>
        <w:pStyle w:val="Compact"/>
        <w:numPr>
          <w:ilvl w:val="0"/>
          <w:numId w:val="1001"/>
        </w:numPr>
      </w:pPr>
      <w:r>
        <w:t xml:space="preserve">The r</w:t>
      </w:r>
      <w:r>
        <w:t xml:space="preserve">oof eaves and sun shading devices shall be column-free and shall not be accessible except for maintenance purpose only;</w:t>
      </w:r>
    </w:p>
    <w:p>
      <w:pPr>
        <w:pStyle w:val="Compact"/>
        <w:numPr>
          <w:ilvl w:val="0"/>
          <w:numId w:val="1002"/>
        </w:numPr>
      </w:pPr>
      <w:r>
        <w:t xml:space="preserve">The r</w:t>
      </w:r>
      <w:r>
        <w:t xml:space="preserve">oof eaves and sun shading devices shall comply with the setback requirements from the common boundaries of the development</w:t>
      </w:r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Roof eaves and sun shading devices facing public roads may be allowed within the physical buffer and not within green buffer.</w:t>
      </w:r>
    </w:p>
    <w:p>
      <w:pPr>
        <w:pStyle w:val="FirstParagraph"/>
      </w:pPr>
      <w:hyperlink r:id="rId23">
        <w:r>
          <w:rPr>
            <w:rStyle w:val="Hyperlink"/>
          </w:rPr>
          <w:t xml:space="preserve">https://www.ura.gov.sg/-/media/Corporate/Guidelines/Development-control/GFA/GFA-69B-Roof-eaves_below-6sty_final.jpg?h=800&amp;w=1000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iCs/>
        </w:rPr>
        <w:t xml:space="preserve">Roof Eaves and Sun Shading Devices below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hyperlink r:id="rId24">
        <w:r>
          <w:rPr>
            <w:rStyle w:val="Hyperlink"/>
            <w:i/>
            <w:iCs/>
          </w:rPr>
          <w:t xml:space="preserve">https://www.ura.gov.sg/-/media/Corporate/Guidelines/Development-control/GFA/GFA-51-Shadow-area_roof-eaves-n-sun-shading-devices_final.jpg?h=826&amp;w=1000</w:t>
        </w:r>
      </w:hyperlink>
    </w:p>
    <w:p>
      <w:pPr>
        <w:pStyle w:val="BodyText"/>
      </w:pPr>
      <w:r>
        <w:rPr>
          <w:i/>
          <w:iCs/>
        </w:rPr>
        <w:t xml:space="preserve">Sun Shading Devices and Building Projection below and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bookmarkStart w:id="25" w:name="RoofEaveslocatedbelowthe6thStorey1"/>
    <w:bookmarkEnd w:id="25"/>
    <w:bookmarkEnd w:id="26"/>
    <w:p>
      <w:pPr>
        <w:pStyle w:val="BodyText"/>
      </w:pPr>
      <w:hyperlink w:anchor="RoofEaveslocatedatandabovethe6thStorey"/>
    </w:p>
    <w:p>
      <w:pPr>
        <w:pStyle w:val="BodyText"/>
      </w:pPr>
      <w:r>
        <w:t xml:space="preserve">Roof Eaves located at and above the 6th Storey</w:t>
      </w:r>
    </w:p>
    <w:bookmarkStart w:id="30" w:name="RoofEaveslocatedatandabovethe6thStorey"/>
    <w:p>
      <w:pPr>
        <w:pStyle w:val="BodyText"/>
      </w:pPr>
      <w:r>
        <w:t xml:space="preserve">For area covered by the roof eaves located at the 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storey and above, the entire area is excluded from GFA</w:t>
      </w:r>
      <w:r>
        <w:t xml:space="preserve"> </w:t>
      </w:r>
      <w:r>
        <w:t xml:space="preserve">subject to the following requirements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The r</w:t>
      </w:r>
      <w:r>
        <w:t xml:space="preserve">oof eaves and sun shading devices shall be column-free and shall not be accessible except for maintenance purpose only;</w:t>
      </w:r>
    </w:p>
    <w:p>
      <w:pPr>
        <w:pStyle w:val="Compact"/>
        <w:numPr>
          <w:ilvl w:val="0"/>
          <w:numId w:val="1005"/>
        </w:numPr>
      </w:pPr>
      <w:r>
        <w:t xml:space="preserve">The r</w:t>
      </w:r>
      <w:r>
        <w:t xml:space="preserve">oof eaves and sun shading devices shall comply with the setback requirements from the common boundaries of the development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Roof eaves and sun shading devices facing public roads may be allowed within the physical buffer and not within green buffer.</w:t>
      </w:r>
    </w:p>
    <w:p>
      <w:pPr>
        <w:pStyle w:val="FirstParagraph"/>
      </w:pPr>
      <w:hyperlink r:id="rId27">
        <w:r>
          <w:rPr>
            <w:rStyle w:val="Hyperlink"/>
          </w:rPr>
          <w:t xml:space="preserve">https://www.ura.gov.sg/-/media/Corporate/Guidelines/Development-control/GFA/GFA-53-Shadow-area_building-projections-above-6-sty_final.jpg?h=733&amp;w=1000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iCs/>
        </w:rPr>
        <w:t xml:space="preserve">Roof Eaves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hyperlink r:id="rId28">
        <w:r>
          <w:rPr>
            <w:rStyle w:val="Hyperlink"/>
            <w:i/>
            <w:iCs/>
          </w:rPr>
          <w:t xml:space="preserve">https://www.ura.gov.sg/-/media/Corporate/Guidelines/Development-control/GFA/GFA-70B-sun-shading_above-6sty_final.jpg?h=824&amp;w=1000</w:t>
        </w:r>
      </w:hyperlink>
    </w:p>
    <w:p>
      <w:pPr>
        <w:pStyle w:val="BodyText"/>
      </w:pPr>
      <w:r>
        <w:rPr>
          <w:i/>
          <w:iCs/>
        </w:rPr>
        <w:t xml:space="preserve">Sun Shading Devices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hyperlink r:id="rId24">
        <w:r>
          <w:rPr>
            <w:rStyle w:val="Hyperlink"/>
            <w:i/>
            <w:iCs/>
          </w:rPr>
          <w:t xml:space="preserve">https://www.ura.gov.sg/-/media/Corporate/Guidelines/Development-control/GFA/GFA-51-Shadow-area_roof-eaves-n-sun-shading-devices_final.jpg?h=826&amp;w=1000</w:t>
        </w:r>
      </w:hyperlink>
    </w:p>
    <w:p>
      <w:pPr>
        <w:pStyle w:val="BodyText"/>
      </w:pPr>
      <w:r>
        <w:rPr>
          <w:i/>
          <w:iCs/>
        </w:rPr>
        <w:t xml:space="preserve">Sun Shading Devices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bookmarkStart w:id="29" w:name="RoofEaveslocatedatandabovethe6thStorey1"/>
    <w:bookmarkEnd w:id="29"/>
    <w:bookmarkEnd w:id="30"/>
    <w:p>
      <w:pPr>
        <w:pStyle w:val="BodyText"/>
      </w:pPr>
      <w:hyperlink w:anchor="X2113d2fde604efdf14a7be121687434e7897edd"/>
    </w:p>
    <w:p>
      <w:pPr>
        <w:pStyle w:val="BodyText"/>
      </w:pPr>
      <w:r>
        <w:t xml:space="preserve">Building Projections located below the 6th Storey</w:t>
      </w:r>
    </w:p>
    <w:bookmarkStart w:id="33" w:name="X2113d2fde604efdf14a7be121687434e7897edd"/>
    <w:p>
      <w:pPr>
        <w:pStyle w:val="BodyText"/>
      </w:pPr>
      <w:r>
        <w:t xml:space="preserve">For areas covered by building projections (e.g. ledges, planter boxes, bay window, balconies and design features)</w:t>
      </w:r>
      <w:r>
        <w:t xml:space="preserve"> </w:t>
      </w:r>
      <w:r>
        <w:t xml:space="preserve">located below the 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storey, up to 2.0m of the shadowed area is excluded from GFA subject to the following requirements:</w:t>
      </w:r>
    </w:p>
    <w:p>
      <w:pPr>
        <w:pStyle w:val="Compact"/>
        <w:numPr>
          <w:ilvl w:val="0"/>
          <w:numId w:val="1007"/>
        </w:numPr>
      </w:pPr>
      <w:r>
        <w:t xml:space="preserve">The covered area must not fall within a walled-up enclosed space and balcony area;</w:t>
      </w:r>
      <w:r>
        <w:br/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The covered area must be column free and shall not be enclosed on the sides.</w:t>
      </w:r>
    </w:p>
    <w:p>
      <w:pPr>
        <w:pStyle w:val="FirstParagraph"/>
      </w:pPr>
      <w:hyperlink r:id="rId31">
        <w:r>
          <w:rPr>
            <w:rStyle w:val="Hyperlink"/>
          </w:rPr>
          <w:t xml:space="preserve">https://www.ura.gov.sg/-/media/Corporate/Guidelines/Development-control/GFA/GFA-69A-Roof-eaves-n-building-projections_below-6sty_final.jpg?h=800&amp;w=1000</w:t>
        </w:r>
      </w:hyperlink>
    </w:p>
    <w:p>
      <w:pPr>
        <w:pStyle w:val="BodyText"/>
      </w:pPr>
      <w:r>
        <w:rPr>
          <w:i/>
          <w:iCs/>
        </w:rPr>
        <w:t xml:space="preserve">Building Projections below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hyperlink r:id="rId24">
        <w:r>
          <w:rPr>
            <w:rStyle w:val="Hyperlink"/>
            <w:i/>
            <w:iCs/>
          </w:rPr>
          <w:t xml:space="preserve">https://www.ura.gov.sg/-/media/Corporate/Guidelines/Development-control/GFA/GFA-51-Shadow-area_roof-eaves-n-sun-shading-devices_final.jpg?h=826&amp;w=1000</w:t>
        </w:r>
      </w:hyperlink>
    </w:p>
    <w:p>
      <w:pPr>
        <w:pStyle w:val="BodyText"/>
      </w:pPr>
      <w:r>
        <w:rPr>
          <w:i/>
          <w:iCs/>
        </w:rPr>
        <w:t xml:space="preserve">Building Projection below and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bookmarkStart w:id="32" w:name="Xf0b13d1b75edd5e47ba3af68550541845642521"/>
    <w:bookmarkEnd w:id="32"/>
    <w:bookmarkEnd w:id="33"/>
    <w:p>
      <w:pPr>
        <w:pStyle w:val="BodyText"/>
      </w:pPr>
      <w:hyperlink w:anchor="X0cdf8820eed4f0b7f0bd51d0d8fc7d4374f7f29"/>
    </w:p>
    <w:p>
      <w:pPr>
        <w:pStyle w:val="BodyText"/>
      </w:pPr>
      <w:r>
        <w:t xml:space="preserve">Building Projections located at and above the 6th Storey</w:t>
      </w:r>
    </w:p>
    <w:bookmarkStart w:id="36" w:name="X0cdf8820eed4f0b7f0bd51d0d8fc7d4374f7f29"/>
    <w:p>
      <w:pPr>
        <w:pStyle w:val="BodyText"/>
      </w:pPr>
      <w:r>
        <w:t xml:space="preserve">For areas covered by building projections (e.g. ledges, planter boxes, bay window, balconies and design features) located at the 6</w:t>
      </w:r>
      <w:r>
        <w:rPr>
          <w:vertAlign w:val="superscript"/>
        </w:rPr>
        <w:t xml:space="preserve">th</w:t>
      </w:r>
      <w:r>
        <w:t xml:space="preserve"> storey and above, the entire shadowed area is excluded from GFA subject to the following requirements:</w:t>
      </w:r>
    </w:p>
    <w:p>
      <w:pPr>
        <w:pStyle w:val="Compact"/>
        <w:numPr>
          <w:ilvl w:val="0"/>
          <w:numId w:val="1008"/>
        </w:numPr>
      </w:pPr>
      <w:r>
        <w:t xml:space="preserve">The covered area must not fall within a walled-up enclosed space and balcony area;</w:t>
      </w:r>
    </w:p>
    <w:p>
      <w:pPr>
        <w:pStyle w:val="Compact"/>
        <w:numPr>
          <w:ilvl w:val="0"/>
          <w:numId w:val="1008"/>
        </w:numPr>
      </w:pPr>
      <w:r>
        <w:t xml:space="preserve">The covered area must be column free and shall not be enclosed on the sides;</w:t>
      </w:r>
    </w:p>
    <w:p>
      <w:pPr>
        <w:pStyle w:val="FirstParagraph"/>
      </w:pPr>
      <w:hyperlink r:id="rId27">
        <w:r>
          <w:rPr>
            <w:rStyle w:val="Hyperlink"/>
          </w:rPr>
          <w:t xml:space="preserve">https://www.ura.gov.sg/-/media/Corporate/Guidelines/Development-control/GFA/GFA-53-Shadow-area_building-projections-above-6-sty_final.jpg?h=733&amp;w=1000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Building Projections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hyperlink r:id="rId34">
        <w:r>
          <w:rPr>
            <w:rStyle w:val="Hyperlink"/>
            <w:i/>
            <w:iCs/>
          </w:rPr>
          <w:t xml:space="preserve">https://www.ura.gov.sg/-/media/Corporate/Guidelines/Development-control/GFA/GFA-70A-sun-shading-n-building-projection_above-6sty_final.jpg?h=824&amp;w=1000</w:t>
        </w:r>
      </w:hyperlink>
    </w:p>
    <w:p>
      <w:pPr>
        <w:pStyle w:val="BodyText"/>
      </w:pPr>
      <w:r>
        <w:rPr>
          <w:i/>
          <w:iCs/>
        </w:rPr>
        <w:t xml:space="preserve">Building Projections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p>
      <w:pPr>
        <w:pStyle w:val="BodyText"/>
      </w:pPr>
      <w:hyperlink r:id="rId24">
        <w:r>
          <w:rPr>
            <w:rStyle w:val="Hyperlink"/>
            <w:i/>
            <w:iCs/>
          </w:rPr>
          <w:t xml:space="preserve">https://www.ura.gov.sg/-/media/Corporate/Guidelines/Development-control/GFA/GFA-51-Shadow-area_roof-eaves-n-sun-shading-devices_final.jpg?h=826&amp;w=1000</w:t>
        </w:r>
      </w:hyperlink>
    </w:p>
    <w:p>
      <w:pPr>
        <w:pStyle w:val="BodyText"/>
      </w:pPr>
      <w:r>
        <w:rPr>
          <w:i/>
          <w:iCs/>
        </w:rPr>
        <w:t xml:space="preserve">Building Projection below and above 6</w:t>
      </w:r>
      <w:r>
        <w:rPr>
          <w:i/>
          <w:iCs/>
          <w:vertAlign w:val="superscript"/>
        </w:rPr>
        <w:t xml:space="preserve">th</w:t>
      </w:r>
      <w:r>
        <w:rPr>
          <w:i/>
          <w:iCs/>
        </w:rPr>
        <w:t xml:space="preserve"> </w:t>
      </w:r>
      <w:r>
        <w:rPr>
          <w:i/>
          <w:iCs/>
        </w:rPr>
        <w:t xml:space="preserve">Storey</w:t>
      </w:r>
    </w:p>
    <w:bookmarkStart w:id="35" w:name="Xdbafe79582a78748d7c5e75346313c60e8dd08c"/>
    <w:bookmarkEnd w:id="35"/>
    <w:bookmarkEnd w:id="36"/>
    <w:p>
      <w:pPr>
        <w:pStyle w:val="FirstParagraph"/>
      </w:pPr>
      <w:hyperlink w:anchor="ElevatedLinkways"/>
    </w:p>
    <w:p>
      <w:pPr>
        <w:pStyle w:val="BodyText"/>
      </w:pPr>
      <w:r>
        <w:t xml:space="preserve">Elevated Linkways</w:t>
      </w:r>
    </w:p>
    <w:bookmarkStart w:id="39" w:name="ElevatedLinkways"/>
    <w:p>
      <w:pPr>
        <w:pStyle w:val="BodyText"/>
      </w:pPr>
      <w:r>
        <w:t xml:space="preserve">Area shadowed by link bridges or elevated linkways (regardless of height) is excluded from GFA.</w:t>
      </w:r>
    </w:p>
    <w:p>
      <w:pPr>
        <w:pStyle w:val="BodyText"/>
      </w:pPr>
      <w:hyperlink r:id="rId37">
        <w:r>
          <w:rPr>
            <w:rStyle w:val="Hyperlink"/>
          </w:rPr>
          <w:t xml:space="preserve">https://www.ura.gov.sg/-/media/Corporate/Guidelines/Development-control/GFA/GFA-58-Shadow-area-below-elevated-linkways_final.jpg?h=1452&amp;w=1000</w:t>
        </w:r>
      </w:hyperlink>
    </w:p>
    <w:p>
      <w:pPr>
        <w:pStyle w:val="BodyText"/>
      </w:pPr>
      <w:r>
        <w:rPr>
          <w:i/>
          <w:iCs/>
        </w:rPr>
        <w:t xml:space="preserve">Area shadowed by Elevated Linkways</w:t>
      </w:r>
    </w:p>
    <w:bookmarkStart w:id="38" w:name="ElevatedLinkways1"/>
    <w:bookmarkEnd w:id="38"/>
    <w:bookmarkEnd w:id="3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ura.gov.sg/-/media/Corporate/Guidelines/Development-control/GFA/GFA-51-Shadow-area_roof-eaves-n-sun-shading-devices_final.jpg?h=826&amp;w=1000" TargetMode="External" /><Relationship Type="http://schemas.openxmlformats.org/officeDocument/2006/relationships/hyperlink" Id="rId27" Target="https://www.ura.gov.sg/-/media/Corporate/Guidelines/Development-control/GFA/GFA-53-Shadow-area_building-projections-above-6-sty_final.jpg?h=733&amp;w=1000" TargetMode="External" /><Relationship Type="http://schemas.openxmlformats.org/officeDocument/2006/relationships/hyperlink" Id="rId37" Target="https://www.ura.gov.sg/-/media/Corporate/Guidelines/Development-control/GFA/GFA-58-Shadow-area-below-elevated-linkways_final.jpg?h=1452&amp;w=1000" TargetMode="External" /><Relationship Type="http://schemas.openxmlformats.org/officeDocument/2006/relationships/hyperlink" Id="rId31" Target="https://www.ura.gov.sg/-/media/Corporate/Guidelines/Development-control/GFA/GFA-69A-Roof-eaves-n-building-projections_below-6sty_final.jpg?h=800&amp;w=1000" TargetMode="External" /><Relationship Type="http://schemas.openxmlformats.org/officeDocument/2006/relationships/hyperlink" Id="rId23" Target="https://www.ura.gov.sg/-/media/Corporate/Guidelines/Development-control/GFA/GFA-69B-Roof-eaves_below-6sty_final.jpg?h=800&amp;w=1000" TargetMode="External" /><Relationship Type="http://schemas.openxmlformats.org/officeDocument/2006/relationships/hyperlink" Id="rId34" Target="https://www.ura.gov.sg/-/media/Corporate/Guidelines/Development-control/GFA/GFA-70A-sun-shading-n-building-projection_above-6sty_final.jpg?h=824&amp;w=1000" TargetMode="External" /><Relationship Type="http://schemas.openxmlformats.org/officeDocument/2006/relationships/hyperlink" Id="rId28" Target="https://www.ura.gov.sg/-/media/Corporate/Guidelines/Development-control/GFA/GFA-70B-sun-shading_above-6sty_final.jpg?h=824&amp;w=1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ura.gov.sg/-/media/Corporate/Guidelines/Development-control/GFA/GFA-51-Shadow-area_roof-eaves-n-sun-shading-devices_final.jpg?h=826&amp;w=1000" TargetMode="External" /><Relationship Type="http://schemas.openxmlformats.org/officeDocument/2006/relationships/hyperlink" Id="rId27" Target="https://www.ura.gov.sg/-/media/Corporate/Guidelines/Development-control/GFA/GFA-53-Shadow-area_building-projections-above-6-sty_final.jpg?h=733&amp;w=1000" TargetMode="External" /><Relationship Type="http://schemas.openxmlformats.org/officeDocument/2006/relationships/hyperlink" Id="rId37" Target="https://www.ura.gov.sg/-/media/Corporate/Guidelines/Development-control/GFA/GFA-58-Shadow-area-below-elevated-linkways_final.jpg?h=1452&amp;w=1000" TargetMode="External" /><Relationship Type="http://schemas.openxmlformats.org/officeDocument/2006/relationships/hyperlink" Id="rId31" Target="https://www.ura.gov.sg/-/media/Corporate/Guidelines/Development-control/GFA/GFA-69A-Roof-eaves-n-building-projections_below-6sty_final.jpg?h=800&amp;w=1000" TargetMode="External" /><Relationship Type="http://schemas.openxmlformats.org/officeDocument/2006/relationships/hyperlink" Id="rId23" Target="https://www.ura.gov.sg/-/media/Corporate/Guidelines/Development-control/GFA/GFA-69B-Roof-eaves_below-6sty_final.jpg?h=800&amp;w=1000" TargetMode="External" /><Relationship Type="http://schemas.openxmlformats.org/officeDocument/2006/relationships/hyperlink" Id="rId34" Target="https://www.ura.gov.sg/-/media/Corporate/Guidelines/Development-control/GFA/GFA-70A-sun-shading-n-building-projection_above-6sty_final.jpg?h=824&amp;w=1000" TargetMode="External" /><Relationship Type="http://schemas.openxmlformats.org/officeDocument/2006/relationships/hyperlink" Id="rId28" Target="https://www.ura.gov.sg/-/media/Corporate/Guidelines/Development-control/GFA/GFA-70B-sun-shading_above-6sty_final.jpg?h=824&amp;w=1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2024-05-23T09:30:52Z</dcterms:created>
  <dcterms:modified xsi:type="dcterms:W3CDTF">2024-05-23T09:30:52Z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