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D35C7" w14:textId="77777777" w:rsidR="00AA1782" w:rsidRPr="00D868ED" w:rsidRDefault="00AA1782" w:rsidP="00CE5C32">
      <w:pPr>
        <w:bidi w:val="0"/>
        <w:jc w:val="center"/>
        <w:rPr>
          <w:rFonts w:asciiTheme="majorBidi" w:hAnsiTheme="majorBidi" w:cstheme="majorBidi"/>
          <w:b/>
          <w:bCs/>
        </w:rPr>
      </w:pPr>
      <w:r w:rsidRPr="00D868ED">
        <w:rPr>
          <w:rFonts w:asciiTheme="majorBidi" w:hAnsiTheme="majorBidi" w:cstheme="majorBidi"/>
          <w:b/>
          <w:bCs/>
        </w:rPr>
        <w:t>Trade and Institutional Integration in Post-Soviet Economies</w:t>
      </w:r>
    </w:p>
    <w:p w14:paraId="14872813" w14:textId="77777777" w:rsidR="00AA1782" w:rsidRPr="00D868ED" w:rsidRDefault="00AA1782" w:rsidP="00CE5C32">
      <w:pPr>
        <w:bidi w:val="0"/>
        <w:jc w:val="center"/>
        <w:rPr>
          <w:rFonts w:asciiTheme="majorBidi" w:hAnsiTheme="majorBidi" w:cstheme="majorBidi"/>
          <w:b/>
          <w:bCs/>
        </w:rPr>
      </w:pPr>
    </w:p>
    <w:p w14:paraId="20190B77" w14:textId="77777777" w:rsidR="00AA1782" w:rsidRPr="00D868ED" w:rsidRDefault="00AA1782" w:rsidP="00CE5C32">
      <w:pPr>
        <w:bidi w:val="0"/>
        <w:jc w:val="center"/>
        <w:rPr>
          <w:rFonts w:asciiTheme="majorBidi" w:hAnsiTheme="majorBidi" w:cstheme="majorBidi"/>
        </w:rPr>
      </w:pPr>
    </w:p>
    <w:p w14:paraId="7BD98E4C" w14:textId="77777777" w:rsidR="00AA1782" w:rsidRPr="00D868ED" w:rsidRDefault="00AA1782" w:rsidP="00CE5C32">
      <w:pPr>
        <w:bidi w:val="0"/>
        <w:jc w:val="both"/>
        <w:rPr>
          <w:rFonts w:asciiTheme="majorBidi" w:hAnsiTheme="majorBidi" w:cstheme="majorBidi"/>
          <w:b/>
          <w:bCs/>
        </w:rPr>
      </w:pPr>
      <w:r w:rsidRPr="00D868ED">
        <w:rPr>
          <w:rFonts w:asciiTheme="majorBidi" w:hAnsiTheme="majorBidi" w:cstheme="majorBidi"/>
          <w:b/>
          <w:bCs/>
        </w:rPr>
        <w:t>Abstract</w:t>
      </w:r>
    </w:p>
    <w:p w14:paraId="7CA62433" w14:textId="77777777" w:rsidR="009E1D22" w:rsidRPr="0006108B" w:rsidRDefault="009E1D22" w:rsidP="009E1D22">
      <w:pPr>
        <w:bidi w:val="0"/>
        <w:spacing w:line="360" w:lineRule="auto"/>
        <w:jc w:val="both"/>
        <w:rPr>
          <w:rFonts w:asciiTheme="majorBidi" w:hAnsiTheme="majorBidi" w:cstheme="majorBidi"/>
        </w:rPr>
      </w:pPr>
      <w:r w:rsidRPr="0006108B">
        <w:rPr>
          <w:rFonts w:asciiTheme="majorBidi" w:hAnsiTheme="majorBidi" w:cstheme="majorBidi"/>
        </w:rPr>
        <w:t xml:space="preserve">This study examines bilateral trade among fifteen post-Soviet economies during 1994–2020 using a structural gravity framework focused on geography and institutional integration. Using the CEPII Gravity Database, the model includes GDP, distance, contiguity, common language, and indicators for joint membership in the WTO, European Union, and Eurasian Economic Union. </w:t>
      </w:r>
      <w:r w:rsidRPr="0006108B">
        <w:rPr>
          <w:rFonts w:asciiTheme="majorBidi" w:hAnsiTheme="majorBidi" w:cstheme="majorBidi"/>
          <w:highlight w:val="yellow"/>
        </w:rPr>
        <w:t>The analysis applies log-linear, fixed-effects, normalized, PPML, GPML, and zero-inclusive PPML specifications. Results show that economic size and geographic proximity remain key determinants of trade. Institutional effects vary across specifications. European Union membership shows the most robust positive association with trade, while Eurasian Economic Union membership is positive in several specifications but less stable.</w:t>
      </w:r>
      <w:r w:rsidRPr="0006108B">
        <w:rPr>
          <w:rFonts w:asciiTheme="majorBidi" w:hAnsiTheme="majorBidi" w:cstheme="majorBidi"/>
        </w:rPr>
        <w:t xml:space="preserve"> WTO effects are weaker and specification-sensitive. Overall, regional integration appears more consistently associated with post-Soviet trade than multilateral alignment.</w:t>
      </w:r>
    </w:p>
    <w:p w14:paraId="74E0F0A9" w14:textId="5F70D311" w:rsidR="00194EDC" w:rsidRPr="00D868ED" w:rsidRDefault="00194EDC" w:rsidP="00CE5C32">
      <w:pPr>
        <w:bidi w:val="0"/>
        <w:spacing w:line="360" w:lineRule="auto"/>
        <w:jc w:val="both"/>
        <w:rPr>
          <w:rFonts w:asciiTheme="majorBidi" w:hAnsiTheme="majorBidi" w:cstheme="majorBidi"/>
        </w:rPr>
      </w:pPr>
    </w:p>
    <w:p w14:paraId="7338671F" w14:textId="1CF0C48F" w:rsidR="00EB2A1E" w:rsidRPr="00D868ED" w:rsidRDefault="00EB2A1E" w:rsidP="00CE5C32">
      <w:pPr>
        <w:bidi w:val="0"/>
        <w:spacing w:line="360" w:lineRule="auto"/>
        <w:jc w:val="both"/>
        <w:rPr>
          <w:rFonts w:asciiTheme="majorBidi" w:hAnsiTheme="majorBidi" w:cstheme="majorBidi"/>
        </w:rPr>
      </w:pPr>
      <w:r w:rsidRPr="00D868ED">
        <w:rPr>
          <w:rFonts w:asciiTheme="majorBidi" w:hAnsiTheme="majorBidi" w:cstheme="majorBidi"/>
        </w:rPr>
        <w:t xml:space="preserve">Key words: Structural gravity; </w:t>
      </w:r>
      <w:r w:rsidR="00F64100" w:rsidRPr="00D868ED">
        <w:rPr>
          <w:rFonts w:asciiTheme="majorBidi" w:hAnsiTheme="majorBidi" w:cstheme="majorBidi"/>
        </w:rPr>
        <w:t>post-Soviet</w:t>
      </w:r>
      <w:r w:rsidRPr="00D868ED">
        <w:rPr>
          <w:rFonts w:asciiTheme="majorBidi" w:hAnsiTheme="majorBidi" w:cstheme="majorBidi"/>
        </w:rPr>
        <w:t xml:space="preserve"> trade; Regional integration; WTO</w:t>
      </w:r>
      <w:r w:rsidR="00EC7627" w:rsidRPr="00D868ED">
        <w:rPr>
          <w:rFonts w:asciiTheme="majorBidi" w:hAnsiTheme="majorBidi" w:cstheme="majorBidi"/>
        </w:rPr>
        <w:t xml:space="preserve">; </w:t>
      </w:r>
      <w:r w:rsidRPr="00D868ED">
        <w:rPr>
          <w:rFonts w:asciiTheme="majorBidi" w:hAnsiTheme="majorBidi" w:cstheme="majorBidi"/>
        </w:rPr>
        <w:t xml:space="preserve">EU; </w:t>
      </w:r>
      <w:r w:rsidR="00EC7627" w:rsidRPr="00D868ED">
        <w:rPr>
          <w:rFonts w:asciiTheme="majorBidi" w:hAnsiTheme="majorBidi" w:cstheme="majorBidi"/>
        </w:rPr>
        <w:t>EAEU</w:t>
      </w:r>
    </w:p>
    <w:p w14:paraId="5E102184" w14:textId="4A7B3D06" w:rsidR="00AA1782" w:rsidRPr="00D868ED" w:rsidRDefault="00AA1782" w:rsidP="00CE5C32">
      <w:pPr>
        <w:bidi w:val="0"/>
        <w:spacing w:line="360" w:lineRule="auto"/>
        <w:jc w:val="both"/>
        <w:rPr>
          <w:rFonts w:asciiTheme="majorBidi" w:hAnsiTheme="majorBidi" w:cstheme="majorBidi"/>
          <w:b/>
          <w:bCs/>
          <w:lang w:bidi="ar-OM"/>
        </w:rPr>
      </w:pPr>
      <w:r w:rsidRPr="00D868ED">
        <w:rPr>
          <w:rFonts w:asciiTheme="majorBidi" w:hAnsiTheme="majorBidi" w:cstheme="majorBidi"/>
        </w:rPr>
        <w:t>JEL codes: F13, F14, F15.</w:t>
      </w:r>
    </w:p>
    <w:p w14:paraId="16E6530F" w14:textId="77777777" w:rsidR="006B17BD" w:rsidRPr="00D868ED" w:rsidRDefault="006B17BD" w:rsidP="00CE5C32">
      <w:pPr>
        <w:bidi w:val="0"/>
        <w:rPr>
          <w:rFonts w:asciiTheme="majorBidi" w:hAnsiTheme="majorBidi" w:cstheme="majorBidi"/>
          <w:b/>
          <w:bCs/>
          <w:lang w:bidi="ar-OM"/>
        </w:rPr>
      </w:pPr>
      <w:r w:rsidRPr="00D868ED">
        <w:rPr>
          <w:rFonts w:asciiTheme="majorBidi" w:hAnsiTheme="majorBidi" w:cstheme="majorBidi"/>
          <w:b/>
          <w:bCs/>
          <w:lang w:bidi="ar-OM"/>
        </w:rPr>
        <w:br w:type="page"/>
      </w:r>
    </w:p>
    <w:p w14:paraId="5155B1C3" w14:textId="54DF55AB" w:rsidR="00394F24" w:rsidRPr="00D868ED" w:rsidRDefault="00394F24" w:rsidP="00CE5C32">
      <w:pPr>
        <w:pStyle w:val="ListParagraph"/>
        <w:numPr>
          <w:ilvl w:val="0"/>
          <w:numId w:val="12"/>
        </w:numPr>
        <w:bidi w:val="0"/>
        <w:spacing w:line="360" w:lineRule="auto"/>
        <w:jc w:val="both"/>
        <w:rPr>
          <w:rFonts w:asciiTheme="majorBidi" w:hAnsiTheme="majorBidi" w:cstheme="majorBidi"/>
          <w:b/>
          <w:bCs/>
          <w:lang w:bidi="ar-OM"/>
        </w:rPr>
      </w:pPr>
      <w:r w:rsidRPr="00D868ED">
        <w:rPr>
          <w:rFonts w:asciiTheme="majorBidi" w:hAnsiTheme="majorBidi" w:cstheme="majorBidi"/>
          <w:b/>
          <w:bCs/>
          <w:lang w:bidi="ar-OM"/>
        </w:rPr>
        <w:lastRenderedPageBreak/>
        <w:t>Introduction</w:t>
      </w:r>
    </w:p>
    <w:p w14:paraId="267B5531" w14:textId="77777777" w:rsidR="005E3A7E" w:rsidRPr="00D868ED" w:rsidRDefault="005E3A7E" w:rsidP="00CE5C32">
      <w:pPr>
        <w:pStyle w:val="NormalWeb"/>
        <w:bidi w:val="0"/>
        <w:spacing w:after="120" w:line="288" w:lineRule="auto"/>
        <w:jc w:val="both"/>
        <w:rPr>
          <w:rFonts w:asciiTheme="majorBidi" w:hAnsiTheme="majorBidi" w:cstheme="majorBidi"/>
        </w:rPr>
      </w:pPr>
      <w:r w:rsidRPr="00D868ED">
        <w:rPr>
          <w:rFonts w:asciiTheme="majorBidi" w:hAnsiTheme="majorBidi" w:cstheme="majorBidi"/>
        </w:rPr>
        <w:t>International trade plays a central role in shaping the economic geography of regions undergoing systemic transformation, influencing patterns of production, connectivity, and integration across space. In the Eurasian context, trade has been a key mechanism through which post-Soviet economies have reoriented their external relations, adapted to new market conditions, and engaged with competing regional and global institutions. The dissolution of the Soviet Union in 1991 marked a profound restructuring of economic space, as the collapse of centrally planned trade networks disrupted established production linkages and cross-border exchanges. Newly independent states were compelled to rebuild their trade relations under diverse policy frameworks, leading to uneven trajectories of integration. Despite shared historical legacies and geographic proximity, trade patterns across post-Soviet economies have diverged substantially, reflecting differences in economic scale, spatial constraints, infrastructure, and institutional alignment.</w:t>
      </w:r>
    </w:p>
    <w:p w14:paraId="0C4E3763" w14:textId="4E59ED35" w:rsidR="00C80B29" w:rsidRPr="00D868ED" w:rsidRDefault="00C80B29" w:rsidP="00CE5C32">
      <w:pPr>
        <w:pStyle w:val="NormalWeb"/>
        <w:bidi w:val="0"/>
        <w:spacing w:after="120" w:line="288" w:lineRule="auto"/>
        <w:jc w:val="both"/>
        <w:rPr>
          <w:rFonts w:asciiTheme="majorBidi" w:hAnsiTheme="majorBidi" w:cstheme="majorBidi"/>
        </w:rPr>
      </w:pPr>
      <w:r w:rsidRPr="00D868ED">
        <w:rPr>
          <w:rFonts w:asciiTheme="majorBidi" w:hAnsiTheme="majorBidi" w:cstheme="majorBidi"/>
        </w:rPr>
        <w:t xml:space="preserve">To analyze the determinants of bilateral trade flows, the gravity model has become the dominant empirical framework in international trade research. Originally introduced by Tinbergen </w:t>
      </w:r>
      <w:r w:rsidR="00BA036B" w:rsidRPr="00D868ED">
        <w:rPr>
          <w:rFonts w:asciiTheme="majorBidi" w:hAnsiTheme="majorBidi" w:cstheme="majorBidi"/>
        </w:rPr>
        <w:fldChar w:fldCharType="begin"/>
      </w:r>
      <w:r w:rsidR="00BA036B" w:rsidRPr="00D868ED">
        <w:rPr>
          <w:rFonts w:asciiTheme="majorBidi" w:hAnsiTheme="majorBidi" w:cstheme="majorBidi"/>
        </w:rPr>
        <w:instrText xml:space="preserve"> ADDIN ZOTERO_ITEM CSL_CITATION {"citationID":"ITqiDu5x","properties":{"formattedCitation":"(1962)","plainCitation":"(1962)","noteIndex":0},"citationItems":[{"id":154,"uris":["http://zotero.org/users/4604898/items/HR624U7P"],"itemData":{"id":154,"type":"book","language":"en","publisher":"The Twentieth Century Fund","source":"repub.eur.nl","title":"Shaping the World Economy; Suggestions for an International Economic Policy","URL":"https://repub.eur.nl/pub/16826","author":[{"family":"Tinbergen","given":"Jan"}],"accessed":{"date-parts":[["2022",4,17]]},"issued":{"date-parts":[["1962"]]}},"suppress-author":true}],"schema":"https://github.com/citation-style-language/schema/raw/master/csl-citation.json"} </w:instrText>
      </w:r>
      <w:r w:rsidR="00BA036B" w:rsidRPr="00D868ED">
        <w:rPr>
          <w:rFonts w:asciiTheme="majorBidi" w:hAnsiTheme="majorBidi" w:cstheme="majorBidi"/>
        </w:rPr>
        <w:fldChar w:fldCharType="separate"/>
      </w:r>
      <w:r w:rsidR="008C4601" w:rsidRPr="00D868ED">
        <w:t>(1962)</w:t>
      </w:r>
      <w:r w:rsidR="00BA036B" w:rsidRPr="00D868ED">
        <w:rPr>
          <w:rFonts w:asciiTheme="majorBidi" w:hAnsiTheme="majorBidi" w:cstheme="majorBidi"/>
        </w:rPr>
        <w:fldChar w:fldCharType="end"/>
      </w:r>
      <w:r w:rsidR="00BA036B" w:rsidRPr="00D868ED">
        <w:rPr>
          <w:rFonts w:asciiTheme="majorBidi" w:hAnsiTheme="majorBidi" w:cstheme="majorBidi"/>
        </w:rPr>
        <w:t xml:space="preserve"> </w:t>
      </w:r>
      <w:r w:rsidRPr="00D868ED">
        <w:rPr>
          <w:rFonts w:asciiTheme="majorBidi" w:hAnsiTheme="majorBidi" w:cstheme="majorBidi"/>
        </w:rPr>
        <w:t>and later given rigorous theoretical foundations by Anderson and van Wincoop</w:t>
      </w:r>
      <w:r w:rsidR="00BA036B" w:rsidRPr="00D868ED">
        <w:rPr>
          <w:rFonts w:asciiTheme="majorBidi" w:hAnsiTheme="majorBidi" w:cstheme="majorBidi"/>
        </w:rPr>
        <w:t xml:space="preserve"> </w:t>
      </w:r>
      <w:r w:rsidR="00BA036B" w:rsidRPr="00D868ED">
        <w:rPr>
          <w:rFonts w:asciiTheme="majorBidi" w:hAnsiTheme="majorBidi" w:cstheme="majorBidi"/>
        </w:rPr>
        <w:fldChar w:fldCharType="begin"/>
      </w:r>
      <w:r w:rsidR="00BA036B" w:rsidRPr="00D868ED">
        <w:rPr>
          <w:rFonts w:asciiTheme="majorBidi" w:hAnsiTheme="majorBidi" w:cstheme="majorBidi"/>
        </w:rPr>
        <w:instrText xml:space="preserve"> ADDIN ZOTERO_ITEM CSL_CITATION {"citationID":"gsuWDQPy","properties":{"formattedCitation":"(2003)","plainCitation":"(2003)","noteIndex":0},"citationItems":[{"id":162,"uris":["http://zotero.org/users/4604898/items/RSV9KA85"],"itemData":{"id":162,"type":"article-journal","abstract":"Gravity equations have been widely used to infer trade flow effects of various institutional arrangements. We show that estimated gravity equations do not have a theoretical foundation. This implies both that estimation suffers from omitted variables bias and that comparative statics analysis is unfounded. We develop a method that (i) consistently and efficiently estimates a theoretical gravity equation and (ii) correctly calculates the comparative statics of trade frictions. We apply the method to solve the famous McCallum border puzzle. Applying our method, we find that national borders reduce trade between industrialized countries by moderate amounts of 20-50 percent.","container-title":"American Economic Review","DOI":"10.1257/000282803321455214","ISSN":"0002-8282","issue":"1","language":"en","page":"170-192","source":"www.aeaweb.org","title":"Gravity with Gravitas: A Solution to the Border Puzzle","title-short":"Gravity with Gravitas","volume":"93","author":[{"family":"Anderson","given":"James E."},{"family":"Wincoop","given":"Eric","non-dropping-particle":"van"}],"issued":{"date-parts":[["2003",3]]}},"suppress-author":true}],"schema":"https://github.com/citation-style-language/schema/raw/master/csl-citation.json"} </w:instrText>
      </w:r>
      <w:r w:rsidR="00BA036B" w:rsidRPr="00D868ED">
        <w:rPr>
          <w:rFonts w:asciiTheme="majorBidi" w:hAnsiTheme="majorBidi" w:cstheme="majorBidi"/>
        </w:rPr>
        <w:fldChar w:fldCharType="separate"/>
      </w:r>
      <w:r w:rsidR="008C4601" w:rsidRPr="00D868ED">
        <w:t>(2003)</w:t>
      </w:r>
      <w:r w:rsidR="00BA036B" w:rsidRPr="00D868ED">
        <w:rPr>
          <w:rFonts w:asciiTheme="majorBidi" w:hAnsiTheme="majorBidi" w:cstheme="majorBidi"/>
        </w:rPr>
        <w:fldChar w:fldCharType="end"/>
      </w:r>
      <w:r w:rsidRPr="00D868ED">
        <w:rPr>
          <w:rFonts w:asciiTheme="majorBidi" w:hAnsiTheme="majorBidi" w:cstheme="majorBidi"/>
        </w:rPr>
        <w:t xml:space="preserve">, the gravity model predicts that trade between two countries increases with their economic size and decreases with trade costs such as distance, transportation barriers, and border frictions. Over time, the gravity framework has been expanded to incorporate policy and institutional variables, including regional trade agreements, customs unions, and participation in multilateral trade institutions </w:t>
      </w:r>
      <w:r w:rsidR="00BA036B" w:rsidRPr="00D868ED">
        <w:rPr>
          <w:rFonts w:asciiTheme="majorBidi" w:hAnsiTheme="majorBidi" w:cstheme="majorBidi"/>
        </w:rPr>
        <w:fldChar w:fldCharType="begin"/>
      </w:r>
      <w:r w:rsidR="00D609BF">
        <w:rPr>
          <w:rFonts w:asciiTheme="majorBidi" w:hAnsiTheme="majorBidi" w:cstheme="majorBidi"/>
        </w:rPr>
        <w:instrText xml:space="preserve"> ADDIN ZOTERO_ITEM CSL_CITATION {"citationID":"2dXlVd70","properties":{"formattedCitation":"(Head &amp; Mayer, 2014; Yotov et al., 2016)","plainCitation":"(Head &amp; Mayer, 2014; Yotov et al., 2016)","noteIndex":0},"citationItems":[{"id":2523,"uris":["http://zotero.org/users/4604898/items/TY2S9PEF","http://zotero.org/users/4604898/items/EKVW7XPB"],"itemData":{"id":2523,"type":"chapter","abstract":"This chapter focuses on the estimation and interpretation of gravity equations for bilateral trade. This necessarily involves a careful consideration of the theoretical underpinnings since it has become clear that naive approaches to estimation lead to biased and frequently misinterpreted results. There are now several theory-consistent estimation methods and we argue against sole reliance on any one method and instead advocate a toolkit approach. One estimator may be preferred for certain types of data or research questions but more often the methods should be used in concert to establish robustness. In recent years, estimation has become just a ﬁrst step before a deeper analysis of the implications of the results, notably in terms of welfare. We try to facilitate diffusion of best-practice methods by illustrating their application in a step-by-step cookbook mode of exposition.","container-title":"Handbook of International Economics","DOI":"10.1016/B978-0-444-54314-1.00003-3","ISBN":"978-0-444-54314-1","language":"en","license":"https://www.elsevier.com/tdm/userlicense/1.0/","page":"131-195","publisher":"Elsevier","source":"DOI.org (Crossref)","title":"Gravity Equations: Workhorse,Toolkit, and Cookbook","title-short":"Gravity Equations","URL":"https://linkinghub.elsevier.com/retrieve/pii/B9780444543141000033","volume":"4","author":[{"family":"Head","given":"Keith"},{"family":"Mayer","given":"Thierry"}],"accessed":{"date-parts":[["2026",4,22]]},"issued":{"date-parts":[["2014"]]}}},{"id":2329,"uris":["http://zotero.org/users/4604898/items/2VI5BYQE"],"itemData":{"id":2329,"type":"book","DOI":"10.30875/abc0167e-en","ISBN":"978-92-870-4368-9","language":"en","note":"DOI: 10.30875/abc0167e-en","publisher":"WTO","source":"DOI.org (Crossref)","title":"An Advanced Guide to Trade Policy Analysis​: The Structural Gravity Model","title-short":"An Advanced Guide to Trade Policy Analysis​","URL":"https://www.wto-ilibrary.org/content/books/9789287043689","author":[{"family":"Yotov","given":"Yoto V."},{"family":"Piermartini","given":"Roberta"},{"family":"Monteiro","given":"José-Antonio"},{"family":"Larch","given":"Mario"}],"accessed":{"date-parts":[["2026",3,25]]},"issued":{"date-parts":[["2016",11,15]]}}}],"schema":"https://github.com/citation-style-language/schema/raw/master/csl-citation.json"} </w:instrText>
      </w:r>
      <w:r w:rsidR="00BA036B" w:rsidRPr="00D868ED">
        <w:rPr>
          <w:rFonts w:asciiTheme="majorBidi" w:hAnsiTheme="majorBidi" w:cstheme="majorBidi"/>
        </w:rPr>
        <w:fldChar w:fldCharType="separate"/>
      </w:r>
      <w:r w:rsidR="008C4601" w:rsidRPr="00D868ED">
        <w:t>(Head &amp; Mayer, 2014; Yotov et al., 2016)</w:t>
      </w:r>
      <w:r w:rsidR="00BA036B" w:rsidRPr="00D868ED">
        <w:rPr>
          <w:rFonts w:asciiTheme="majorBidi" w:hAnsiTheme="majorBidi" w:cstheme="majorBidi"/>
        </w:rPr>
        <w:fldChar w:fldCharType="end"/>
      </w:r>
      <w:r w:rsidR="00A33DE7">
        <w:rPr>
          <w:rFonts w:asciiTheme="majorBidi" w:hAnsiTheme="majorBidi" w:cstheme="majorBidi"/>
        </w:rPr>
        <w:t>.</w:t>
      </w:r>
      <w:r w:rsidR="00923A86" w:rsidRPr="00D868ED">
        <w:rPr>
          <w:rFonts w:asciiTheme="majorBidi" w:hAnsiTheme="majorBidi" w:cstheme="majorBidi"/>
        </w:rPr>
        <w:t xml:space="preserve"> </w:t>
      </w:r>
      <w:r w:rsidRPr="00D868ED">
        <w:rPr>
          <w:rFonts w:asciiTheme="majorBidi" w:hAnsiTheme="majorBidi" w:cstheme="majorBidi"/>
        </w:rPr>
        <w:t>These extensions have allowed researchers to evaluate how institutional arrangements shape bilateral trade flows alongside traditional geographic determinants.</w:t>
      </w:r>
    </w:p>
    <w:p w14:paraId="2FAF7DD9" w14:textId="77777777" w:rsidR="00C80B29" w:rsidRPr="00D868ED" w:rsidRDefault="00C80B29" w:rsidP="00CE5C32">
      <w:pPr>
        <w:pStyle w:val="NormalWeb"/>
        <w:bidi w:val="0"/>
        <w:spacing w:after="120" w:line="288" w:lineRule="auto"/>
        <w:jc w:val="both"/>
        <w:rPr>
          <w:rFonts w:asciiTheme="majorBidi" w:hAnsiTheme="majorBidi" w:cstheme="majorBidi"/>
        </w:rPr>
      </w:pPr>
      <w:r w:rsidRPr="00D868ED">
        <w:rPr>
          <w:rFonts w:asciiTheme="majorBidi" w:hAnsiTheme="majorBidi" w:cstheme="majorBidi"/>
        </w:rPr>
        <w:t>A growing body of literature highlights the importance of institutional integration in facilitating international trade. Membership in the World Trade Organization (WTO) is often associated with greater transparency, reduced trade policy uncertainty, and improved market access conditions. For transition economies in particular, WTO accession has frequently been interpreted as a milestone in their integration into the global trading system. Accession commitments typically involve tariff bindings, adherence to non-discrimination principles, and substantial reforms in trade-related legislation. However, empirical evidence regarding the trade effects of WTO membership remains mixed. While some studies identify substantial positive trade effects, others find more modest or heterogeneous outcomes depending on country characteristics, institutional quality, and regional context.</w:t>
      </w:r>
    </w:p>
    <w:p w14:paraId="7A7BC01A" w14:textId="77777777" w:rsidR="00C80B29" w:rsidRPr="00D868ED" w:rsidRDefault="00C80B29" w:rsidP="00CE5C32">
      <w:pPr>
        <w:pStyle w:val="NormalWeb"/>
        <w:bidi w:val="0"/>
        <w:spacing w:after="120" w:line="288" w:lineRule="auto"/>
        <w:jc w:val="both"/>
        <w:rPr>
          <w:rFonts w:asciiTheme="majorBidi" w:hAnsiTheme="majorBidi" w:cstheme="majorBidi"/>
        </w:rPr>
      </w:pPr>
      <w:r w:rsidRPr="00D868ED">
        <w:rPr>
          <w:rFonts w:asciiTheme="majorBidi" w:hAnsiTheme="majorBidi" w:cstheme="majorBidi"/>
        </w:rPr>
        <w:t xml:space="preserve">Alongside multilateral institutions, regional economic integration has become increasingly important in shaping trade patterns. Within the post-Soviet region, the experience of the Baltic states illustrates the impact of deep regional integration. Estonia, Latvia, and Lithuania pursued a strategy of rapid institutional alignment with Western Europe following independence, culminating in their accession to the European Union in 2004. Unlike many regional trade agreements that focus primarily on tariff reductions, EU membership entails far-reaching institutional harmonization, including the adoption of common external tariffs, regulatory </w:t>
      </w:r>
      <w:r w:rsidRPr="00D868ED">
        <w:rPr>
          <w:rFonts w:asciiTheme="majorBidi" w:hAnsiTheme="majorBidi" w:cstheme="majorBidi"/>
        </w:rPr>
        <w:lastRenderedPageBreak/>
        <w:t>standards, competition policy frameworks, and full participation in the EU single market. These features suggest that the trade effects of EU integration may be substantially stronger than those associated with multilateral institutional arrangements alone.</w:t>
      </w:r>
    </w:p>
    <w:p w14:paraId="78859037" w14:textId="407FE078" w:rsidR="00C80B29" w:rsidRPr="00D868ED" w:rsidRDefault="00C80B29" w:rsidP="00CE5C32">
      <w:pPr>
        <w:pStyle w:val="NormalWeb"/>
        <w:bidi w:val="0"/>
        <w:spacing w:after="120" w:line="288" w:lineRule="auto"/>
        <w:jc w:val="both"/>
        <w:rPr>
          <w:rFonts w:asciiTheme="majorBidi" w:hAnsiTheme="majorBidi" w:cstheme="majorBidi"/>
        </w:rPr>
      </w:pPr>
      <w:r w:rsidRPr="00D868ED">
        <w:rPr>
          <w:rFonts w:asciiTheme="majorBidi" w:hAnsiTheme="majorBidi" w:cstheme="majorBidi"/>
        </w:rPr>
        <w:t>Despite the importance of these institutional developments, empirical research specifically focused on trade among post-Soviet economies remains relatively limited. Existing studies often examine subsets of the region</w:t>
      </w:r>
      <w:r w:rsidR="00510A83">
        <w:rPr>
          <w:rFonts w:asciiTheme="majorBidi" w:hAnsiTheme="majorBidi" w:cstheme="majorBidi"/>
        </w:rPr>
        <w:t xml:space="preserve">, </w:t>
      </w:r>
      <w:r w:rsidRPr="00D868ED">
        <w:rPr>
          <w:rFonts w:asciiTheme="majorBidi" w:hAnsiTheme="majorBidi" w:cstheme="majorBidi"/>
        </w:rPr>
        <w:t>such as Central Asia or Eastern Europe</w:t>
      </w:r>
      <w:r w:rsidR="00510A83">
        <w:rPr>
          <w:rFonts w:asciiTheme="majorBidi" w:hAnsiTheme="majorBidi" w:cstheme="majorBidi"/>
        </w:rPr>
        <w:t xml:space="preserve">, </w:t>
      </w:r>
      <w:r w:rsidRPr="00D868ED">
        <w:rPr>
          <w:rFonts w:asciiTheme="majorBidi" w:hAnsiTheme="majorBidi" w:cstheme="majorBidi"/>
        </w:rPr>
        <w:t xml:space="preserve">or include post-Soviet countries as part of broader cross-country samples without explicitly accounting for their shared historical and institutional background. Moreover, relatively few studies jointly examine the trade effects of WTO membership and EU </w:t>
      </w:r>
      <w:r w:rsidR="007D6C16" w:rsidRPr="00D868ED">
        <w:rPr>
          <w:rFonts w:asciiTheme="majorBidi" w:hAnsiTheme="majorBidi" w:cstheme="majorBidi"/>
        </w:rPr>
        <w:t xml:space="preserve">and EAEU </w:t>
      </w:r>
      <w:r w:rsidRPr="00D868ED">
        <w:rPr>
          <w:rFonts w:asciiTheme="majorBidi" w:hAnsiTheme="majorBidi" w:cstheme="majorBidi"/>
        </w:rPr>
        <w:t>integration within a unified structural gravity framework that controls for multilateral resistance terms and accommodates zero trade flows.</w:t>
      </w:r>
    </w:p>
    <w:p w14:paraId="36FA880A" w14:textId="7CDF5184" w:rsidR="00C80B29" w:rsidRPr="00D868ED" w:rsidRDefault="00C80B29" w:rsidP="00CE5C32">
      <w:pPr>
        <w:pStyle w:val="NormalWeb"/>
        <w:bidi w:val="0"/>
        <w:spacing w:after="120" w:line="288" w:lineRule="auto"/>
        <w:jc w:val="both"/>
        <w:rPr>
          <w:rFonts w:asciiTheme="majorBidi" w:hAnsiTheme="majorBidi" w:cstheme="majorBidi"/>
        </w:rPr>
      </w:pPr>
      <w:r w:rsidRPr="00D868ED">
        <w:rPr>
          <w:rFonts w:asciiTheme="majorBidi" w:hAnsiTheme="majorBidi" w:cstheme="majorBidi"/>
        </w:rPr>
        <w:t>This study addresses these gaps by examining the determinants of bilateral trade among all fifteen post-Soviet economies</w:t>
      </w:r>
      <w:r w:rsidR="0061119C">
        <w:rPr>
          <w:rFonts w:asciiTheme="majorBidi" w:hAnsiTheme="majorBidi" w:cstheme="majorBidi"/>
        </w:rPr>
        <w:t xml:space="preserve">, namely </w:t>
      </w:r>
      <w:r w:rsidRPr="00D868ED">
        <w:rPr>
          <w:rFonts w:asciiTheme="majorBidi" w:hAnsiTheme="majorBidi" w:cstheme="majorBidi"/>
        </w:rPr>
        <w:t>Armenia, Azerbaijan, Belarus, Estonia, Georgia, Kazakhstan, Kyrgyzstan, Latvia, Lithuania, Moldova, Russia, Tajikistan, Turkmenistan, Ukraine, and Uzbekistan</w:t>
      </w:r>
      <w:r w:rsidR="00F2478F">
        <w:rPr>
          <w:rFonts w:asciiTheme="majorBidi" w:hAnsiTheme="majorBidi" w:cstheme="majorBidi"/>
        </w:rPr>
        <w:t xml:space="preserve"> </w:t>
      </w:r>
      <w:r w:rsidRPr="00D868ED">
        <w:rPr>
          <w:rFonts w:asciiTheme="majorBidi" w:hAnsiTheme="majorBidi" w:cstheme="majorBidi"/>
        </w:rPr>
        <w:t>over the period 199</w:t>
      </w:r>
      <w:r w:rsidR="00C25DC6" w:rsidRPr="00D868ED">
        <w:rPr>
          <w:rFonts w:asciiTheme="majorBidi" w:hAnsiTheme="majorBidi" w:cstheme="majorBidi"/>
        </w:rPr>
        <w:t>4</w:t>
      </w:r>
      <w:r w:rsidRPr="00D868ED">
        <w:rPr>
          <w:rFonts w:asciiTheme="majorBidi" w:hAnsiTheme="majorBidi" w:cstheme="majorBidi"/>
        </w:rPr>
        <w:t>-20</w:t>
      </w:r>
      <w:r w:rsidR="00C25DC6" w:rsidRPr="00D868ED">
        <w:rPr>
          <w:rFonts w:asciiTheme="majorBidi" w:hAnsiTheme="majorBidi" w:cstheme="majorBidi"/>
        </w:rPr>
        <w:t>20</w:t>
      </w:r>
      <w:r w:rsidRPr="00D868ED">
        <w:rPr>
          <w:rFonts w:asciiTheme="majorBidi" w:hAnsiTheme="majorBidi" w:cstheme="majorBidi"/>
        </w:rPr>
        <w:t xml:space="preserve">. The sample period ends in </w:t>
      </w:r>
      <w:r w:rsidR="0027738D" w:rsidRPr="00D868ED">
        <w:rPr>
          <w:rFonts w:asciiTheme="majorBidi" w:hAnsiTheme="majorBidi" w:cstheme="majorBidi"/>
        </w:rPr>
        <w:t xml:space="preserve">2020 as this is the last data available in </w:t>
      </w:r>
      <w:r w:rsidR="00F2478F">
        <w:rPr>
          <w:rFonts w:asciiTheme="majorBidi" w:hAnsiTheme="majorBidi" w:cstheme="majorBidi"/>
        </w:rPr>
        <w:t xml:space="preserve">the </w:t>
      </w:r>
      <w:r w:rsidR="0027738D" w:rsidRPr="00D868ED">
        <w:rPr>
          <w:rFonts w:asciiTheme="majorBidi" w:hAnsiTheme="majorBidi" w:cstheme="majorBidi"/>
        </w:rPr>
        <w:t>CEPII database</w:t>
      </w:r>
      <w:r w:rsidRPr="00D868ED">
        <w:rPr>
          <w:rFonts w:asciiTheme="majorBidi" w:hAnsiTheme="majorBidi" w:cstheme="majorBidi"/>
        </w:rPr>
        <w:t>. Bilateral trade flows and gravity covariates are drawn from the CEPII Gravity Database (version 202211), which harmonizes UN Comtrade trade data with macroeconomic, geographic, and institutional variables.</w:t>
      </w:r>
    </w:p>
    <w:p w14:paraId="28C5F8A1" w14:textId="1AE8D27A" w:rsidR="00D04A46" w:rsidRDefault="00997E16" w:rsidP="00CE5C32">
      <w:pPr>
        <w:pStyle w:val="NormalWeb"/>
        <w:bidi w:val="0"/>
        <w:spacing w:after="120" w:line="288" w:lineRule="auto"/>
        <w:jc w:val="both"/>
        <w:rPr>
          <w:rFonts w:asciiTheme="majorBidi" w:hAnsiTheme="majorBidi" w:cstheme="majorBidi"/>
        </w:rPr>
      </w:pPr>
      <w:r w:rsidRPr="00F5191E">
        <w:rPr>
          <w:rFonts w:asciiTheme="majorBidi" w:hAnsiTheme="majorBidi" w:cstheme="majorBidi"/>
          <w:highlight w:val="yellow"/>
        </w:rPr>
        <w:t>The empirical analysis employs a structural gravity framework estimated using log-linear, fixed-effects, normalized, PPML, and GPML specifications. The original positive-flow specifications are retained for comparability with the log-linear models, while additional zero-inclusive PPML specifications are estimated in response to concerns about zero trade flows. The preferred zero-inclusive structural PPML specification includes exporter-year and importer-year fixed effects to control for time-varying outward and inward multilateral resistance</w:t>
      </w:r>
      <w:r w:rsidR="00F75BB8" w:rsidRPr="00F5191E">
        <w:rPr>
          <w:rFonts w:asciiTheme="majorBidi" w:hAnsiTheme="majorBidi" w:cstheme="majorBidi"/>
          <w:highlight w:val="yellow"/>
        </w:rPr>
        <w:t xml:space="preserve"> </w:t>
      </w:r>
      <w:r w:rsidR="00F75BB8" w:rsidRPr="00F5191E">
        <w:rPr>
          <w:rFonts w:asciiTheme="majorBidi" w:hAnsiTheme="majorBidi" w:cstheme="majorBidi"/>
          <w:highlight w:val="yellow"/>
        </w:rPr>
        <w:fldChar w:fldCharType="begin"/>
      </w:r>
      <w:r w:rsidR="00D609BF">
        <w:rPr>
          <w:rFonts w:asciiTheme="majorBidi" w:hAnsiTheme="majorBidi" w:cstheme="majorBidi"/>
          <w:highlight w:val="yellow"/>
        </w:rPr>
        <w:instrText xml:space="preserve"> ADDIN ZOTERO_ITEM CSL_CITATION {"citationID":"Szrdfico","properties":{"formattedCitation":"(Silva &amp; Tenreyro, 2006)","plainCitation":"(Silva &amp; Tenreyro, 2006)","noteIndex":0},"citationItems":[{"id":2555,"uris":["http://zotero.org/users/4604898/items/R522QABV","http://zotero.org/users/4604898/items/KXRGU3JI"],"itemData":{"id":2555,"type":"article-journal","abstract":"Although economists have long been aware of Jensen's inequality, many econometric applications have neglected an important implication of it: under heteroskedasticity, the parameters of log-linearized models estimated by OLS lead to biased estimates of the true elasticities. We explain why this problem arises and propose an appropriate estimator. Our criticism of conventional practices and the proposed solution extend to a broad range of applications where log-linearized equations are estimated. We develop the argument using one particular illustration, the gravity equation for trade. We find significant differences between estimates obtained with the proposed estimator and those obtained with the traditional method.","container-title":"The Review of Economics and Statistics","DOI":"10.1162/rest.88.4.641","ISSN":"0034-6535","issue":"4","journalAbbreviation":"The Review of Economics and Statistics","page":"641-658","title":"The Log of Gravity","volume":"88","author":[{"family":"Silva","given":"J. M. C. Santos"},{"family":"Tenreyro","given":"Silvana"}],"issued":{"date-parts":[["2006",11,1]]}}}],"schema":"https://github.com/citation-style-language/schema/raw/master/csl-citation.json"} </w:instrText>
      </w:r>
      <w:r w:rsidR="00F75BB8" w:rsidRPr="00F5191E">
        <w:rPr>
          <w:rFonts w:asciiTheme="majorBidi" w:hAnsiTheme="majorBidi" w:cstheme="majorBidi"/>
          <w:highlight w:val="yellow"/>
        </w:rPr>
        <w:fldChar w:fldCharType="separate"/>
      </w:r>
      <w:r w:rsidR="00F75BB8" w:rsidRPr="00F5191E">
        <w:rPr>
          <w:highlight w:val="yellow"/>
        </w:rPr>
        <w:t>(Silva &amp; Tenreyro, 2006)</w:t>
      </w:r>
      <w:r w:rsidR="00F75BB8" w:rsidRPr="00F5191E">
        <w:rPr>
          <w:rFonts w:asciiTheme="majorBidi" w:hAnsiTheme="majorBidi" w:cstheme="majorBidi"/>
          <w:highlight w:val="yellow"/>
        </w:rPr>
        <w:fldChar w:fldCharType="end"/>
      </w:r>
      <w:r w:rsidR="00F75BB8" w:rsidRPr="00F5191E">
        <w:rPr>
          <w:rFonts w:asciiTheme="majorBidi" w:hAnsiTheme="majorBidi" w:cstheme="majorBidi"/>
          <w:highlight w:val="yellow"/>
        </w:rPr>
        <w:t xml:space="preserve">. </w:t>
      </w:r>
      <w:r w:rsidRPr="00F5191E">
        <w:rPr>
          <w:rFonts w:asciiTheme="majorBidi" w:hAnsiTheme="majorBidi" w:cstheme="majorBidi"/>
          <w:highlight w:val="yellow"/>
        </w:rPr>
        <w:t xml:space="preserve"> </w:t>
      </w:r>
    </w:p>
    <w:p w14:paraId="290CD79D" w14:textId="35B292BF" w:rsidR="00C80B29" w:rsidRPr="00D868ED" w:rsidRDefault="00D04A46" w:rsidP="00CE5C32">
      <w:pPr>
        <w:pStyle w:val="NormalWeb"/>
        <w:bidi w:val="0"/>
        <w:spacing w:after="120" w:line="288" w:lineRule="auto"/>
        <w:jc w:val="both"/>
        <w:rPr>
          <w:rFonts w:asciiTheme="majorBidi" w:hAnsiTheme="majorBidi" w:cstheme="majorBidi"/>
        </w:rPr>
      </w:pPr>
      <w:r w:rsidRPr="00D868ED">
        <w:rPr>
          <w:rFonts w:asciiTheme="majorBidi" w:hAnsiTheme="majorBidi" w:cstheme="majorBidi"/>
        </w:rPr>
        <w:t>Alongside standard gravity variables-including economic size, distance, contiguity, and common language</w:t>
      </w:r>
      <w:r w:rsidR="00F5191E">
        <w:rPr>
          <w:rFonts w:asciiTheme="majorBidi" w:hAnsiTheme="majorBidi" w:cstheme="majorBidi"/>
        </w:rPr>
        <w:t xml:space="preserve">, </w:t>
      </w:r>
      <w:r w:rsidRPr="00D868ED">
        <w:rPr>
          <w:rFonts w:asciiTheme="majorBidi" w:hAnsiTheme="majorBidi" w:cstheme="majorBidi"/>
        </w:rPr>
        <w:t>the model incorporates institutional indicators capturing joint WTO membership, joint EU membership, and joint EAEU member</w:t>
      </w:r>
      <w:r>
        <w:rPr>
          <w:rFonts w:asciiTheme="majorBidi" w:hAnsiTheme="majorBidi" w:cstheme="majorBidi"/>
        </w:rPr>
        <w:t>s</w:t>
      </w:r>
      <w:r w:rsidRPr="00D868ED">
        <w:rPr>
          <w:rFonts w:asciiTheme="majorBidi" w:hAnsiTheme="majorBidi" w:cstheme="majorBidi"/>
        </w:rPr>
        <w:t>hip at the country-pair level.</w:t>
      </w:r>
      <w:r w:rsidR="00F5191E">
        <w:rPr>
          <w:rFonts w:asciiTheme="majorBidi" w:hAnsiTheme="majorBidi" w:cstheme="majorBidi"/>
        </w:rPr>
        <w:t xml:space="preserve"> </w:t>
      </w:r>
      <w:r w:rsidR="00C80B29" w:rsidRPr="00D868ED">
        <w:rPr>
          <w:rFonts w:asciiTheme="majorBidi" w:hAnsiTheme="majorBidi" w:cstheme="majorBidi"/>
        </w:rPr>
        <w:t>By comparing specifications with and without institutional variables, the analysis evaluates whether deep regional integration through the European Union provides stronger explanatory power for bilateral trade flows than multilateral institutional alignment through the WTO. This distinction is particularly relevant for post-Soviet economies that have followed different integration strategies, with some countries prioritizing global institutional integration and others pursuing deeper regional arrangements.</w:t>
      </w:r>
    </w:p>
    <w:p w14:paraId="6CB873C8" w14:textId="77777777" w:rsidR="00C80B29" w:rsidRPr="00D868ED" w:rsidRDefault="00C80B29" w:rsidP="00CE5C32">
      <w:pPr>
        <w:pStyle w:val="NormalWeb"/>
        <w:bidi w:val="0"/>
        <w:spacing w:after="120" w:line="288" w:lineRule="auto"/>
        <w:jc w:val="both"/>
        <w:rPr>
          <w:rFonts w:asciiTheme="majorBidi" w:hAnsiTheme="majorBidi" w:cstheme="majorBidi"/>
        </w:rPr>
      </w:pPr>
      <w:r w:rsidRPr="00D868ED">
        <w:rPr>
          <w:rFonts w:asciiTheme="majorBidi" w:hAnsiTheme="majorBidi" w:cstheme="majorBidi"/>
        </w:rPr>
        <w:t>The study contributes to the literature in several ways. First, it provides a unified structural gravity analysis covering all fifteen post-Soviet economies within a single empirical framework. Second, it jointly examines the roles of WTO membership and EU integration using modern gravity estimation techniques that control for multilateral resistance and heteroskedasticity. Third, by focusing specifically on intra-regional trade among post-Soviet economies, the paper provides region-specific empirical evidence that has been largely absent from the existing literature.</w:t>
      </w:r>
    </w:p>
    <w:p w14:paraId="7B3EA003" w14:textId="77777777" w:rsidR="00C80B29" w:rsidRPr="00D868ED" w:rsidRDefault="00C80B29" w:rsidP="00CE5C32">
      <w:pPr>
        <w:pStyle w:val="NormalWeb"/>
        <w:bidi w:val="0"/>
        <w:spacing w:after="120" w:line="288" w:lineRule="auto"/>
        <w:jc w:val="both"/>
        <w:rPr>
          <w:rFonts w:asciiTheme="majorBidi" w:hAnsiTheme="majorBidi" w:cstheme="majorBidi"/>
        </w:rPr>
      </w:pPr>
      <w:r w:rsidRPr="00D868ED">
        <w:rPr>
          <w:rFonts w:asciiTheme="majorBidi" w:hAnsiTheme="majorBidi" w:cstheme="majorBidi"/>
        </w:rPr>
        <w:t>The remainder of the paper is organized as follows. Section 2 reviews the literature on gravity models, institutional determinants of trade, and trade integration in transition economies. Section 3 describes the data and presents descriptive statistics for the sample. Section 4 outlines the empirical methodology and model specification. Section 5 presents the estimation results. Section 6 discusses the findings and their policy implications. Section 7 concludes.</w:t>
      </w:r>
    </w:p>
    <w:p w14:paraId="3A0FE24E" w14:textId="6ABCE143" w:rsidR="00394F24" w:rsidRPr="00D868ED" w:rsidRDefault="00394F24" w:rsidP="00CE5C32">
      <w:pPr>
        <w:bidi w:val="0"/>
        <w:spacing w:line="360" w:lineRule="auto"/>
        <w:jc w:val="both"/>
        <w:rPr>
          <w:rFonts w:asciiTheme="majorBidi" w:hAnsiTheme="majorBidi" w:cstheme="majorBidi"/>
          <w:b/>
          <w:bCs/>
        </w:rPr>
      </w:pPr>
      <w:r w:rsidRPr="00D868ED">
        <w:rPr>
          <w:rFonts w:asciiTheme="majorBidi" w:hAnsiTheme="majorBidi" w:cstheme="majorBidi"/>
          <w:b/>
          <w:bCs/>
        </w:rPr>
        <w:t>2. Literature Review</w:t>
      </w:r>
    </w:p>
    <w:p w14:paraId="78A04914" w14:textId="77777777" w:rsidR="005F6646" w:rsidRPr="00D868ED" w:rsidRDefault="005F6646" w:rsidP="00CE5C32">
      <w:pPr>
        <w:bidi w:val="0"/>
        <w:spacing w:after="120" w:line="288" w:lineRule="auto"/>
        <w:jc w:val="both"/>
        <w:rPr>
          <w:rFonts w:asciiTheme="majorBidi" w:hAnsiTheme="majorBidi" w:cstheme="majorBidi"/>
        </w:rPr>
      </w:pPr>
      <w:r w:rsidRPr="00D868ED">
        <w:rPr>
          <w:rFonts w:asciiTheme="majorBidi" w:hAnsiTheme="majorBidi" w:cstheme="majorBidi"/>
        </w:rPr>
        <w:t>The gravity model is the dominant framework in international trade, explaining bilateral flows through economic size and trade costs, with strong theoretical and empirical support. It is particularly relevant for post-Soviet economies, where fifteen successor states have followed divergent economic and institutional paths since independence despite a shared legacy. After the Soviet Union’s dissolution, these countries restructured trade under different policy regimes, with some integrating rapidly into global markets and others relying more on regional arrangements or gradual liberalization, while geography, infrastructure, and institutions shaped trade outcomes. The literature broadly spans four strands: structural gravity theory, econometric estimation methods, the trade effects of multilateral institutions such as GATT and WTO, and regional integration in post-Soviet economies, together providing the foundation for analyzing how institutions and trade costs jointly determine trade.</w:t>
      </w:r>
    </w:p>
    <w:p w14:paraId="7C5BECD8" w14:textId="77777777" w:rsidR="00757A6A" w:rsidRPr="00D868ED" w:rsidRDefault="00757A6A" w:rsidP="00CE5C32">
      <w:pPr>
        <w:bidi w:val="0"/>
        <w:spacing w:after="120" w:line="288" w:lineRule="auto"/>
        <w:jc w:val="both"/>
        <w:rPr>
          <w:rFonts w:asciiTheme="majorBidi" w:hAnsiTheme="majorBidi" w:cstheme="majorBidi"/>
          <w:b/>
          <w:bCs/>
        </w:rPr>
      </w:pPr>
      <w:bookmarkStart w:id="0" w:name="X45399ede76e6732b17baa593aec0d4d5b8f3ac1"/>
      <w:r w:rsidRPr="00D868ED">
        <w:rPr>
          <w:rFonts w:asciiTheme="majorBidi" w:hAnsiTheme="majorBidi" w:cstheme="majorBidi"/>
          <w:b/>
          <w:bCs/>
        </w:rPr>
        <w:t>2.1 Structural Gravity and Multilateral Resistance</w:t>
      </w:r>
    </w:p>
    <w:p w14:paraId="6D9A1E6A" w14:textId="4C9B56E1" w:rsidR="00757A6A" w:rsidRPr="00D868ED" w:rsidRDefault="00757A6A" w:rsidP="00CE5C32">
      <w:pPr>
        <w:bidi w:val="0"/>
        <w:spacing w:after="120" w:line="288" w:lineRule="auto"/>
        <w:jc w:val="both"/>
        <w:rPr>
          <w:rFonts w:asciiTheme="majorBidi" w:hAnsiTheme="majorBidi" w:cstheme="majorBidi"/>
        </w:rPr>
      </w:pPr>
      <w:r w:rsidRPr="00D868ED">
        <w:rPr>
          <w:rFonts w:asciiTheme="majorBidi" w:hAnsiTheme="majorBidi" w:cstheme="majorBidi"/>
        </w:rPr>
        <w:t xml:space="preserve">Early empirical gravity models were largely descriptive, documenting that bilateral trade increases with the economic size of trading partners and decreases with geographic distance </w:t>
      </w:r>
      <w:r w:rsidR="00744155" w:rsidRPr="00D868ED">
        <w:rPr>
          <w:rFonts w:asciiTheme="majorBidi" w:hAnsiTheme="majorBidi" w:cstheme="majorBidi"/>
        </w:rPr>
        <w:fldChar w:fldCharType="begin"/>
      </w:r>
      <w:r w:rsidR="00DD16B3" w:rsidRPr="00D868ED">
        <w:rPr>
          <w:rFonts w:asciiTheme="majorBidi" w:hAnsiTheme="majorBidi" w:cstheme="majorBidi"/>
        </w:rPr>
        <w:instrText xml:space="preserve"> ADDIN ZOTERO_ITEM CSL_CITATION {"citationID":"Llh9tgEN","properties":{"formattedCitation":"(P\\uc0\\u246{}yh\\uc0\\u246{}nen, 1963; Tinbergen, 1962)","plainCitation":"(Pöyhönen, 1963; Tinbergen, 1962)","noteIndex":0},"citationItems":[{"id":2330,"uris":["http://zotero.org/users/4604898/items/6TRMQ55N"],"itemData":{"id":2330,"type":"article-journal","abstract":"Für den internationalen Austausch von Gütern kann ein Modell konstruiert werden, das dem in der Input-Output-Analyse verwendeten ähnlich ist. In der Probeuntersuchung, über die in diesem Beitrag berichtet wird, bildet der Handel zwischen zehn europäischen Ländern im Jahr 1958 den Gegenstand einer Simultananalyse. Das Modell, das erprobt wurde, enthält den Wert der Ausfuhr als zu erklärende Variable, während die erklärenden Variablen das Volkseinkommen der Aus-und Einfuhrländer und eine Kostenfunktion, die die Beförderungsdistanz einschließt, sind. In dem Modell gibt es vier Parameter, die allen Ländern gemeinsam sind und die die Strukturmerkmale widerspiegeln, die den Austausch von Gütern beeinflussen, sowie einen Export-und einen Importparameter, die für jedes besondere Land typisch sind. Es kann aus diesen Parametern geschlossen werden, daß es im internationalen Handel eine große Zahl von Regelmäßigkeiten gibt, die von den Wirkungen der eingeschlagenen Handelspolitik deutlich unterschieden werden können. Hier ergeben sich, ebenso wie in früheren Regionalstudien, hinsichtlich der gefundenen Beziehungen die engsten Analogien zum Bereich der Naturwissenschaften.","container-title":"Weltwirtschaftliches Archiv","ISSN":"0043-2636","page":"93-100","publisher":"Springer","source":"JSTOR","title":"A Tentative Model for the Volume of Trade between Countries","volume":"90","author":[{"family":"Pöyhönen","given":"Pentti"}],"issued":{"date-parts":[["1963"]]}}},{"id":154,"uris":["http://zotero.org/users/4604898/items/HR624U7P"],"itemData":{"id":154,"type":"book","language":"en","publisher":"The Twentieth Century Fund","source":"repub.eur.nl","title":"Shaping the World Economy; Suggestions for an International Economic Policy","URL":"https://repub.eur.nl/pub/16826","author":[{"family":"Tinbergen","given":"Jan"}],"accessed":{"date-parts":[["2022",4,17]]},"issued":{"date-parts":[["1962"]]}}}],"schema":"https://github.com/citation-style-language/schema/raw/master/csl-citation.json"} </w:instrText>
      </w:r>
      <w:r w:rsidR="00744155" w:rsidRPr="00D868ED">
        <w:rPr>
          <w:rFonts w:asciiTheme="majorBidi" w:hAnsiTheme="majorBidi" w:cstheme="majorBidi"/>
        </w:rPr>
        <w:fldChar w:fldCharType="separate"/>
      </w:r>
      <w:r w:rsidR="008C4601" w:rsidRPr="00D868ED">
        <w:rPr>
          <w:rFonts w:ascii="Times New Roman" w:hAnsi="Times New Roman" w:cs="Times New Roman"/>
          <w:kern w:val="0"/>
        </w:rPr>
        <w:t>(Pöyhönen, 1963; Tinbergen, 1962)</w:t>
      </w:r>
      <w:r w:rsidR="00744155" w:rsidRPr="00D868ED">
        <w:rPr>
          <w:rFonts w:asciiTheme="majorBidi" w:hAnsiTheme="majorBidi" w:cstheme="majorBidi"/>
        </w:rPr>
        <w:fldChar w:fldCharType="end"/>
      </w:r>
      <w:r w:rsidR="00DD16B3" w:rsidRPr="00D868ED">
        <w:rPr>
          <w:rFonts w:asciiTheme="majorBidi" w:hAnsiTheme="majorBidi" w:cstheme="majorBidi"/>
        </w:rPr>
        <w:t xml:space="preserve">. </w:t>
      </w:r>
      <w:r w:rsidRPr="00D868ED">
        <w:rPr>
          <w:rFonts w:asciiTheme="majorBidi" w:hAnsiTheme="majorBidi" w:cstheme="majorBidi"/>
        </w:rPr>
        <w:t>Subsequent theoretical developments provided stronger microeconomic foundations for the gravity framework under assumptions of monopolistic competition and constant elasticity of substitution preferences</w:t>
      </w:r>
      <w:r w:rsidR="002F7677" w:rsidRPr="00D868ED">
        <w:rPr>
          <w:rFonts w:asciiTheme="majorBidi" w:hAnsiTheme="majorBidi" w:cstheme="majorBidi"/>
        </w:rPr>
        <w:t xml:space="preserve"> </w:t>
      </w:r>
      <w:r w:rsidR="004D4EB4" w:rsidRPr="00D868ED">
        <w:rPr>
          <w:rFonts w:asciiTheme="majorBidi" w:hAnsiTheme="majorBidi" w:cstheme="majorBidi"/>
        </w:rPr>
        <w:fldChar w:fldCharType="begin"/>
      </w:r>
      <w:r w:rsidR="00454CB8" w:rsidRPr="00D868ED">
        <w:rPr>
          <w:rFonts w:asciiTheme="majorBidi" w:hAnsiTheme="majorBidi" w:cstheme="majorBidi"/>
        </w:rPr>
        <w:instrText xml:space="preserve"> ADDIN ZOTERO_ITEM CSL_CITATION {"citationID":"an39qq1c89","properties":{"formattedCitation":"(Anderson, 1979; Bergstrand, 1985, 1989)","plainCitation":"(Anderson, 1979; Bergstrand, 1985, 1989)","noteIndex":0},"citationItems":[{"id":1943,"uris":["http://zotero.org/users/4604898/items/2SBVRIP5"],"itemData":{"id":1943,"type":"article-journal","container-title":"The American Economic Review","ISSN":"0002-8282","issue":"1","page":"106-116","publisher":"American Economic Association","source":"JSTOR","title":"A Theoretical Foundation for the Gravity Equation","volume":"69","author":[{"family":"Anderson","given":"James E."}],"issued":{"date-parts":[["1979"]]}}},{"id":2332,"uris":["http://zotero.org/users/4604898/items/XJH5IM68"],"itemData":{"id":2332,"type":"article-journal","abstract":"Despite the gravity equations' empirical successes in \"explaining\" trade flows, the model's predictive potential has been inhibited by an absence of strong theoretical foundations. A general equilibrium world trade model is presented from which a gravity equation is derived by making certain assumptions, including perfect international product substitutability. If, however, trade flows are differentiated by origin as evidence suggests, the typical gravity equation is misspecified, omitting certain price variables. The last section presents empirical evidence supporting the notion that the gravity equation is a reduced form from a partial equilibrium subsystem of a general equilibrium model with nationally differentiated products.","container-title":"The Review of Economics and Statistics","DOI":"10.2307/1925976","ISSN":"0034-6535","issue":"3","page":"474-481","publisher":"The MIT Press","source":"JSTOR","title":"The Gravity Equation in International Trade: Some Microeconomic Foundations and Empirical Evidence","title-short":"The Gravity Equation in International Trade","volume":"67","author":[{"family":"Bergstrand","given":"Jeffrey H."}],"issued":{"date-parts":[["1985"]]}}},{"id":2343,"uris":["http://zotero.org/users/4604898/items/3A6QIZ2W"],"itemData":{"id":2343,"type":"article-journal","abstract":"A general equilibrium model of world trade with two differentiated-product industries and two factors is developed to illustrate how the gravity equation, including exporter and importer populations as well as incomes, \"fits in\" with the Heckscher-Ohlin model of inter-industry trade and the Helpman-Krugman-Markusen models of intra-industry trade. The study extends the microeconomic foundations for a generalized gravity equation in Bergstrand (1985) to incorporate relative factor-endowment differences and non-homethetic tastes. Empirical estimates of this generalized gravity equation for single-digit SITC industry groups yield plausible inferences of their capital-labor intensities.","container-title":"The Review of Economics and Statistics","DOI":"10.2307/1928061","ISSN":"0034-6535","issue":"1","page":"143-153","publisher":"The MIT Press","source":"JSTOR","title":"The Generalized Gravity Equation, Monopolistic Competition, and the Factor-Proportions Theory in International Trade","volume":"71","author":[{"family":"Bergstrand","given":"Jeffrey H."}],"issued":{"date-parts":[["1989"]]}}}],"schema":"https://github.com/citation-style-language/schema/raw/master/csl-citation.json"} </w:instrText>
      </w:r>
      <w:r w:rsidR="004D4EB4" w:rsidRPr="00D868ED">
        <w:rPr>
          <w:rFonts w:asciiTheme="majorBidi" w:hAnsiTheme="majorBidi" w:cstheme="majorBidi"/>
        </w:rPr>
        <w:fldChar w:fldCharType="separate"/>
      </w:r>
      <w:r w:rsidR="008C4601" w:rsidRPr="00D868ED">
        <w:rPr>
          <w:rFonts w:ascii="Times New Roman" w:hAnsi="Times New Roman" w:cs="Times New Roman"/>
        </w:rPr>
        <w:t>(Anderson, 1979; Bergstrand, 1985, 1989)</w:t>
      </w:r>
      <w:r w:rsidR="004D4EB4" w:rsidRPr="00D868ED">
        <w:rPr>
          <w:rFonts w:asciiTheme="majorBidi" w:hAnsiTheme="majorBidi" w:cstheme="majorBidi"/>
        </w:rPr>
        <w:fldChar w:fldCharType="end"/>
      </w:r>
      <w:r w:rsidRPr="00D868ED">
        <w:rPr>
          <w:rFonts w:asciiTheme="majorBidi" w:hAnsiTheme="majorBidi" w:cstheme="majorBidi"/>
        </w:rPr>
        <w:t>. These contributions established gravity models as theoretically consistent representations of trade flows derived from general equilibrium frameworks.</w:t>
      </w:r>
    </w:p>
    <w:p w14:paraId="4C8DC3C4" w14:textId="354F35F7" w:rsidR="00757A6A" w:rsidRPr="00D868ED" w:rsidRDefault="00757A6A" w:rsidP="00CE5C32">
      <w:pPr>
        <w:bidi w:val="0"/>
        <w:spacing w:after="120" w:line="288" w:lineRule="auto"/>
        <w:jc w:val="both"/>
        <w:rPr>
          <w:rFonts w:asciiTheme="majorBidi" w:hAnsiTheme="majorBidi" w:cstheme="majorBidi"/>
        </w:rPr>
      </w:pPr>
      <w:r w:rsidRPr="00D868ED">
        <w:rPr>
          <w:rFonts w:asciiTheme="majorBidi" w:hAnsiTheme="majorBidi" w:cstheme="majorBidi"/>
        </w:rPr>
        <w:t xml:space="preserve">A major advancement in the gravity literature came with the structural gravity framework developed by Anderson and van Wincoop </w:t>
      </w:r>
      <w:r w:rsidR="00877F86" w:rsidRPr="00D868ED">
        <w:rPr>
          <w:rFonts w:asciiTheme="majorBidi" w:hAnsiTheme="majorBidi" w:cstheme="majorBidi"/>
        </w:rPr>
        <w:fldChar w:fldCharType="begin"/>
      </w:r>
      <w:r w:rsidR="00454CB8" w:rsidRPr="00D868ED">
        <w:rPr>
          <w:rFonts w:asciiTheme="majorBidi" w:hAnsiTheme="majorBidi" w:cstheme="majorBidi"/>
        </w:rPr>
        <w:instrText xml:space="preserve"> ADDIN ZOTERO_ITEM CSL_CITATION {"citationID":"a9maa58jub","properties":{"formattedCitation":"(2003)","plainCitation":"(2003)","noteIndex":0},"citationItems":[{"id":162,"uris":["http://zotero.org/users/4604898/items/RSV9KA85"],"itemData":{"id":162,"type":"article-journal","abstract":"Gravity equations have been widely used to infer trade flow effects of various institutional arrangements. We show that estimated gravity equations do not have a theoretical foundation. This implies both that estimation suffers from omitted variables bias and that comparative statics analysis is unfounded. We develop a method that (i) consistently and efficiently estimates a theoretical gravity equation and (ii) correctly calculates the comparative statics of trade frictions. We apply the method to solve the famous McCallum border puzzle. Applying our method, we find that national borders reduce trade between industrialized countries by moderate amounts of 20-50 percent.","container-title":"American Economic Review","DOI":"10.1257/000282803321455214","ISSN":"0002-8282","issue":"1","language":"en","page":"170-192","source":"www.aeaweb.org","title":"Gravity with Gravitas: A Solution to the Border Puzzle","title-short":"Gravity with Gravitas","volume":"93","author":[{"family":"Anderson","given":"James E."},{"family":"Wincoop","given":"Eric","non-dropping-particle":"van"}],"issued":{"date-parts":[["2003",3]]}},"suppress-author":true}],"schema":"https://github.com/citation-style-language/schema/raw/master/csl-citation.json"} </w:instrText>
      </w:r>
      <w:r w:rsidR="00877F86" w:rsidRPr="00D868ED">
        <w:rPr>
          <w:rFonts w:asciiTheme="majorBidi" w:hAnsiTheme="majorBidi" w:cstheme="majorBidi"/>
        </w:rPr>
        <w:fldChar w:fldCharType="separate"/>
      </w:r>
      <w:r w:rsidR="008C4601" w:rsidRPr="00D868ED">
        <w:rPr>
          <w:rFonts w:ascii="Times New Roman" w:hAnsi="Times New Roman" w:cs="Times New Roman"/>
        </w:rPr>
        <w:t>(2003)</w:t>
      </w:r>
      <w:r w:rsidR="00877F86" w:rsidRPr="00D868ED">
        <w:rPr>
          <w:rFonts w:asciiTheme="majorBidi" w:hAnsiTheme="majorBidi" w:cstheme="majorBidi"/>
        </w:rPr>
        <w:fldChar w:fldCharType="end"/>
      </w:r>
      <w:r w:rsidRPr="00D868ED">
        <w:rPr>
          <w:rFonts w:asciiTheme="majorBidi" w:hAnsiTheme="majorBidi" w:cstheme="majorBidi"/>
        </w:rPr>
        <w:t>. Their model demonstrated that bilateral trade depends not only on bilateral trade costs-such as distance or border frictions-but also on multilateral resistance terms, which capture each country’s average trade barriers with all trading partners. In this framework, bilateral trade is determined relative to the overall accessibility of markets faced by each country. Failure to account for multilateral resistance can therefore bias estimates of geographic and policy variables.</w:t>
      </w:r>
    </w:p>
    <w:p w14:paraId="759C0866" w14:textId="783527EE" w:rsidR="00757A6A" w:rsidRPr="00D868ED" w:rsidRDefault="00757A6A" w:rsidP="00CE5C32">
      <w:pPr>
        <w:bidi w:val="0"/>
        <w:spacing w:after="120" w:line="288" w:lineRule="auto"/>
        <w:jc w:val="both"/>
        <w:rPr>
          <w:rFonts w:asciiTheme="majorBidi" w:hAnsiTheme="majorBidi" w:cstheme="majorBidi"/>
        </w:rPr>
      </w:pPr>
      <w:r w:rsidRPr="00D868ED">
        <w:rPr>
          <w:rFonts w:asciiTheme="majorBidi" w:hAnsiTheme="majorBidi" w:cstheme="majorBidi"/>
        </w:rPr>
        <w:t xml:space="preserve">These theoretical insights have had important implications for empirical gravity estimation. Head and Mayer </w:t>
      </w:r>
      <w:r w:rsidR="00454CB8" w:rsidRPr="00D868ED">
        <w:rPr>
          <w:rFonts w:asciiTheme="majorBidi" w:hAnsiTheme="majorBidi" w:cstheme="majorBidi"/>
        </w:rPr>
        <w:fldChar w:fldCharType="begin"/>
      </w:r>
      <w:r w:rsidR="00D609BF">
        <w:rPr>
          <w:rFonts w:asciiTheme="majorBidi" w:hAnsiTheme="majorBidi" w:cstheme="majorBidi"/>
        </w:rPr>
        <w:instrText xml:space="preserve"> ADDIN ZOTERO_ITEM CSL_CITATION {"citationID":"a2fni2q3u6h","properties":{"formattedCitation":"(2014)","plainCitation":"(2014)","noteIndex":0},"citationItems":[{"id":2523,"uris":["http://zotero.org/users/4604898/items/TY2S9PEF","http://zotero.org/users/4604898/items/EKVW7XPB"],"itemData":{"id":2523,"type":"chapter","abstract":"This chapter focuses on the estimation and interpretation of gravity equations for bilateral trade. This necessarily involves a careful consideration of the theoretical underpinnings since it has become clear that naive approaches to estimation lead to biased and frequently misinterpreted results. There are now several theory-consistent estimation methods and we argue against sole reliance on any one method and instead advocate a toolkit approach. One estimator may be preferred for certain types of data or research questions but more often the methods should be used in concert to establish robustness. In recent years, estimation has become just a ﬁrst step before a deeper analysis of the implications of the results, notably in terms of welfare. We try to facilitate diffusion of best-practice methods by illustrating their application in a step-by-step cookbook mode of exposition.","container-title":"Handbook of International Economics","DOI":"10.1016/B978-0-444-54314-1.00003-3","ISBN":"978-0-444-54314-1","language":"en","license":"https://www.elsevier.com/tdm/userlicense/1.0/","page":"131-195","publisher":"Elsevier","source":"DOI.org (Crossref)","title":"Gravity Equations: Workhorse,Toolkit, and Cookbook","title-short":"Gravity Equations","URL":"https://linkinghub.elsevier.com/retrieve/pii/B9780444543141000033","volume":"4","author":[{"family":"Head","given":"Keith"},{"family":"Mayer","given":"Thierry"}],"accessed":{"date-parts":[["2026",4,22]]},"issued":{"date-parts":[["2014"]]}},"suppress-author":true}],"schema":"https://github.com/citation-style-language/schema/raw/master/csl-citation.json"} </w:instrText>
      </w:r>
      <w:r w:rsidR="00454CB8" w:rsidRPr="00D868ED">
        <w:rPr>
          <w:rFonts w:asciiTheme="majorBidi" w:hAnsiTheme="majorBidi" w:cstheme="majorBidi"/>
        </w:rPr>
        <w:fldChar w:fldCharType="separate"/>
      </w:r>
      <w:r w:rsidR="008C4601" w:rsidRPr="00D868ED">
        <w:rPr>
          <w:rFonts w:ascii="Times New Roman" w:hAnsi="Times New Roman" w:cs="Times New Roman"/>
        </w:rPr>
        <w:t>(2014)</w:t>
      </w:r>
      <w:r w:rsidR="00454CB8" w:rsidRPr="00D868ED">
        <w:rPr>
          <w:rFonts w:asciiTheme="majorBidi" w:hAnsiTheme="majorBidi" w:cstheme="majorBidi"/>
        </w:rPr>
        <w:fldChar w:fldCharType="end"/>
      </w:r>
      <w:r w:rsidR="00454CB8" w:rsidRPr="00D868ED">
        <w:rPr>
          <w:rFonts w:asciiTheme="majorBidi" w:hAnsiTheme="majorBidi" w:cstheme="majorBidi"/>
        </w:rPr>
        <w:t xml:space="preserve"> </w:t>
      </w:r>
      <w:r w:rsidRPr="00D868ED">
        <w:rPr>
          <w:rFonts w:asciiTheme="majorBidi" w:hAnsiTheme="majorBidi" w:cstheme="majorBidi"/>
        </w:rPr>
        <w:t xml:space="preserve">emphasize that gravity modeling has evolved into a large and methodologically sophisticated research field, where theory-consistent estimation requires controlling for multilateral resistance through exporter and importer fixed effects. Fally </w:t>
      </w:r>
      <w:r w:rsidR="00454CB8" w:rsidRPr="00D868ED">
        <w:rPr>
          <w:rFonts w:asciiTheme="majorBidi" w:hAnsiTheme="majorBidi" w:cstheme="majorBidi"/>
        </w:rPr>
        <w:fldChar w:fldCharType="begin"/>
      </w:r>
      <w:r w:rsidR="00BD777F" w:rsidRPr="00D868ED">
        <w:rPr>
          <w:rFonts w:asciiTheme="majorBidi" w:hAnsiTheme="majorBidi" w:cstheme="majorBidi"/>
        </w:rPr>
        <w:instrText xml:space="preserve"> ADDIN ZOTERO_ITEM CSL_CITATION {"citationID":"aotvvlpf9u","properties":{"formattedCitation":"(2015)","plainCitation":"(2015)","noteIndex":0},"citationItems":[{"id":1906,"uris":["http://zotero.org/users/4604898/items/VJNFQEJ6"],"itemData":{"id":1906,"type":"article-journal","abstract":"The gravity equation for trade flows is one of the most successful empirical models in economics and has long played a central role in the trade literature (Anderson, 2011). Different approaches to estimate the gravity equation, i.e. reduced-form or more structural, have been proposed. This paper examines the role of adding-up constraints as the key difference between structural gravity with “multilateral resistance” indexes and reduced-form gravity with simple fixed effects by exporter and importer. In particular, estimating gravity equations using the Poisson pseudo-maximum-likelihood estimator (Poisson PML) with fixed effects automatically satisfies these constraints and is consistent with the introduction of “multilateral resistance” indexes as in Anderson and van Wincoop (2003).","container-title":"Journal of International Economics","DOI":"10.1016/j.jinteco.2015.05.005","ISSN":"0022-1996","issue":"1","journalAbbreviation":"Journal of International Economics","page":"76-85","source":"ScienceDirect","title":"Structural gravity and fixed effects","volume":"97","author":[{"family":"Fally","given":"Thibault"}],"issued":{"date-parts":[["2015",9,1]]}},"suppress-author":true}],"schema":"https://github.com/citation-style-language/schema/raw/master/csl-citation.json"} </w:instrText>
      </w:r>
      <w:r w:rsidR="00454CB8" w:rsidRPr="00D868ED">
        <w:rPr>
          <w:rFonts w:asciiTheme="majorBidi" w:hAnsiTheme="majorBidi" w:cstheme="majorBidi"/>
        </w:rPr>
        <w:fldChar w:fldCharType="separate"/>
      </w:r>
      <w:r w:rsidR="008C4601" w:rsidRPr="00D868ED">
        <w:rPr>
          <w:rFonts w:ascii="Times New Roman" w:hAnsi="Times New Roman" w:cs="Times New Roman"/>
        </w:rPr>
        <w:t>(2015)</w:t>
      </w:r>
      <w:r w:rsidR="00454CB8" w:rsidRPr="00D868ED">
        <w:rPr>
          <w:rFonts w:asciiTheme="majorBidi" w:hAnsiTheme="majorBidi" w:cstheme="majorBidi"/>
        </w:rPr>
        <w:fldChar w:fldCharType="end"/>
      </w:r>
      <w:r w:rsidR="00454CB8" w:rsidRPr="00D868ED">
        <w:rPr>
          <w:rFonts w:asciiTheme="majorBidi" w:hAnsiTheme="majorBidi" w:cstheme="majorBidi"/>
        </w:rPr>
        <w:t xml:space="preserve"> </w:t>
      </w:r>
      <w:r w:rsidRPr="00D868ED">
        <w:rPr>
          <w:rFonts w:asciiTheme="majorBidi" w:hAnsiTheme="majorBidi" w:cstheme="majorBidi"/>
        </w:rPr>
        <w:t>further demonstrates that these fixed effects can be interpreted directly as multilateral resistance terms, providing a clear structural interpretation for fixed-effects gravity specifications. As a result, models incorporating exporter and importer fixed effects have become the empirical benchmark for evaluating trade policies and institutional determinants of trade.</w:t>
      </w:r>
    </w:p>
    <w:p w14:paraId="7DFB14DB" w14:textId="77777777" w:rsidR="00757A6A" w:rsidRPr="00D868ED" w:rsidRDefault="00757A6A" w:rsidP="00CE5C32">
      <w:pPr>
        <w:bidi w:val="0"/>
        <w:spacing w:after="120" w:line="288" w:lineRule="auto"/>
        <w:jc w:val="both"/>
        <w:rPr>
          <w:rFonts w:asciiTheme="majorBidi" w:hAnsiTheme="majorBidi" w:cstheme="majorBidi"/>
        </w:rPr>
      </w:pPr>
      <w:r w:rsidRPr="00D868ED">
        <w:rPr>
          <w:rFonts w:asciiTheme="majorBidi" w:hAnsiTheme="majorBidi" w:cstheme="majorBidi"/>
        </w:rPr>
        <w:t>These methodological developments are particularly relevant for analyzing trade among post-Soviet economies. Countries in the region differ substantially in terms of geographic access, infrastructure quality, and institutional development. Controlling for exporter and importer fixed effects therefore helps isolate bilateral trade frictions while accounting for broader structural differences in market access across countries.</w:t>
      </w:r>
    </w:p>
    <w:p w14:paraId="245C13AA" w14:textId="77777777" w:rsidR="00757A6A" w:rsidRPr="00D868ED" w:rsidRDefault="00757A6A" w:rsidP="00CE5C32">
      <w:pPr>
        <w:bidi w:val="0"/>
        <w:spacing w:after="120" w:line="288" w:lineRule="auto"/>
        <w:jc w:val="both"/>
        <w:rPr>
          <w:rFonts w:asciiTheme="majorBidi" w:hAnsiTheme="majorBidi" w:cstheme="majorBidi"/>
          <w:b/>
          <w:bCs/>
        </w:rPr>
      </w:pPr>
      <w:bookmarkStart w:id="1" w:name="X61680c5c35a103aa9dde3dba7a79b19b03e3a0b"/>
      <w:bookmarkEnd w:id="0"/>
      <w:r w:rsidRPr="00D868ED">
        <w:rPr>
          <w:rFonts w:asciiTheme="majorBidi" w:hAnsiTheme="majorBidi" w:cstheme="majorBidi"/>
          <w:b/>
          <w:bCs/>
        </w:rPr>
        <w:t>2.2 Estimation Methods: From Log-Linear OLS to PPML</w:t>
      </w:r>
    </w:p>
    <w:p w14:paraId="7B6B2F34" w14:textId="77777777" w:rsidR="00757A6A" w:rsidRPr="00D868ED" w:rsidRDefault="00757A6A" w:rsidP="00CE5C32">
      <w:pPr>
        <w:bidi w:val="0"/>
        <w:spacing w:after="120" w:line="288" w:lineRule="auto"/>
        <w:jc w:val="both"/>
        <w:rPr>
          <w:rFonts w:asciiTheme="majorBidi" w:hAnsiTheme="majorBidi" w:cstheme="majorBidi"/>
        </w:rPr>
      </w:pPr>
      <w:r w:rsidRPr="00D868ED">
        <w:rPr>
          <w:rFonts w:asciiTheme="majorBidi" w:hAnsiTheme="majorBidi" w:cstheme="majorBidi"/>
        </w:rPr>
        <w:t>Traditional gravity models were frequently estimated using log-linear Ordinary Least Squares (OLS), where the logarithm of bilateral trade flows served as the dependent variable. While straightforward to implement, this approach has several well-known limitations. First, bilateral trade datasets often contain zero trade flows, which cannot be included in log-linear regressions without arbitrary transformations or deletion of observations. Excluding these observations may introduce selection bias. Second, trade data typically exhibit heteroskedasticity, meaning that the variance of the error term depends on explanatory variables. Under such conditions, log-linearization can produce inconsistent estimates.</w:t>
      </w:r>
    </w:p>
    <w:p w14:paraId="59FEE4E9" w14:textId="6ACAE180" w:rsidR="00757A6A" w:rsidRPr="00D868ED" w:rsidRDefault="00757A6A" w:rsidP="00CE5C32">
      <w:pPr>
        <w:bidi w:val="0"/>
        <w:spacing w:after="120" w:line="288" w:lineRule="auto"/>
        <w:jc w:val="both"/>
        <w:rPr>
          <w:rFonts w:asciiTheme="majorBidi" w:hAnsiTheme="majorBidi" w:cstheme="majorBidi"/>
        </w:rPr>
      </w:pPr>
      <w:r w:rsidRPr="00D868ED">
        <w:rPr>
          <w:rFonts w:asciiTheme="majorBidi" w:hAnsiTheme="majorBidi" w:cstheme="majorBidi"/>
        </w:rPr>
        <w:t xml:space="preserve">Silva and Tenreyro </w:t>
      </w:r>
      <w:r w:rsidR="004B3F88" w:rsidRPr="00D868ED">
        <w:rPr>
          <w:rFonts w:asciiTheme="majorBidi" w:hAnsiTheme="majorBidi" w:cstheme="majorBidi"/>
        </w:rPr>
        <w:fldChar w:fldCharType="begin"/>
      </w:r>
      <w:r w:rsidR="00D609BF">
        <w:rPr>
          <w:rFonts w:asciiTheme="majorBidi" w:hAnsiTheme="majorBidi" w:cstheme="majorBidi"/>
        </w:rPr>
        <w:instrText xml:space="preserve"> ADDIN ZOTERO_ITEM CSL_CITATION {"citationID":"ahdekdnblm","properties":{"formattedCitation":"(2006)","plainCitation":"(2006)","noteIndex":0},"citationItems":[{"id":2555,"uris":["http://zotero.org/users/4604898/items/R522QABV","http://zotero.org/users/4604898/items/KXRGU3JI"],"itemData":{"id":2555,"type":"article-journal","abstract":"Although economists have long been aware of Jensen's inequality, many econometric applications have neglected an important implication of it: under heteroskedasticity, the parameters of log-linearized models estimated by OLS lead to biased estimates of the true elasticities. We explain why this problem arises and propose an appropriate estimator. Our criticism of conventional practices and the proposed solution extend to a broad range of applications where log-linearized equations are estimated. We develop the argument using one particular illustration, the gravity equation for trade. We find significant differences between estimates obtained with the proposed estimator and those obtained with the traditional method.","container-title":"The Review of Economics and Statistics","DOI":"10.1162/rest.88.4.641","ISSN":"0034-6535","issue":"4","journalAbbreviation":"The Review of Economics and Statistics","page":"641-658","title":"The Log of Gravity","volume":"88","author":[{"family":"Silva","given":"J. M. C. Santos"},{"family":"Tenreyro","given":"Silvana"}],"issued":{"date-parts":[["2006",11,1]]}},"suppress-author":true}],"schema":"https://github.com/citation-style-language/schema/raw/master/csl-citation.json"} </w:instrText>
      </w:r>
      <w:r w:rsidR="004B3F88" w:rsidRPr="00D868ED">
        <w:rPr>
          <w:rFonts w:asciiTheme="majorBidi" w:hAnsiTheme="majorBidi" w:cstheme="majorBidi"/>
        </w:rPr>
        <w:fldChar w:fldCharType="separate"/>
      </w:r>
      <w:r w:rsidR="008C4601" w:rsidRPr="00D868ED">
        <w:rPr>
          <w:rFonts w:ascii="Times New Roman" w:hAnsi="Times New Roman" w:cs="Times New Roman"/>
        </w:rPr>
        <w:t>(2006)</w:t>
      </w:r>
      <w:r w:rsidR="004B3F88" w:rsidRPr="00D868ED">
        <w:rPr>
          <w:rFonts w:asciiTheme="majorBidi" w:hAnsiTheme="majorBidi" w:cstheme="majorBidi"/>
        </w:rPr>
        <w:fldChar w:fldCharType="end"/>
      </w:r>
      <w:r w:rsidR="004B3F88" w:rsidRPr="00D868ED">
        <w:rPr>
          <w:rFonts w:asciiTheme="majorBidi" w:hAnsiTheme="majorBidi" w:cstheme="majorBidi"/>
        </w:rPr>
        <w:t xml:space="preserve"> </w:t>
      </w:r>
      <w:r w:rsidRPr="00D868ED">
        <w:rPr>
          <w:rFonts w:asciiTheme="majorBidi" w:hAnsiTheme="majorBidi" w:cstheme="majorBidi"/>
        </w:rPr>
        <w:t>demonstrate that log-linear OLS estimations of gravity models are biased when heteroskedasticity is present and when zero trade flows are excluded. To address these problems, they propose the Poisson Pseudo-Maximum Likelihood (PPML) estimator, which models trade flows in levels rather than logarithms and remains consistent under general forms of heteroskedasticity. PPML estimation also naturally accommodates zero trade values, making it particularly suitable for bilateral trade data.</w:t>
      </w:r>
    </w:p>
    <w:p w14:paraId="22A0A4C6" w14:textId="16A13826" w:rsidR="00757A6A" w:rsidRPr="00D868ED" w:rsidRDefault="00757A6A" w:rsidP="00CE5C32">
      <w:pPr>
        <w:bidi w:val="0"/>
        <w:spacing w:after="120" w:line="288" w:lineRule="auto"/>
        <w:jc w:val="both"/>
        <w:rPr>
          <w:rFonts w:asciiTheme="majorBidi" w:hAnsiTheme="majorBidi" w:cstheme="majorBidi"/>
        </w:rPr>
      </w:pPr>
      <w:r w:rsidRPr="00D868ED">
        <w:rPr>
          <w:rFonts w:asciiTheme="majorBidi" w:hAnsiTheme="majorBidi" w:cstheme="majorBidi"/>
        </w:rPr>
        <w:t xml:space="preserve">Subsequent research has established PPML as the preferred estimation approach for structural gravity models. PPML combined with high-dimensional fixed effects provides theory-consistent gravity estimates that properly account for multilateral resistance terms. As a result, recent empirical studies frequently employ PPML to estimate the effects of institutional variables such as trade agreements and WTO membership. </w:t>
      </w:r>
      <w:r w:rsidR="0057664D" w:rsidRPr="00D868ED">
        <w:rPr>
          <w:rFonts w:asciiTheme="majorBidi" w:hAnsiTheme="majorBidi" w:cstheme="majorBidi"/>
        </w:rPr>
        <w:t xml:space="preserve">Given the strong dispersion and heteroskedasticity typical of bilateral trade data, PPML is useful as a robustness estimator for the multiplicative gravity specification. </w:t>
      </w:r>
      <w:r w:rsidR="00A45954" w:rsidRPr="00A45954">
        <w:rPr>
          <w:rFonts w:asciiTheme="majorBidi" w:hAnsiTheme="majorBidi" w:cstheme="majorBidi"/>
          <w:highlight w:val="yellow"/>
        </w:rPr>
        <w:t>In the main log-linear and original positive-flow specifications, the retained sample contains positive trade flows only. In response to the reviewer’s concern, the revised analysis also reports additional zero-inclusive PPML specifications, including a specification with exporter-year and importer-year fixed effects.</w:t>
      </w:r>
    </w:p>
    <w:bookmarkEnd w:id="1"/>
    <w:p w14:paraId="07DE0983" w14:textId="25B4E391" w:rsidR="00757A6A" w:rsidRPr="00D868ED" w:rsidRDefault="00757A6A" w:rsidP="00CE5C32">
      <w:pPr>
        <w:bidi w:val="0"/>
        <w:spacing w:after="120" w:line="288" w:lineRule="auto"/>
        <w:jc w:val="both"/>
        <w:rPr>
          <w:rFonts w:asciiTheme="majorBidi" w:hAnsiTheme="majorBidi" w:cstheme="majorBidi"/>
          <w:b/>
          <w:bCs/>
        </w:rPr>
      </w:pPr>
      <w:r w:rsidRPr="00D868ED">
        <w:rPr>
          <w:rFonts w:asciiTheme="majorBidi" w:hAnsiTheme="majorBidi" w:cstheme="majorBidi"/>
          <w:b/>
          <w:bCs/>
        </w:rPr>
        <w:t>2.3 WTO Membership Effects on Trade</w:t>
      </w:r>
    </w:p>
    <w:p w14:paraId="6C1FA84D" w14:textId="51D79AAF" w:rsidR="00757A6A" w:rsidRPr="00D868ED" w:rsidRDefault="00757A6A" w:rsidP="00CE5C32">
      <w:pPr>
        <w:bidi w:val="0"/>
        <w:spacing w:after="120" w:line="288" w:lineRule="auto"/>
        <w:jc w:val="both"/>
        <w:rPr>
          <w:rFonts w:asciiTheme="majorBidi" w:hAnsiTheme="majorBidi" w:cstheme="majorBidi"/>
        </w:rPr>
      </w:pPr>
      <w:r w:rsidRPr="00D868ED">
        <w:rPr>
          <w:rFonts w:asciiTheme="majorBidi" w:hAnsiTheme="majorBidi" w:cstheme="majorBidi"/>
        </w:rPr>
        <w:t xml:space="preserve">A large literature examines whether participation in the multilateral trading system increases international trade. Early empirical work by Rose </w:t>
      </w:r>
      <w:r w:rsidR="00130C9B" w:rsidRPr="00D868ED">
        <w:rPr>
          <w:rFonts w:asciiTheme="majorBidi" w:hAnsiTheme="majorBidi" w:cstheme="majorBidi"/>
        </w:rPr>
        <w:fldChar w:fldCharType="begin"/>
      </w:r>
      <w:r w:rsidR="00BD777F" w:rsidRPr="00D868ED">
        <w:rPr>
          <w:rFonts w:asciiTheme="majorBidi" w:hAnsiTheme="majorBidi" w:cstheme="majorBidi"/>
        </w:rPr>
        <w:instrText xml:space="preserve"> ADDIN ZOTERO_ITEM CSL_CITATION {"citationID":"a1lhqa201vr","properties":{"formattedCitation":"(2004)","plainCitation":"(2004)","noteIndex":0},"citationItems":[{"id":1932,"uris":["http://zotero.org/users/4604898/items/DVM5I6C6"],"itemData":{"id":1932,"type":"article-journal","abstract":"This paper estimates the effect on international trade of multilateral trade agreements - the World Trade Organization (WTO), its predecessor the General Agreement on Tariffs and Trade (GATT), and the Generalized System of Preferences (GSP) extended from rich countries to developing countries. I use a standard \"gravity\" model of bilateral merchandise trade and a large panel data set covering over 50 years and 175 countries. An extensive search reveals little evidence that countries joining or belonging to the GATT/WTO have different trade patterns from outsiders, though the GSP seems to have a strong effect.","container-title":"American Economic Review","DOI":"10.1257/000282804322970724","ISSN":"0002-8282","issue":"1","language":"en","page":"98-114","source":"www.aeaweb.org","title":"Do We Really Know That the WTO Increases Trade?","volume":"94","author":[{"family":"Rose","given":"Andrew K."}],"issued":{"date-parts":[["2004",3]]}},"suppress-author":true}],"schema":"https://github.com/citation-style-language/schema/raw/master/csl-citation.json"} </w:instrText>
      </w:r>
      <w:r w:rsidR="00130C9B" w:rsidRPr="00D868ED">
        <w:rPr>
          <w:rFonts w:asciiTheme="majorBidi" w:hAnsiTheme="majorBidi" w:cstheme="majorBidi"/>
        </w:rPr>
        <w:fldChar w:fldCharType="separate"/>
      </w:r>
      <w:r w:rsidR="008C4601" w:rsidRPr="00D868ED">
        <w:rPr>
          <w:rFonts w:ascii="Times New Roman" w:hAnsi="Times New Roman" w:cs="Times New Roman"/>
        </w:rPr>
        <w:t>(2004)</w:t>
      </w:r>
      <w:r w:rsidR="00130C9B" w:rsidRPr="00D868ED">
        <w:rPr>
          <w:rFonts w:asciiTheme="majorBidi" w:hAnsiTheme="majorBidi" w:cstheme="majorBidi"/>
        </w:rPr>
        <w:fldChar w:fldCharType="end"/>
      </w:r>
      <w:r w:rsidR="00130C9B" w:rsidRPr="00D868ED">
        <w:rPr>
          <w:rFonts w:asciiTheme="majorBidi" w:hAnsiTheme="majorBidi" w:cstheme="majorBidi"/>
        </w:rPr>
        <w:t xml:space="preserve"> </w:t>
      </w:r>
      <w:r w:rsidRPr="00D868ED">
        <w:rPr>
          <w:rFonts w:asciiTheme="majorBidi" w:hAnsiTheme="majorBidi" w:cstheme="majorBidi"/>
        </w:rPr>
        <w:t>found limited evidence that GATT or WTO membership significantly increased trade flows, generating considerable debate regarding the effectiveness of the multilateral trading system. Subsequent studies revisited this question by addressing measurement and methodological issues in earlier analyses.</w:t>
      </w:r>
    </w:p>
    <w:p w14:paraId="1E205CE6" w14:textId="42EF0BD8" w:rsidR="00C0145D" w:rsidRPr="00D868ED" w:rsidRDefault="00757A6A" w:rsidP="00CE5C32">
      <w:pPr>
        <w:bidi w:val="0"/>
        <w:spacing w:after="120" w:line="288" w:lineRule="auto"/>
        <w:jc w:val="both"/>
        <w:rPr>
          <w:rFonts w:asciiTheme="majorBidi" w:hAnsiTheme="majorBidi" w:cstheme="majorBidi"/>
        </w:rPr>
      </w:pPr>
      <w:r w:rsidRPr="00D868ED">
        <w:rPr>
          <w:rFonts w:asciiTheme="majorBidi" w:hAnsiTheme="majorBidi" w:cstheme="majorBidi"/>
        </w:rPr>
        <w:t xml:space="preserve">Tomz, Goldstein, and Rivers </w:t>
      </w:r>
      <w:r w:rsidR="002B1B6F" w:rsidRPr="00D868ED">
        <w:rPr>
          <w:rFonts w:asciiTheme="majorBidi" w:hAnsiTheme="majorBidi" w:cstheme="majorBidi"/>
        </w:rPr>
        <w:fldChar w:fldCharType="begin"/>
      </w:r>
      <w:r w:rsidR="00BD777F" w:rsidRPr="00D868ED">
        <w:rPr>
          <w:rFonts w:asciiTheme="majorBidi" w:hAnsiTheme="majorBidi" w:cstheme="majorBidi"/>
        </w:rPr>
        <w:instrText xml:space="preserve"> ADDIN ZOTERO_ITEM CSL_CITATION {"citationID":"a2mj29psugm","properties":{"formattedCitation":"(2007)","plainCitation":"(2007)","noteIndex":0},"citationItems":[{"id":2369,"uris":["http://zotero.org/users/4604898/items/TL7M7CEG"],"itemData":{"id":2369,"type":"article-journal","container-title":"American Economic Review","DOI":"10.1257/aer.97.5.2005","ISSN":"0002-8282","issue":"5","language":"en","page":"2005-2018","source":"www.aeaweb.org","title":"Do We Really Know That the WTO Increases Trade? Comment","title-short":"Do We Really Know That the WTO Increases Trade?","volume":"97","author":[{"family":"Tomz","given":"Michael"},{"family":"Goldstein","given":"Judith L."},{"family":"Rivers","given":"Douglas"}],"issued":{"date-parts":[["2007",12]]}},"suppress-author":true}],"schema":"https://github.com/citation-style-language/schema/raw/master/csl-citation.json"} </w:instrText>
      </w:r>
      <w:r w:rsidR="002B1B6F" w:rsidRPr="00D868ED">
        <w:rPr>
          <w:rFonts w:asciiTheme="majorBidi" w:hAnsiTheme="majorBidi" w:cstheme="majorBidi"/>
        </w:rPr>
        <w:fldChar w:fldCharType="separate"/>
      </w:r>
      <w:r w:rsidR="008C4601" w:rsidRPr="00D868ED">
        <w:rPr>
          <w:rFonts w:ascii="Times New Roman" w:hAnsi="Times New Roman" w:cs="Times New Roman"/>
        </w:rPr>
        <w:t>(2007)</w:t>
      </w:r>
      <w:r w:rsidR="002B1B6F" w:rsidRPr="00D868ED">
        <w:rPr>
          <w:rFonts w:asciiTheme="majorBidi" w:hAnsiTheme="majorBidi" w:cstheme="majorBidi"/>
        </w:rPr>
        <w:fldChar w:fldCharType="end"/>
      </w:r>
      <w:r w:rsidR="002B1B6F" w:rsidRPr="00D868ED">
        <w:rPr>
          <w:rFonts w:asciiTheme="majorBidi" w:hAnsiTheme="majorBidi" w:cstheme="majorBidi"/>
        </w:rPr>
        <w:t xml:space="preserve"> </w:t>
      </w:r>
      <w:r w:rsidRPr="00D868ED">
        <w:rPr>
          <w:rFonts w:asciiTheme="majorBidi" w:hAnsiTheme="majorBidi" w:cstheme="majorBidi"/>
        </w:rPr>
        <w:t>argue that many countries effectively participated in the GATT system prior to formal accession. Ignoring this informal participation leads to measurement errors that obscure the trade effects of multilateral institutions. Once such participation is properly accounted for, their results indicate that membership in the multilateral trading system significantly increases trade flows.</w:t>
      </w:r>
      <w:r w:rsidR="00C0145D" w:rsidRPr="00D868ED">
        <w:rPr>
          <w:rFonts w:asciiTheme="majorBidi" w:hAnsiTheme="majorBidi" w:cstheme="majorBidi"/>
        </w:rPr>
        <w:t xml:space="preserve"> Islam et al. </w:t>
      </w:r>
      <w:r w:rsidR="00C0145D" w:rsidRPr="00D868ED">
        <w:rPr>
          <w:rFonts w:asciiTheme="majorBidi" w:hAnsiTheme="majorBidi" w:cstheme="majorBidi"/>
        </w:rPr>
        <w:fldChar w:fldCharType="begin"/>
      </w:r>
      <w:r w:rsidR="00627274" w:rsidRPr="00D868ED">
        <w:rPr>
          <w:rFonts w:asciiTheme="majorBidi" w:hAnsiTheme="majorBidi" w:cstheme="majorBidi"/>
        </w:rPr>
        <w:instrText xml:space="preserve"> ADDIN ZOTERO_ITEM CSL_CITATION {"citationID":"ETY7iEZZ","properties":{"formattedCitation":"(2024)","plainCitation":"(2024)","noteIndex":0},"citationItems":[{"id":2442,"uris":["http://zotero.org/users/4604898/items/PHVUQ8JY"],"itemData":{"id":2442,"type":"article-journal","container-title":"The Journal of Economic Integration","DOI":"https://doi.org/10.11130/jei.2024007","ISSN":"1225-651X","issue":"1","language":"English","page":"107-150","source":"www.e-jei.org","title":"The Effect of Financial Development, Tariff, and RTA on Exports: A Structural Gravity Analysis","title-short":"The Effect of Financial Development, Tariff, and RTA on Exports","volume":"39","author":[{"family":"Islam","given":"Syed Nazrul"},{"family":"Islam","given":"Md Shariful"},{"family":"Islam","given":"Md Rayhanul"},{"family":"Alam","given":"Md Ashraful"}],"issued":{"date-parts":[["2024",2,29]]}},"suppress-author":true}],"schema":"https://github.com/citation-style-language/schema/raw/master/csl-citation.json"} </w:instrText>
      </w:r>
      <w:r w:rsidR="00C0145D" w:rsidRPr="00D868ED">
        <w:rPr>
          <w:rFonts w:asciiTheme="majorBidi" w:hAnsiTheme="majorBidi" w:cstheme="majorBidi"/>
        </w:rPr>
        <w:fldChar w:fldCharType="separate"/>
      </w:r>
      <w:r w:rsidR="00C0145D" w:rsidRPr="00D868ED">
        <w:rPr>
          <w:rFonts w:ascii="Times New Roman" w:hAnsi="Times New Roman" w:cs="Times New Roman"/>
        </w:rPr>
        <w:t>(2024)</w:t>
      </w:r>
      <w:r w:rsidR="00C0145D" w:rsidRPr="00D868ED">
        <w:rPr>
          <w:rFonts w:asciiTheme="majorBidi" w:hAnsiTheme="majorBidi" w:cstheme="majorBidi"/>
        </w:rPr>
        <w:fldChar w:fldCharType="end"/>
      </w:r>
      <w:r w:rsidR="00C0145D" w:rsidRPr="00D868ED">
        <w:rPr>
          <w:rFonts w:asciiTheme="majorBidi" w:hAnsiTheme="majorBidi" w:cstheme="majorBidi"/>
        </w:rPr>
        <w:t xml:space="preserve"> estimate a structural gravity model to assess the effects of financial development, tariffs, and regional trade agreements on exports. They find that RTAs significantly enhance trade flows, while tariffs reduce them, and financial development facilitates export expansion. Their results highlight the importance of both policy variables and institutional capacity in shaping trade outcomes.</w:t>
      </w:r>
    </w:p>
    <w:p w14:paraId="2F54A873" w14:textId="42338E1F" w:rsidR="00757A6A" w:rsidRPr="00D868ED" w:rsidRDefault="00757A6A" w:rsidP="00CE5C32">
      <w:pPr>
        <w:bidi w:val="0"/>
        <w:spacing w:after="120" w:line="288" w:lineRule="auto"/>
        <w:jc w:val="both"/>
        <w:rPr>
          <w:rFonts w:asciiTheme="majorBidi" w:hAnsiTheme="majorBidi" w:cstheme="majorBidi"/>
        </w:rPr>
      </w:pPr>
      <w:r w:rsidRPr="00D868ED">
        <w:rPr>
          <w:rFonts w:asciiTheme="majorBidi" w:hAnsiTheme="majorBidi" w:cstheme="majorBidi"/>
        </w:rPr>
        <w:t xml:space="preserve">More recent research using structural gravity frameworks and improved estimation techniques provides stronger evidence supporting positive WTO effects. Larch et al. </w:t>
      </w:r>
      <w:r w:rsidR="00A20942" w:rsidRPr="00D868ED">
        <w:rPr>
          <w:rFonts w:asciiTheme="majorBidi" w:hAnsiTheme="majorBidi" w:cstheme="majorBidi"/>
        </w:rPr>
        <w:fldChar w:fldCharType="begin"/>
      </w:r>
      <w:r w:rsidR="00BD777F" w:rsidRPr="00D868ED">
        <w:rPr>
          <w:rFonts w:asciiTheme="majorBidi" w:hAnsiTheme="majorBidi" w:cstheme="majorBidi"/>
        </w:rPr>
        <w:instrText xml:space="preserve"> ADDIN ZOTERO_ITEM CSL_CITATION {"citationID":"a1cpu6f14ns","properties":{"formattedCitation":"(2019)","plainCitation":"(2019)","noteIndex":0},"citationItems":[{"id":2365,"uris":["http://zotero.org/users/4604898/items/VFE8GJFX"],"itemData":{"id":2365,"type":"article-journal","abstract":"We capitalize on the latest developments in the empirical structural gravity literature to revisit the question of whether and how much does GATT/WTO membership aﬀect international trade. We are the ﬁrst to capture the non-discriminatory nature of GATT/WTO commitments by measuring the eﬀects of GATT/WTO membership on international trade relative to domestic sales. These unilateral eﬀects of GATT/WTO membership are found to be large, positive, and statistically signiﬁcant. We also obtain bilateral GATT/WTO estimates, which are larger than those reported in the literature. In particular, our results imply that, on average, joining GATT and/or WTO has increased trade between members by 171% and trade between member and non-member countries by about 88%. We also ﬁnd that although both GATT/WTO has been eﬀective in promoting trade between members, the WTO has been more eﬀective in promoting trade with non-members than GATT. A battery of sensitivity experiments conﬁrms the eﬀectiveness of our methods and robustness of our main ﬁndings.","container-title":"SSRN Electronic Journal","DOI":"10.2139/ssrn.3421148","ISSN":"1556-5068","journalAbbreviation":"SSRN Journal","language":"en","source":"DOI.org (Crossref)","title":"On the Effects of GATT/WTO Membership on Trade: They are Positive and Large after All","title-short":"On the Effects of GATT/WTO Membership on Trade","URL":"https://www.ssrn.com/abstract=3421148","author":[{"family":"Larch","given":"Mario"},{"family":"Monteiro","given":"José-Antonio"},{"family":"Piermartini","given":"Roberta"},{"family":"Yotov","given":"Yoto"}],"accessed":{"date-parts":[["2026",3,25]]},"issued":{"date-parts":[["2019"]]}},"suppress-author":true}],"schema":"https://github.com/citation-style-language/schema/raw/master/csl-citation.json"} </w:instrText>
      </w:r>
      <w:r w:rsidR="00A20942" w:rsidRPr="00D868ED">
        <w:rPr>
          <w:rFonts w:asciiTheme="majorBidi" w:hAnsiTheme="majorBidi" w:cstheme="majorBidi"/>
        </w:rPr>
        <w:fldChar w:fldCharType="separate"/>
      </w:r>
      <w:r w:rsidR="008C4601" w:rsidRPr="00D868ED">
        <w:rPr>
          <w:rFonts w:ascii="Times New Roman" w:hAnsi="Times New Roman" w:cs="Times New Roman"/>
        </w:rPr>
        <w:t>(2019)</w:t>
      </w:r>
      <w:r w:rsidR="00A20942" w:rsidRPr="00D868ED">
        <w:rPr>
          <w:rFonts w:asciiTheme="majorBidi" w:hAnsiTheme="majorBidi" w:cstheme="majorBidi"/>
        </w:rPr>
        <w:fldChar w:fldCharType="end"/>
      </w:r>
      <w:r w:rsidR="00A20942" w:rsidRPr="00D868ED">
        <w:rPr>
          <w:rFonts w:asciiTheme="majorBidi" w:hAnsiTheme="majorBidi" w:cstheme="majorBidi"/>
        </w:rPr>
        <w:t xml:space="preserve"> </w:t>
      </w:r>
      <w:r w:rsidRPr="00D868ED">
        <w:rPr>
          <w:rFonts w:asciiTheme="majorBidi" w:hAnsiTheme="majorBidi" w:cstheme="majorBidi"/>
        </w:rPr>
        <w:t>employ theory-consistent gravity models with high-dimensional fixed effects and modern estimation methods to demonstrate that GATT/WTO membership has statistically significant and economically meaningful effects on trade. Their findings suggest that earlier null results largely reflected methodological limitations rather than the absence of trade effects.</w:t>
      </w:r>
    </w:p>
    <w:p w14:paraId="5DCF0C75" w14:textId="79D8621E" w:rsidR="00757A6A" w:rsidRPr="00D868ED" w:rsidRDefault="00757A6A" w:rsidP="00CE5C32">
      <w:pPr>
        <w:bidi w:val="0"/>
        <w:spacing w:after="120" w:line="288" w:lineRule="auto"/>
        <w:jc w:val="both"/>
        <w:rPr>
          <w:rFonts w:asciiTheme="majorBidi" w:hAnsiTheme="majorBidi" w:cstheme="majorBidi"/>
        </w:rPr>
      </w:pPr>
      <w:r w:rsidRPr="00D868ED">
        <w:rPr>
          <w:rFonts w:asciiTheme="majorBidi" w:hAnsiTheme="majorBidi" w:cstheme="majorBidi"/>
        </w:rPr>
        <w:t>In empirical gravity models, WTO participation is often operationalized using a joint membership indicator equal to one when both trading partners are members of the organization</w:t>
      </w:r>
      <w:r w:rsidR="000C251B" w:rsidRPr="00D868ED">
        <w:rPr>
          <w:rFonts w:asciiTheme="majorBidi" w:hAnsiTheme="majorBidi" w:cstheme="majorBidi"/>
        </w:rPr>
        <w:t xml:space="preserve"> </w:t>
      </w:r>
      <w:r w:rsidR="000C251B" w:rsidRPr="00D868ED">
        <w:rPr>
          <w:rFonts w:asciiTheme="majorBidi" w:hAnsiTheme="majorBidi" w:cstheme="majorBidi"/>
        </w:rPr>
        <w:fldChar w:fldCharType="begin"/>
      </w:r>
      <w:r w:rsidR="000C251B" w:rsidRPr="00D868ED">
        <w:rPr>
          <w:rFonts w:asciiTheme="majorBidi" w:hAnsiTheme="majorBidi" w:cstheme="majorBidi"/>
        </w:rPr>
        <w:instrText xml:space="preserve"> ADDIN ZOTERO_ITEM CSL_CITATION {"citationID":"uQcHXaPH","properties":{"formattedCitation":"(Gulseven, Alhadi, et al., 2023; Gulseven, Salam, et al., 2023)","plainCitation":"(Gulseven, Alhadi, et al., 2023; Gulseven, Salam, et al., 2023)","noteIndex":0},"citationItems":[{"id":1439,"uris":["http://zotero.org/users/4604898/items/UKJCYPDI"],"itemData":{"id":1439,"type":"article-journal","abstract":"This research explores the determinants of bilateral trade flow between the Middle East and North African countries using a panel data analysis from 1990 to 2019. The structural gravity model is estimated using ordinary least square (OLS) and Poisson Pseudo Likelihood (PPML) techniques. We included six independent variables: the GDP, distance between country capitals, common language, contiguity, common colony, and a regional trade agreement (RTA) dummy. The data is retrieved from the Center for Prospective Studies and International Information (CEPII). OLS estimates suggest that the GDP of both origin and destination countries, distance, contiguity, and RTA signifi-cantly affect trade flows. Similarly, PPML estimation results indicate that bilateral trade flows between MENA are affected by GDP, distance, common language, common colony, and RTA.","container-title":"Montenegrin Journal of Economics","DOI":"10.14254/1800-5845/2023.19-4.10","ISSN":"1800-5845","issue":"4","license":"CC0 1.0 Universal Public Domain Dedication","page":"115-124","title":"Determinants of Trade in the Middle East and North Africa","volume":"19","author":[{"family":"Gulseven","given":"Osman"},{"family":"Alhadi","given":"Amani Abdullah"},{"family":"Salam","given":"Sofiyat Adeola"}],"issued":{"date-parts":[["2023",9,15]]}}},{"id":1379,"uris":["http://zotero.org/users/4604898/items/XG2LRH26"],"itemData":{"id":1379,"type":"article-journal","abstract":"This study uses the modified gravity model to examine the determinants of trade in goods within African countries. The panel data covers the period between 2000 and 2019 for all 54 countries in Africa. The article contributes to the existing literature on trade determinants in Africa, including distance and economic size in the study of bilateral trade, by augmenting the gravity model with the inclusion of WTO membership. The gravity model is applied using three different methods of estimation: Ordinary Least Squares (OLS), Poisson Pseudo Maximum Likelihood (PPML), and Gamma Pseudo Maximum Likelihood (GPML) models. Our findings show that the GDP of both exporters and importers, sharing common language and borders positively affect intra-African trade, while the impact of distance is significantly negative. We also found that being a WTO member significantly enhances international trade between African partner countries. This study can help formulate better trade policies for African countries.","container-title":"Scientific African","DOI":"10.1016/j.sciaf.2023.e01728","ISSN":"2468-2276","journalAbbreviation":"Scientific African","language":"en","license":"All rights reserved","page":"e01728","source":"ScienceDirect","title":"Can WTO Membership Boost Intra-African Trade?","author":[{"family":"Gulseven","given":"Osman"},{"family":"Salam","given":"Sofiyat Adeola"},{"family":"Alhadi","given":"Amani Abdullah"}],"issued":{"date-parts":[["2023",5,29]]}}}],"schema":"https://github.com/citation-style-language/schema/raw/master/csl-citation.json"} </w:instrText>
      </w:r>
      <w:r w:rsidR="000C251B" w:rsidRPr="00D868ED">
        <w:rPr>
          <w:rFonts w:asciiTheme="majorBidi" w:hAnsiTheme="majorBidi" w:cstheme="majorBidi"/>
        </w:rPr>
        <w:fldChar w:fldCharType="separate"/>
      </w:r>
      <w:r w:rsidR="000C251B" w:rsidRPr="00D868ED">
        <w:rPr>
          <w:rFonts w:ascii="Times New Roman" w:hAnsi="Times New Roman" w:cs="Times New Roman"/>
        </w:rPr>
        <w:t>(Gulseven, Alhadi, et al., 2023; Gulseven, Salam, et al., 2023)</w:t>
      </w:r>
      <w:r w:rsidR="000C251B" w:rsidRPr="00D868ED">
        <w:rPr>
          <w:rFonts w:asciiTheme="majorBidi" w:hAnsiTheme="majorBidi" w:cstheme="majorBidi"/>
        </w:rPr>
        <w:fldChar w:fldCharType="end"/>
      </w:r>
      <w:r w:rsidRPr="00D868ED">
        <w:rPr>
          <w:rFonts w:asciiTheme="majorBidi" w:hAnsiTheme="majorBidi" w:cstheme="majorBidi"/>
        </w:rPr>
        <w:t>. This specification is consistent with theoretical predictions that institutional alignment reduces trade policy uncertainty and improves market access conditions. For post-Soviet economies, which joined the WTO at different times, joint membership provides a natural measure of shared participation in the multilateral trading system.</w:t>
      </w:r>
    </w:p>
    <w:p w14:paraId="6B1DC5AF" w14:textId="431E5F6F" w:rsidR="00757A6A" w:rsidRPr="00D868ED" w:rsidRDefault="00757A6A" w:rsidP="00CE5C32">
      <w:pPr>
        <w:bidi w:val="0"/>
        <w:spacing w:after="120" w:line="288" w:lineRule="auto"/>
        <w:jc w:val="both"/>
        <w:rPr>
          <w:rFonts w:asciiTheme="majorBidi" w:hAnsiTheme="majorBidi" w:cstheme="majorBidi"/>
          <w:b/>
          <w:bCs/>
        </w:rPr>
      </w:pPr>
      <w:bookmarkStart w:id="2" w:name="wto-and-gatt-membership-effects-on-trade"/>
      <w:bookmarkStart w:id="3" w:name="X0c30d3d4ed2dc72d5866076039031e10ff004f6"/>
      <w:bookmarkEnd w:id="2"/>
      <w:r w:rsidRPr="00D868ED">
        <w:rPr>
          <w:rFonts w:asciiTheme="majorBidi" w:hAnsiTheme="majorBidi" w:cstheme="majorBidi"/>
          <w:b/>
          <w:bCs/>
        </w:rPr>
        <w:t xml:space="preserve">2.4 Regional Integration and Trade </w:t>
      </w:r>
    </w:p>
    <w:p w14:paraId="58528140" w14:textId="5360FDF9" w:rsidR="00757A6A" w:rsidRPr="00D868ED" w:rsidRDefault="00757A6A" w:rsidP="00CE5C32">
      <w:pPr>
        <w:bidi w:val="0"/>
        <w:spacing w:after="120" w:line="288" w:lineRule="auto"/>
        <w:jc w:val="both"/>
        <w:rPr>
          <w:rFonts w:asciiTheme="majorBidi" w:hAnsiTheme="majorBidi" w:cstheme="majorBidi"/>
        </w:rPr>
      </w:pPr>
      <w:r w:rsidRPr="00D868ED">
        <w:rPr>
          <w:rFonts w:asciiTheme="majorBidi" w:hAnsiTheme="majorBidi" w:cstheme="majorBidi"/>
        </w:rPr>
        <w:t>Beyond multilateral institutions, regional integration arrangements also influence trade patterns. Post-Soviet economies have followed diverse integration strategies since independence. Some countries have prioritized integration into global markets, while others have pursued deeper regional cooperation frameworks.</w:t>
      </w:r>
      <w:r w:rsidR="00421C4D" w:rsidRPr="00D868ED">
        <w:rPr>
          <w:rFonts w:asciiTheme="majorBidi" w:hAnsiTheme="majorBidi" w:cstheme="majorBidi"/>
        </w:rPr>
        <w:t xml:space="preserve"> </w:t>
      </w:r>
      <w:r w:rsidRPr="00D868ED">
        <w:rPr>
          <w:rFonts w:asciiTheme="majorBidi" w:hAnsiTheme="majorBidi" w:cstheme="majorBidi"/>
        </w:rPr>
        <w:t>The Baltic states-Estonia, Latvia, and Lithuania-adopted a strategy of rapid integration with Western Europe and joined the European Union in 2004. EU membership entails extensive institutional harmonization beyond tariff liberalization, including adoption of the common external tariff, regulatory standards, and participation in the EU single market. Because of these deep institutional commitments, EU membership is often described as a form of “deep integration” that generates trade effects beyond those associated with conventional trade agreements.</w:t>
      </w:r>
    </w:p>
    <w:p w14:paraId="5D29BDD4" w14:textId="0C6240B0" w:rsidR="007119DF" w:rsidRPr="00D868ED" w:rsidRDefault="00E56749" w:rsidP="00CE5C32">
      <w:pPr>
        <w:bidi w:val="0"/>
        <w:spacing w:after="120" w:line="288" w:lineRule="auto"/>
        <w:jc w:val="both"/>
        <w:rPr>
          <w:rFonts w:asciiTheme="majorBidi" w:hAnsiTheme="majorBidi" w:cstheme="majorBidi"/>
        </w:rPr>
      </w:pPr>
      <w:r w:rsidRPr="00D868ED">
        <w:rPr>
          <w:rFonts w:asciiTheme="majorBidi" w:hAnsiTheme="majorBidi" w:cstheme="majorBidi"/>
        </w:rPr>
        <w:t>Empirical gravity studies consistently find that regional trade membership generates substantial trade creation effects even after controlling for standard gravity determinants and multilateral resistance terms.</w:t>
      </w:r>
      <w:r w:rsidRPr="00D868ED">
        <w:t xml:space="preserve"> </w:t>
      </w:r>
      <w:r w:rsidRPr="00D868ED">
        <w:rPr>
          <w:rFonts w:asciiTheme="majorBidi" w:hAnsiTheme="majorBidi" w:cstheme="majorBidi"/>
        </w:rPr>
        <w:t xml:space="preserve">Masood et al. </w:t>
      </w:r>
      <w:r w:rsidRPr="00D868ED">
        <w:rPr>
          <w:rFonts w:asciiTheme="majorBidi" w:hAnsiTheme="majorBidi" w:cstheme="majorBidi"/>
        </w:rPr>
        <w:fldChar w:fldCharType="begin"/>
      </w:r>
      <w:r w:rsidR="00627274" w:rsidRPr="00D868ED">
        <w:rPr>
          <w:rFonts w:asciiTheme="majorBidi" w:hAnsiTheme="majorBidi" w:cstheme="majorBidi"/>
        </w:rPr>
        <w:instrText xml:space="preserve"> ADDIN ZOTERO_ITEM CSL_CITATION {"citationID":"AFANIZ5W","properties":{"formattedCitation":"(2023)","plainCitation":"(2023)","noteIndex":0},"citationItems":[{"id":2438,"uris":["http://zotero.org/users/4604898/items/X4ZD2FPT"],"itemData":{"id":2438,"type":"article-journal","container-title":"The Journal of Economic Integration","DOI":"https://doi.org/10.11130/jei.2023.38.3.360","ISSN":"1225-651X","issue":"3","language":"English","page":"360-382","source":"www.e-jei.org","title":"The OIC's Intra-Bloc and Extra-Bloc Trade: How Effective are the FTAs?","title-short":"The OIC's Intra-Bloc and Extra-Bloc Trade","volume":"38","author":[{"family":"Masood","given":"Amjad"},{"family":"Ahmed","given":"Junaid"},{"family":"Kareem","given":"Fatima Olanike"}],"issued":{"date-parts":[["2023",9,1]]}},"suppress-author":true}],"schema":"https://github.com/citation-style-language/schema/raw/master/csl-citation.json"} </w:instrText>
      </w:r>
      <w:r w:rsidRPr="00D868ED">
        <w:rPr>
          <w:rFonts w:asciiTheme="majorBidi" w:hAnsiTheme="majorBidi" w:cstheme="majorBidi"/>
        </w:rPr>
        <w:fldChar w:fldCharType="separate"/>
      </w:r>
      <w:r w:rsidRPr="00D868ED">
        <w:rPr>
          <w:rFonts w:ascii="Times New Roman" w:hAnsi="Times New Roman" w:cs="Times New Roman"/>
        </w:rPr>
        <w:t>(2023)</w:t>
      </w:r>
      <w:r w:rsidRPr="00D868ED">
        <w:rPr>
          <w:rFonts w:asciiTheme="majorBidi" w:hAnsiTheme="majorBidi" w:cstheme="majorBidi"/>
        </w:rPr>
        <w:fldChar w:fldCharType="end"/>
      </w:r>
      <w:r w:rsidRPr="00D868ED">
        <w:rPr>
          <w:rFonts w:asciiTheme="majorBidi" w:hAnsiTheme="majorBidi" w:cstheme="majorBidi"/>
        </w:rPr>
        <w:t xml:space="preserve"> show that free trade agreements increase intra-bloc trade, though their effectiveness depends on the depth of integration and underlying economic conditions. Kumari </w:t>
      </w:r>
      <w:r w:rsidRPr="00D868ED">
        <w:rPr>
          <w:rFonts w:asciiTheme="majorBidi" w:hAnsiTheme="majorBidi" w:cstheme="majorBidi"/>
        </w:rPr>
        <w:fldChar w:fldCharType="begin"/>
      </w:r>
      <w:r w:rsidR="00D609BF">
        <w:rPr>
          <w:rFonts w:asciiTheme="majorBidi" w:hAnsiTheme="majorBidi" w:cstheme="majorBidi"/>
        </w:rPr>
        <w:instrText xml:space="preserve"> ADDIN ZOTERO_ITEM CSL_CITATION {"citationID":"aAm0XvQ8","properties":{"formattedCitation":"(2025)","plainCitation":"(2025)","noteIndex":0},"citationItems":[{"id":2443,"uris":["http://zotero.org/users/4604898/items/3VJ2FF2S"],"itemData":{"id":2443,"type":"article-journal","container-title":"The Journal of Economic Integration","DOI":"10.11130/jei.2024054","ISSN":"1225-651X","issue":"2","language":"English","page":"367-390","source":"www.e-jei.org","title":"India-MERCOSUR Preferential Trade Agreement: An Ex-Post Evaluation under Modern Gravity Framework","title-short":"India-MERCOSUR Preferential Trade Agreement","volume":"40","author":[{"family":"Kumari","given":"Mamta"}],"issued":{"date-parts":[["2025",2,5]]}},"suppress-author":true}],"schema":"https://github.com/citation-style-language/schema/raw/master/csl-citation.json"} </w:instrText>
      </w:r>
      <w:r w:rsidRPr="00D868ED">
        <w:rPr>
          <w:rFonts w:asciiTheme="majorBidi" w:hAnsiTheme="majorBidi" w:cstheme="majorBidi"/>
        </w:rPr>
        <w:fldChar w:fldCharType="separate"/>
      </w:r>
      <w:r w:rsidRPr="00D868ED">
        <w:rPr>
          <w:rFonts w:ascii="Times New Roman" w:hAnsi="Times New Roman" w:cs="Times New Roman"/>
        </w:rPr>
        <w:t>(2025)</w:t>
      </w:r>
      <w:r w:rsidRPr="00D868ED">
        <w:rPr>
          <w:rFonts w:asciiTheme="majorBidi" w:hAnsiTheme="majorBidi" w:cstheme="majorBidi"/>
        </w:rPr>
        <w:fldChar w:fldCharType="end"/>
      </w:r>
      <w:r w:rsidRPr="00D868ED">
        <w:rPr>
          <w:rFonts w:asciiTheme="majorBidi" w:hAnsiTheme="majorBidi" w:cstheme="majorBidi"/>
        </w:rPr>
        <w:t xml:space="preserve"> finds that preferential trade agreements may yield limited and uneven trade effects, reflecting partial integration rather than deep economic convergence. </w:t>
      </w:r>
      <w:r w:rsidR="003D2F61" w:rsidRPr="00D868ED">
        <w:rPr>
          <w:rFonts w:asciiTheme="majorBidi" w:hAnsiTheme="majorBidi" w:cstheme="majorBidi"/>
        </w:rPr>
        <w:t xml:space="preserve">Ayuso-Díaz and Gómez-Plana </w:t>
      </w:r>
      <w:r w:rsidR="003D2F61" w:rsidRPr="00D868ED">
        <w:rPr>
          <w:rFonts w:asciiTheme="majorBidi" w:hAnsiTheme="majorBidi" w:cstheme="majorBidi"/>
        </w:rPr>
        <w:fldChar w:fldCharType="begin"/>
      </w:r>
      <w:r w:rsidR="00627274" w:rsidRPr="00D868ED">
        <w:rPr>
          <w:rFonts w:asciiTheme="majorBidi" w:hAnsiTheme="majorBidi" w:cstheme="majorBidi"/>
        </w:rPr>
        <w:instrText xml:space="preserve"> ADDIN ZOTERO_ITEM CSL_CITATION {"citationID":"3vO0kPZZ","properties":{"formattedCitation":"(2023)","plainCitation":"(2023)","noteIndex":0},"citationItems":[{"id":2440,"uris":["http://zotero.org/users/4604898/items/X3UQDQ47"],"itemData":{"id":2440,"type":"article-journal","container-title":"The Journal of Economic Integration","DOI":"https://doi.org/10.11130/jei.2023.38.1.32","ISSN":"1225-651X","issue":"1","language":"English","page":"32-58","source":"www.e-jei.org","title":"More Integrated than Ever? Long-Term Market and Policy Drivers of Intra-Asian Trade","title-short":"More Integrated than Ever?","volume":"38","author":[{"family":"Ayuso-Díaz","given":"Alejandro"},{"family":"Gómez-Plana","given":"Antonio G."}],"issued":{"date-parts":[["2023",3,1]]}},"suppress-author":true}],"schema":"https://github.com/citation-style-language/schema/raw/master/csl-citation.json"} </w:instrText>
      </w:r>
      <w:r w:rsidR="003D2F61" w:rsidRPr="00D868ED">
        <w:rPr>
          <w:rFonts w:asciiTheme="majorBidi" w:hAnsiTheme="majorBidi" w:cstheme="majorBidi"/>
        </w:rPr>
        <w:fldChar w:fldCharType="separate"/>
      </w:r>
      <w:r w:rsidR="003D2F61" w:rsidRPr="00D868ED">
        <w:rPr>
          <w:rFonts w:ascii="Times New Roman" w:hAnsi="Times New Roman" w:cs="Times New Roman"/>
        </w:rPr>
        <w:t>(2023)</w:t>
      </w:r>
      <w:r w:rsidR="003D2F61" w:rsidRPr="00D868ED">
        <w:rPr>
          <w:rFonts w:asciiTheme="majorBidi" w:hAnsiTheme="majorBidi" w:cstheme="majorBidi"/>
        </w:rPr>
        <w:fldChar w:fldCharType="end"/>
      </w:r>
      <w:r w:rsidR="003D2F61" w:rsidRPr="00D868ED">
        <w:rPr>
          <w:rFonts w:asciiTheme="majorBidi" w:hAnsiTheme="majorBidi" w:cstheme="majorBidi"/>
        </w:rPr>
        <w:t xml:space="preserve"> find that regional integration agreements significantly reinforce intra-regional trade, complementing standard gravity determinants such as economic size and distance.</w:t>
      </w:r>
      <w:r w:rsidR="0084103E" w:rsidRPr="00D868ED">
        <w:rPr>
          <w:rFonts w:asciiTheme="majorBidi" w:hAnsiTheme="majorBidi" w:cstheme="majorBidi"/>
        </w:rPr>
        <w:t xml:space="preserve"> </w:t>
      </w:r>
    </w:p>
    <w:p w14:paraId="4BC76E93" w14:textId="7F8CC381" w:rsidR="00757A6A" w:rsidRPr="00D868ED" w:rsidRDefault="007119DF" w:rsidP="00CE5C32">
      <w:pPr>
        <w:bidi w:val="0"/>
        <w:spacing w:after="120" w:line="288" w:lineRule="auto"/>
        <w:jc w:val="both"/>
        <w:rPr>
          <w:rFonts w:asciiTheme="majorBidi" w:hAnsiTheme="majorBidi" w:cstheme="majorBidi"/>
        </w:rPr>
      </w:pPr>
      <w:r w:rsidRPr="00D868ED">
        <w:rPr>
          <w:rFonts w:asciiTheme="majorBidi" w:hAnsiTheme="majorBidi" w:cstheme="majorBidi"/>
        </w:rPr>
        <w:t xml:space="preserve">In the broader Eurasian context, geography and infrastructure constraints continue to shape trade patterns. Pomfret </w:t>
      </w:r>
      <w:r w:rsidRPr="00D868ED">
        <w:rPr>
          <w:rFonts w:asciiTheme="majorBidi" w:hAnsiTheme="majorBidi" w:cstheme="majorBidi"/>
        </w:rPr>
        <w:fldChar w:fldCharType="begin"/>
      </w:r>
      <w:r w:rsidRPr="00D868ED">
        <w:rPr>
          <w:rFonts w:asciiTheme="majorBidi" w:hAnsiTheme="majorBidi" w:cstheme="majorBidi"/>
        </w:rPr>
        <w:instrText xml:space="preserve"> ADDIN ZOTERO_ITEM CSL_CITATION {"citationID":"apbm8o5dik","properties":{"formattedCitation":"(2021)","plainCitation":"(2021)","noteIndex":0},"citationItems":[{"id":2394,"uris":["http://zotero.org/users/4604898/items/Z2QTLNQ5"],"itemData":{"id":2394,"type":"chapter","abstract":"The Organization for Security and Co-operation in Europe (OSCE), while primarily a security organisation, has always included economic and human baskets or dimensions. Currently, the Office of the Co-ordinator of OSCE Economic and Environmental Activities operates in four main areas: (1) good governance and anti-corruption, (2) money laundering and financing of terrorism, (3) transport, trade and border-crossing facilitation, and (4) labour migration. This chapter addresses developments in Central Asia since the dissolution of the Soviet Union that are relevant to the third area of OSCE operations. The chapter’s focus is on the potential for the landlocked Central Asian countries to become land-linked, using improved transport connections between East Asia and Europe to promote economic development through export diversification and growth. Rail services across Central Asia improved considerably during the 2010s. They have been resilient, despite strained political relations between Russia and the EU since 2014, and rail traffic between Europe and China continued to increase in 2020 despite the shock of COVID-19. Further infrastructure improvements are promised under China’s Belt and Road Initiative. However, the expanded network has been little used by Central Asian producers to create new international trade, and the improved infrastructure represents a potential opportunity rather than a past benefit. If the Central Asian economies are successful in taking advantage of the opportunity, it will stimulate their trade across the Eurasian region and help economic diversification. The main determinant of success will be national policies and national economic development. The chapter concludes with a discussion of the role of multilateral institutions and, in particular, the prospects for OSCE collaboration with existing fora to promote cooperation and economic development in Central Asia.","container-title":"Between Peace and Conflict in the East and the West: Studies on Transformation and Development in the OSCE Region","DOI":"10.1007/978-3-030-77489-9_10","ISBN":"978-3-030-77489-9","language":"en","page":"195-209","publisher":"Springer International Publishing","publisher-place":"Cham","source":"Springer Link","title":"From Landlocked to Land-Linked? Central Asia’s Place in the Eurasian Economy","title-short":"From Landlocked to Land-Linked?","URL":"https://doi.org/10.1007/978-3-030-77489-9_10","author":[{"family":"Pomfret","given":"Richard"}],"editor":[{"family":"Mihr","given":"Anja"}],"accessed":{"date-parts":[["2026",3,25]]},"issued":{"date-parts":[["2021"]]}},"suppress-author":true}],"schema":"https://github.com/citation-style-language/schema/raw/master/csl-citation.json"} </w:instrText>
      </w:r>
      <w:r w:rsidRPr="00D868ED">
        <w:rPr>
          <w:rFonts w:asciiTheme="majorBidi" w:hAnsiTheme="majorBidi" w:cstheme="majorBidi"/>
        </w:rPr>
        <w:fldChar w:fldCharType="separate"/>
      </w:r>
      <w:r w:rsidRPr="00D868ED">
        <w:rPr>
          <w:rFonts w:ascii="Times New Roman" w:hAnsi="Times New Roman" w:cs="Times New Roman"/>
        </w:rPr>
        <w:t>(2021)</w:t>
      </w:r>
      <w:r w:rsidRPr="00D868ED">
        <w:rPr>
          <w:rFonts w:asciiTheme="majorBidi" w:hAnsiTheme="majorBidi" w:cstheme="majorBidi"/>
        </w:rPr>
        <w:fldChar w:fldCharType="end"/>
      </w:r>
      <w:r w:rsidRPr="00D868ED">
        <w:rPr>
          <w:rFonts w:asciiTheme="majorBidi" w:hAnsiTheme="majorBidi" w:cstheme="majorBidi"/>
        </w:rPr>
        <w:t xml:space="preserve"> emphasizes that many post-Soviet economies-particularly landlocked countries-face persistent challenges related to transport costs and limited connectivity with global markets.</w:t>
      </w:r>
      <w:r w:rsidR="00E951F9" w:rsidRPr="00D868ED">
        <w:rPr>
          <w:rFonts w:asciiTheme="majorBidi" w:hAnsiTheme="majorBidi" w:cstheme="majorBidi"/>
        </w:rPr>
        <w:t xml:space="preserve"> </w:t>
      </w:r>
      <w:r w:rsidR="00757A6A" w:rsidRPr="00D868ED">
        <w:rPr>
          <w:rFonts w:asciiTheme="majorBidi" w:hAnsiTheme="majorBidi" w:cstheme="majorBidi"/>
        </w:rPr>
        <w:t xml:space="preserve">Vinokurov and Libman </w:t>
      </w:r>
      <w:r w:rsidR="00C71F72" w:rsidRPr="00D868ED">
        <w:rPr>
          <w:rFonts w:asciiTheme="majorBidi" w:hAnsiTheme="majorBidi" w:cstheme="majorBidi"/>
        </w:rPr>
        <w:fldChar w:fldCharType="begin"/>
      </w:r>
      <w:r w:rsidR="00BD777F" w:rsidRPr="00D868ED">
        <w:rPr>
          <w:rFonts w:asciiTheme="majorBidi" w:hAnsiTheme="majorBidi" w:cstheme="majorBidi"/>
        </w:rPr>
        <w:instrText xml:space="preserve"> ADDIN ZOTERO_ITEM CSL_CITATION {"citationID":"ar0uer43ia","properties":{"formattedCitation":"(2018)","plainCitation":"(2018)","noteIndex":0},"citationItems":[{"id":2370,"uris":["http://zotero.org/users/4604898/items/76SMZE6E"],"itemData":{"id":2370,"type":"book","DOI":"10.1007/978-3-319-92825-8","ISBN":"978-3-319-92824-1","language":"en","license":"http://www.springer.com/tdm","publisher":"Springer International Publishing","publisher-place":"Cham","source":"DOI.org (Crossref)","title":"Introduction to the Eurasian Economic Union","URL":"http://link.springer.com/10.1007/978-3-319-92825-8","author":[{"family":"Vinokurov","given":"Evgeny"}],"accessed":{"date-parts":[["2026",3,25]]},"issued":{"date-parts":[["2018"]]}},"suppress-author":true}],"schema":"https://github.com/citation-style-language/schema/raw/master/csl-citation.json"} </w:instrText>
      </w:r>
      <w:r w:rsidR="00C71F72" w:rsidRPr="00D868ED">
        <w:rPr>
          <w:rFonts w:asciiTheme="majorBidi" w:hAnsiTheme="majorBidi" w:cstheme="majorBidi"/>
        </w:rPr>
        <w:fldChar w:fldCharType="separate"/>
      </w:r>
      <w:r w:rsidR="008C4601" w:rsidRPr="00D868ED">
        <w:rPr>
          <w:rFonts w:ascii="Times New Roman" w:hAnsi="Times New Roman" w:cs="Times New Roman"/>
        </w:rPr>
        <w:t>(2018)</w:t>
      </w:r>
      <w:r w:rsidR="00C71F72" w:rsidRPr="00D868ED">
        <w:rPr>
          <w:rFonts w:asciiTheme="majorBidi" w:hAnsiTheme="majorBidi" w:cstheme="majorBidi"/>
        </w:rPr>
        <w:fldChar w:fldCharType="end"/>
      </w:r>
      <w:r w:rsidR="00C71F72" w:rsidRPr="00D868ED">
        <w:rPr>
          <w:rFonts w:asciiTheme="majorBidi" w:hAnsiTheme="majorBidi" w:cstheme="majorBidi"/>
        </w:rPr>
        <w:t xml:space="preserve"> </w:t>
      </w:r>
      <w:r w:rsidR="00757A6A" w:rsidRPr="00D868ED">
        <w:rPr>
          <w:rFonts w:asciiTheme="majorBidi" w:hAnsiTheme="majorBidi" w:cstheme="majorBidi"/>
        </w:rPr>
        <w:t>analyze the development of Eurasian integration initiatives and highlight how institutional arrangements interact with underlying geographic and logistical constraints. More recent evidence suggests that regional institutions may generate both trade creation and trade diversion effects within the post-Soviet region</w:t>
      </w:r>
      <w:r w:rsidR="00BD4C20" w:rsidRPr="00D868ED">
        <w:rPr>
          <w:rFonts w:asciiTheme="majorBidi" w:hAnsiTheme="majorBidi" w:cstheme="majorBidi"/>
        </w:rPr>
        <w:t xml:space="preserve"> </w:t>
      </w:r>
      <w:r w:rsidR="00BD4C20" w:rsidRPr="00D868ED">
        <w:rPr>
          <w:rFonts w:asciiTheme="majorBidi" w:hAnsiTheme="majorBidi" w:cstheme="majorBidi"/>
        </w:rPr>
        <w:fldChar w:fldCharType="begin"/>
      </w:r>
      <w:r w:rsidR="00BD777F" w:rsidRPr="00D868ED">
        <w:rPr>
          <w:rFonts w:asciiTheme="majorBidi" w:hAnsiTheme="majorBidi" w:cstheme="majorBidi"/>
        </w:rPr>
        <w:instrText xml:space="preserve"> ADDIN ZOTERO_ITEM CSL_CITATION {"citationID":"a29a2ajua5m","properties":{"formattedCitation":"(Cie\\uc0\\u347{}lik &amp; Gurshev, 2024)","plainCitation":"(Cieślik &amp; Gurshev, 2024)","noteIndex":0},"citationItems":[{"id":2353,"uris":["http://zotero.org/users/4604898/items/XWQRB7HE"],"itemData":{"id":2353,"type":"article-journal","abstract":"This paper revisits the question of choice between regionalism and multilateralism in trade relations of Central Asia introduced by Pomfret (2005). Our study is motivated by a significant restoration of economic links between the former Soviet republics following Russian accession to the World Trade Organization (WTO), the creation of the Eurasian Economic Union (EAEU), and the formation of new trade ties with Vietnam, Iran, and Serbia. Above all, there have been substantial commitments made by the three Central Asian republics of Tajikistan, Turkmenistan, and Uzbekistan toward a multilateral system under the WTO rules. To this end, we apply a multi-region gravity model with interdependent trade flows using bilateral trade data of Tajikistan and Uzbekistan to study the ex-ante effects of economic integration with various bilateral, plurilateral, and multilateral partners. Our findings indicate the existence of considerable gains if the aforementioned economies would ascend to the EAEU in comparison to integration with China or Iran. We also document the presence of shared economic links between Tajikistan, Central Asia, and Turkey.","container-title":"Eurasian Geography and Economics","DOI":"10.1080/15387216.2022.2162098","ISSN":"1538-7216","issue":"5","note":"_eprint: https://doi.org/10.1080/15387216.2022.2162098","page":"656-678","publisher":"Routledge","source":"Taylor and Francis+NEJM","title":"Trade policies in Central Asia after EAEU enlargement and after Russian WTO accession: regionalism and integration into the world economy revisited","title-short":"Trade policies in Central Asia after EAEU enlargement and after Russian WTO accession","volume":"65","author":[{"family":"Cieślik","given":"Andrzej"},{"family":"Gurshev","given":"Oleg"}],"issued":{"date-parts":[["2024",7,3]]}}}],"schema":"https://github.com/citation-style-language/schema/raw/master/csl-citation.json"} </w:instrText>
      </w:r>
      <w:r w:rsidR="00BD4C20" w:rsidRPr="00D868ED">
        <w:rPr>
          <w:rFonts w:asciiTheme="majorBidi" w:hAnsiTheme="majorBidi" w:cstheme="majorBidi"/>
        </w:rPr>
        <w:fldChar w:fldCharType="separate"/>
      </w:r>
      <w:r w:rsidR="008C4601" w:rsidRPr="00D868ED">
        <w:rPr>
          <w:rFonts w:ascii="Times New Roman" w:hAnsi="Times New Roman" w:cs="Times New Roman"/>
          <w:kern w:val="0"/>
        </w:rPr>
        <w:t>(Cieślik &amp; Gurshev, 2024)</w:t>
      </w:r>
      <w:r w:rsidR="00BD4C20" w:rsidRPr="00D868ED">
        <w:rPr>
          <w:rFonts w:asciiTheme="majorBidi" w:hAnsiTheme="majorBidi" w:cstheme="majorBidi"/>
        </w:rPr>
        <w:fldChar w:fldCharType="end"/>
      </w:r>
      <w:r w:rsidR="00757A6A" w:rsidRPr="00D868ED">
        <w:rPr>
          <w:rFonts w:asciiTheme="majorBidi" w:hAnsiTheme="majorBidi" w:cstheme="majorBidi"/>
        </w:rPr>
        <w:t>. Although these studies do not focus specifically on WTO or EU membership, they underline the broader point that institutional alignment interacts with geography and trade costs in shaping regional trade patterns.</w:t>
      </w:r>
    </w:p>
    <w:bookmarkEnd w:id="3"/>
    <w:p w14:paraId="3CE9D358" w14:textId="77777777" w:rsidR="00757A6A" w:rsidRPr="00D868ED" w:rsidRDefault="00757A6A" w:rsidP="00CE5C32">
      <w:pPr>
        <w:bidi w:val="0"/>
        <w:spacing w:after="120" w:line="288" w:lineRule="auto"/>
        <w:jc w:val="both"/>
        <w:rPr>
          <w:rFonts w:asciiTheme="majorBidi" w:hAnsiTheme="majorBidi" w:cstheme="majorBidi"/>
          <w:b/>
          <w:bCs/>
        </w:rPr>
      </w:pPr>
      <w:r w:rsidRPr="00D868ED">
        <w:rPr>
          <w:rFonts w:asciiTheme="majorBidi" w:hAnsiTheme="majorBidi" w:cstheme="majorBidi"/>
          <w:b/>
          <w:bCs/>
        </w:rPr>
        <w:t>2.5 Research Gaps and Contribution</w:t>
      </w:r>
    </w:p>
    <w:p w14:paraId="7E4734F9" w14:textId="07567C04" w:rsidR="00C40E85" w:rsidRDefault="00757A6A" w:rsidP="00CE5C32">
      <w:pPr>
        <w:bidi w:val="0"/>
        <w:spacing w:after="120" w:line="288" w:lineRule="auto"/>
        <w:jc w:val="both"/>
        <w:rPr>
          <w:rFonts w:asciiTheme="majorBidi" w:hAnsiTheme="majorBidi" w:cstheme="majorBidi"/>
        </w:rPr>
      </w:pPr>
      <w:r w:rsidRPr="00D868ED">
        <w:rPr>
          <w:rFonts w:asciiTheme="majorBidi" w:hAnsiTheme="majorBidi" w:cstheme="majorBidi"/>
        </w:rPr>
        <w:t>Relatively few studies analyze intra-regional trade among all fifteen post-Soviet economies within a unified structural gravity framework. Many analyses focus on subsets of the region or include post-Soviet countries within broader global samples without explicitly examining their shared institutional and historical context.</w:t>
      </w:r>
      <w:r w:rsidR="00204777" w:rsidRPr="00D868ED">
        <w:rPr>
          <w:rFonts w:asciiTheme="majorBidi" w:hAnsiTheme="majorBidi" w:cstheme="majorBidi"/>
        </w:rPr>
        <w:t xml:space="preserve"> </w:t>
      </w:r>
      <w:r w:rsidRPr="00D868ED">
        <w:rPr>
          <w:rFonts w:asciiTheme="majorBidi" w:hAnsiTheme="majorBidi" w:cstheme="majorBidi"/>
        </w:rPr>
        <w:t>This study addresses these gaps by estimating a structural gravity model for bilateral trade among all fifteen post-Soviet economies over the period 199</w:t>
      </w:r>
      <w:r w:rsidR="00C25DC6" w:rsidRPr="00D868ED">
        <w:rPr>
          <w:rFonts w:asciiTheme="majorBidi" w:hAnsiTheme="majorBidi" w:cstheme="majorBidi"/>
        </w:rPr>
        <w:t>4</w:t>
      </w:r>
      <w:r w:rsidRPr="00D868ED">
        <w:rPr>
          <w:rFonts w:asciiTheme="majorBidi" w:hAnsiTheme="majorBidi" w:cstheme="majorBidi"/>
        </w:rPr>
        <w:t>-20</w:t>
      </w:r>
      <w:r w:rsidR="00C25DC6" w:rsidRPr="00D868ED">
        <w:rPr>
          <w:rFonts w:asciiTheme="majorBidi" w:hAnsiTheme="majorBidi" w:cstheme="majorBidi"/>
        </w:rPr>
        <w:t>20</w:t>
      </w:r>
      <w:r w:rsidRPr="00D868ED">
        <w:rPr>
          <w:rFonts w:asciiTheme="majorBidi" w:hAnsiTheme="majorBidi" w:cstheme="majorBidi"/>
        </w:rPr>
        <w:t xml:space="preserve"> using the CEPII Gravity dataset. </w:t>
      </w:r>
      <w:r w:rsidR="00052606" w:rsidRPr="00052606">
        <w:rPr>
          <w:rFonts w:asciiTheme="majorBidi" w:hAnsiTheme="majorBidi" w:cstheme="majorBidi"/>
          <w:highlight w:val="yellow"/>
        </w:rPr>
        <w:t>The empirical specification incorporates indicators for joint WTO, EU, and EAEU membership. Additional zero-inclusive PPML estimates with exporter-year and importer-year fixed effects are reported to account for time-varying multilateral resistance terms.</w:t>
      </w:r>
    </w:p>
    <w:p w14:paraId="6EEE1AFF" w14:textId="025C2217" w:rsidR="00757A6A" w:rsidRPr="00D868ED" w:rsidRDefault="00F53C15" w:rsidP="00CE5C32">
      <w:pPr>
        <w:bidi w:val="0"/>
        <w:spacing w:after="120" w:line="288" w:lineRule="auto"/>
        <w:jc w:val="both"/>
        <w:rPr>
          <w:rFonts w:asciiTheme="majorBidi" w:hAnsiTheme="majorBidi" w:cstheme="majorBidi"/>
        </w:rPr>
      </w:pPr>
      <w:r w:rsidRPr="00D868ED">
        <w:rPr>
          <w:rFonts w:asciiTheme="majorBidi" w:hAnsiTheme="majorBidi" w:cstheme="majorBidi"/>
        </w:rPr>
        <w:t>This study contributes by providing a systematic comparison of multilateral and regional integration effects within a structurally consistent gravity framework applied to the full set of post-Soviet economies.</w:t>
      </w:r>
      <w:r w:rsidR="000B5A45" w:rsidRPr="00D868ED">
        <w:rPr>
          <w:rFonts w:asciiTheme="majorBidi" w:hAnsiTheme="majorBidi" w:cstheme="majorBidi"/>
        </w:rPr>
        <w:t xml:space="preserve"> </w:t>
      </w:r>
      <w:r w:rsidR="00757A6A" w:rsidRPr="00D868ED">
        <w:rPr>
          <w:rFonts w:asciiTheme="majorBidi" w:hAnsiTheme="majorBidi" w:cstheme="majorBidi"/>
        </w:rPr>
        <w:t>By examining the full set of post-Soviet economies within a common empirical framework, the analysis provides region-specific evidence on how institutional arrangements shape</w:t>
      </w:r>
      <w:r w:rsidR="00113779" w:rsidRPr="00D868ED">
        <w:rPr>
          <w:rFonts w:asciiTheme="majorBidi" w:hAnsiTheme="majorBidi" w:cstheme="majorBidi"/>
        </w:rPr>
        <w:t xml:space="preserve"> intra-</w:t>
      </w:r>
      <w:r w:rsidR="00757A6A" w:rsidRPr="00D868ED">
        <w:rPr>
          <w:rFonts w:asciiTheme="majorBidi" w:hAnsiTheme="majorBidi" w:cstheme="majorBidi"/>
        </w:rPr>
        <w:t>trade integration across Eurasia. Unlike studies that focus solely on Central Asia or Eastern Europe, this broader coverage allows for a clearer comparison between multilateral integration through the WTO and deeper regional integration through the European Union.</w:t>
      </w:r>
    </w:p>
    <w:p w14:paraId="223FFD22" w14:textId="694D5E42" w:rsidR="00394F24" w:rsidRPr="00D868ED" w:rsidRDefault="00394F24" w:rsidP="00CE5C32">
      <w:pPr>
        <w:bidi w:val="0"/>
        <w:spacing w:after="120" w:line="288" w:lineRule="auto"/>
        <w:jc w:val="both"/>
        <w:rPr>
          <w:rFonts w:asciiTheme="majorBidi" w:hAnsiTheme="majorBidi" w:cstheme="majorBidi"/>
          <w:b/>
          <w:bCs/>
        </w:rPr>
      </w:pPr>
      <w:r w:rsidRPr="00D868ED">
        <w:rPr>
          <w:rFonts w:asciiTheme="majorBidi" w:hAnsiTheme="majorBidi" w:cstheme="majorBidi"/>
          <w:b/>
          <w:bCs/>
        </w:rPr>
        <w:t>3. Data</w:t>
      </w:r>
    </w:p>
    <w:p w14:paraId="22D4D75F" w14:textId="1B19309D" w:rsidR="000F3305" w:rsidRPr="00D868ED" w:rsidRDefault="000F3305" w:rsidP="00CE5C32">
      <w:pPr>
        <w:bidi w:val="0"/>
        <w:spacing w:after="120" w:line="288" w:lineRule="auto"/>
        <w:jc w:val="both"/>
        <w:rPr>
          <w:rFonts w:asciiTheme="majorBidi" w:hAnsiTheme="majorBidi" w:cstheme="majorBidi"/>
        </w:rPr>
      </w:pPr>
      <w:r w:rsidRPr="00D868ED">
        <w:rPr>
          <w:rFonts w:asciiTheme="majorBidi" w:hAnsiTheme="majorBidi" w:cstheme="majorBidi"/>
        </w:rPr>
        <w:t xml:space="preserve">The empirical analysis relies on the CEPII Gravity Database, version 202211, which provides </w:t>
      </w:r>
      <w:r w:rsidR="00113779" w:rsidRPr="00D868ED">
        <w:rPr>
          <w:rFonts w:asciiTheme="majorBidi" w:hAnsiTheme="majorBidi" w:cstheme="majorBidi"/>
        </w:rPr>
        <w:t xml:space="preserve">aggregated </w:t>
      </w:r>
      <w:r w:rsidRPr="00D868ED">
        <w:rPr>
          <w:rFonts w:asciiTheme="majorBidi" w:hAnsiTheme="majorBidi" w:cstheme="majorBidi"/>
        </w:rPr>
        <w:t>bilateral trade flows together with geographic, macroeconomic, and institutional variables commonly used in gravity estimations. The CEPII gravity dataset is specifically designed for empirical gravity analysis and contains harmonized exporter–importer–year observations covering trade flows, economic size, geography, and institutional characteristics. The database spans the period 1948–2020, although the present study restricts the analysis to the post-Soviet period from 1994 to 2020.</w:t>
      </w:r>
      <w:r w:rsidR="005709DF">
        <w:rPr>
          <w:rFonts w:asciiTheme="majorBidi" w:hAnsiTheme="majorBidi" w:cstheme="majorBidi"/>
        </w:rPr>
        <w:t xml:space="preserve"> </w:t>
      </w:r>
      <w:r w:rsidR="005709DF" w:rsidRPr="005709DF">
        <w:rPr>
          <w:rFonts w:asciiTheme="majorBidi" w:hAnsiTheme="majorBidi" w:cstheme="majorBidi"/>
          <w:highlight w:val="yellow"/>
        </w:rPr>
        <w:t>Zero trade flows account for approximately 7.0 percent of the full directed dyad-year sample and 6.7 percent of the complete-covariate PPML estimation sample. These observations are retained in the additional zero-inclusive PPML specifications reported as a robustness check.</w:t>
      </w:r>
    </w:p>
    <w:p w14:paraId="5A571BD8" w14:textId="6181D000" w:rsidR="000F3305" w:rsidRPr="00D868ED" w:rsidRDefault="000F3305" w:rsidP="00CE5C32">
      <w:pPr>
        <w:bidi w:val="0"/>
        <w:spacing w:after="120" w:line="288" w:lineRule="auto"/>
        <w:jc w:val="both"/>
        <w:rPr>
          <w:rFonts w:asciiTheme="majorBidi" w:hAnsiTheme="majorBidi" w:cstheme="majorBidi"/>
        </w:rPr>
      </w:pPr>
      <w:r w:rsidRPr="00D868ED">
        <w:rPr>
          <w:rFonts w:asciiTheme="majorBidi" w:hAnsiTheme="majorBidi" w:cstheme="majorBidi"/>
        </w:rPr>
        <w:t>The CEPII gravity dataset has become the standard data source for empirical gravity studies because it provides consistent and transparent construction of bilateral trade and trade-cost variables across countries and over time. CEPII-based gravity datasets are central to modern empirical gravity research, particularly in applications employing fixed effects estimators and Poisson-type models. In the present study, the CEPII dataset is particularly useful because it contains the key variables required for structural gravity estimation, including bilateral trade flows, exporter and importer GDP, weighted geographic distance, contiguity, common language indicators, and institutional variables related to trade agreements and multilateral membership.</w:t>
      </w:r>
    </w:p>
    <w:p w14:paraId="2A63DDBE" w14:textId="5C279550" w:rsidR="00074EFE" w:rsidRPr="00D868ED" w:rsidRDefault="00074EFE" w:rsidP="00CE5C32">
      <w:pPr>
        <w:bidi w:val="0"/>
        <w:spacing w:after="120" w:line="288" w:lineRule="auto"/>
        <w:jc w:val="both"/>
        <w:rPr>
          <w:rFonts w:asciiTheme="majorBidi" w:hAnsiTheme="majorBidi" w:cstheme="majorBidi"/>
          <w:b/>
          <w:bCs/>
        </w:rPr>
      </w:pPr>
      <w:bookmarkStart w:id="4" w:name="source-and-credibility-of-data"/>
      <w:bookmarkEnd w:id="4"/>
      <w:r w:rsidRPr="00D868ED">
        <w:rPr>
          <w:rFonts w:asciiTheme="majorBidi" w:hAnsiTheme="majorBidi" w:cstheme="majorBidi"/>
          <w:b/>
          <w:bCs/>
        </w:rPr>
        <w:t>3.</w:t>
      </w:r>
      <w:r w:rsidR="002E3C78" w:rsidRPr="00D868ED">
        <w:rPr>
          <w:rFonts w:asciiTheme="majorBidi" w:hAnsiTheme="majorBidi" w:cstheme="majorBidi"/>
          <w:b/>
          <w:bCs/>
        </w:rPr>
        <w:t>1</w:t>
      </w:r>
      <w:r w:rsidRPr="00D868ED">
        <w:rPr>
          <w:rFonts w:asciiTheme="majorBidi" w:hAnsiTheme="majorBidi" w:cstheme="majorBidi"/>
          <w:b/>
          <w:bCs/>
        </w:rPr>
        <w:t xml:space="preserve"> Country coverage and time period</w:t>
      </w:r>
    </w:p>
    <w:p w14:paraId="543E78CC" w14:textId="3DEF0A75" w:rsidR="00074EFE" w:rsidRPr="00D868ED" w:rsidRDefault="00074EFE" w:rsidP="00CE5C32">
      <w:pPr>
        <w:bidi w:val="0"/>
        <w:spacing w:after="120" w:line="288" w:lineRule="auto"/>
        <w:jc w:val="both"/>
        <w:rPr>
          <w:rFonts w:asciiTheme="majorBidi" w:hAnsiTheme="majorBidi" w:cstheme="majorBidi"/>
        </w:rPr>
      </w:pPr>
      <w:r w:rsidRPr="00D868ED">
        <w:rPr>
          <w:rFonts w:asciiTheme="majorBidi" w:hAnsiTheme="majorBidi" w:cstheme="majorBidi"/>
        </w:rPr>
        <w:t xml:space="preserve">The sample covers all fifteen </w:t>
      </w:r>
      <w:r w:rsidR="00EA7012" w:rsidRPr="00D868ED">
        <w:rPr>
          <w:rFonts w:asciiTheme="majorBidi" w:hAnsiTheme="majorBidi" w:cstheme="majorBidi"/>
        </w:rPr>
        <w:t>post-Soviet</w:t>
      </w:r>
      <w:r w:rsidRPr="00D868ED">
        <w:rPr>
          <w:rFonts w:asciiTheme="majorBidi" w:hAnsiTheme="majorBidi" w:cstheme="majorBidi"/>
        </w:rPr>
        <w:t xml:space="preserve"> economies: Armenia, Azerbaijan, Belarus, Estonia, Georgia, Kazakhstan, Kyrgyzstan, Latvia, Lithuania, Moldova, Russia, Tajikistan, Turkmenistan, Ukraine, and Uzbekistan. The analysis is restricted to intra </w:t>
      </w:r>
      <w:r w:rsidR="00EB2DDE" w:rsidRPr="00D868ED">
        <w:rPr>
          <w:rFonts w:asciiTheme="majorBidi" w:hAnsiTheme="majorBidi" w:cstheme="majorBidi"/>
        </w:rPr>
        <w:t>post-Soviet</w:t>
      </w:r>
      <w:r w:rsidRPr="00D868ED">
        <w:rPr>
          <w:rFonts w:asciiTheme="majorBidi" w:hAnsiTheme="majorBidi" w:cstheme="majorBidi"/>
        </w:rPr>
        <w:t xml:space="preserve"> trade, meaning that both the exporter and the importer must belong to this group. This regional focus is appropriate because the countries share a common historical legacy but differ markedly in economic scale, geography, and institutional orientation.</w:t>
      </w:r>
    </w:p>
    <w:p w14:paraId="3B4993F2" w14:textId="5FD647B2" w:rsidR="004E22E3" w:rsidRPr="00D868ED" w:rsidRDefault="004E22E3" w:rsidP="00CE5C32">
      <w:pPr>
        <w:bidi w:val="0"/>
        <w:spacing w:after="120" w:line="288" w:lineRule="auto"/>
        <w:jc w:val="both"/>
        <w:rPr>
          <w:rFonts w:asciiTheme="majorBidi" w:hAnsiTheme="majorBidi" w:cstheme="majorBidi"/>
        </w:rPr>
      </w:pPr>
      <w:r w:rsidRPr="00D868ED">
        <w:rPr>
          <w:rFonts w:asciiTheme="majorBidi" w:hAnsiTheme="majorBidi" w:cstheme="majorBidi"/>
        </w:rPr>
        <w:t xml:space="preserve">The empirical analysis covers the period 1994–2020. Beginning the sample shortly after the collapse of the Soviet Union allows the analysis to capture the evolution of trade relationships during the post-transition period rather than the immediate economic dislocation of the early 1990s. </w:t>
      </w:r>
      <w:r w:rsidR="00A836C5" w:rsidRPr="00D868ED">
        <w:rPr>
          <w:rFonts w:asciiTheme="majorBidi" w:hAnsiTheme="majorBidi" w:cstheme="majorBidi"/>
        </w:rPr>
        <w:t xml:space="preserve">The end of the sample coincides with the latest year available in the CEPII dataset used in this study. Because 2020 may partly reflect pandemic-related disruptions, the results are interpreted as long-run conditional associations rather than short-term causal effects. </w:t>
      </w:r>
      <w:r w:rsidRPr="00D868ED">
        <w:rPr>
          <w:rFonts w:asciiTheme="majorBidi" w:hAnsiTheme="majorBidi" w:cstheme="majorBidi"/>
        </w:rPr>
        <w:t>This time window therefore provides a relatively stable environment for examining the role of geography and institutional integration in shaping intra–regional trade patterns.</w:t>
      </w:r>
    </w:p>
    <w:p w14:paraId="36388190" w14:textId="65885C4B" w:rsidR="00074EFE" w:rsidRPr="00D868ED" w:rsidRDefault="00074EFE" w:rsidP="00CE5C32">
      <w:pPr>
        <w:bidi w:val="0"/>
        <w:spacing w:after="120" w:line="288" w:lineRule="auto"/>
        <w:jc w:val="both"/>
        <w:rPr>
          <w:rFonts w:asciiTheme="majorBidi" w:hAnsiTheme="majorBidi" w:cstheme="majorBidi"/>
          <w:b/>
          <w:bCs/>
        </w:rPr>
      </w:pPr>
      <w:r w:rsidRPr="00D868ED">
        <w:rPr>
          <w:rFonts w:asciiTheme="majorBidi" w:hAnsiTheme="majorBidi" w:cstheme="majorBidi"/>
          <w:b/>
          <w:bCs/>
        </w:rPr>
        <w:t>3.</w:t>
      </w:r>
      <w:r w:rsidR="002E3C78" w:rsidRPr="00D868ED">
        <w:rPr>
          <w:rFonts w:asciiTheme="majorBidi" w:hAnsiTheme="majorBidi" w:cstheme="majorBidi"/>
          <w:b/>
          <w:bCs/>
        </w:rPr>
        <w:t>2</w:t>
      </w:r>
      <w:r w:rsidRPr="00D868ED">
        <w:rPr>
          <w:rFonts w:asciiTheme="majorBidi" w:hAnsiTheme="majorBidi" w:cstheme="majorBidi"/>
          <w:b/>
          <w:bCs/>
        </w:rPr>
        <w:t xml:space="preserve"> Variables and definitions</w:t>
      </w:r>
    </w:p>
    <w:p w14:paraId="3FD8DBA1" w14:textId="546F8B8D" w:rsidR="00844A5B" w:rsidRPr="00D868ED" w:rsidRDefault="00844A5B" w:rsidP="00CE5C32">
      <w:pPr>
        <w:bidi w:val="0"/>
        <w:spacing w:after="120" w:line="288" w:lineRule="auto"/>
        <w:jc w:val="both"/>
        <w:rPr>
          <w:rFonts w:asciiTheme="majorBidi" w:hAnsiTheme="majorBidi" w:cstheme="majorBidi"/>
        </w:rPr>
      </w:pPr>
      <w:r w:rsidRPr="00D868ED">
        <w:rPr>
          <w:rFonts w:asciiTheme="majorBidi" w:hAnsiTheme="majorBidi" w:cstheme="majorBidi"/>
        </w:rPr>
        <w:t xml:space="preserve">The dependent variable is bilateral trade between exporter </w:t>
      </w:r>
      <w:r w:rsidRPr="00D868ED">
        <w:rPr>
          <w:rFonts w:asciiTheme="majorBidi" w:hAnsiTheme="majorBidi" w:cstheme="majorBidi"/>
          <w:i/>
          <w:iCs/>
        </w:rPr>
        <w:t>i</w:t>
      </w:r>
      <w:r w:rsidRPr="00D868ED">
        <w:rPr>
          <w:rFonts w:asciiTheme="majorBidi" w:hAnsiTheme="majorBidi" w:cstheme="majorBidi"/>
        </w:rPr>
        <w:t xml:space="preserve"> and importer </w:t>
      </w:r>
      <w:r w:rsidRPr="00D868ED">
        <w:rPr>
          <w:rFonts w:asciiTheme="majorBidi" w:hAnsiTheme="majorBidi" w:cstheme="majorBidi"/>
          <w:i/>
          <w:iCs/>
        </w:rPr>
        <w:t>j</w:t>
      </w:r>
      <w:r w:rsidRPr="00D868ED">
        <w:rPr>
          <w:rFonts w:asciiTheme="majorBidi" w:hAnsiTheme="majorBidi" w:cstheme="majorBidi"/>
        </w:rPr>
        <w:t xml:space="preserve"> in year </w:t>
      </w:r>
      <w:r w:rsidRPr="00D868ED">
        <w:rPr>
          <w:rFonts w:asciiTheme="majorBidi" w:hAnsiTheme="majorBidi" w:cstheme="majorBidi"/>
          <w:i/>
          <w:iCs/>
        </w:rPr>
        <w:t>t</w:t>
      </w:r>
      <w:r w:rsidRPr="00D868ED">
        <w:rPr>
          <w:rFonts w:asciiTheme="majorBidi" w:hAnsiTheme="majorBidi" w:cstheme="majorBidi"/>
        </w:rPr>
        <w:t>. In the raw CEPII data, bilateral trade is available from both the exporter side (</w:t>
      </w:r>
      <w:r w:rsidRPr="00D868ED">
        <w:rPr>
          <w:rFonts w:asciiTheme="majorBidi" w:hAnsiTheme="majorBidi" w:cstheme="majorBidi"/>
          <w:i/>
          <w:iCs/>
        </w:rPr>
        <w:t>tradeflow_comtrade_o</w:t>
      </w:r>
      <w:r w:rsidRPr="00D868ED">
        <w:rPr>
          <w:rFonts w:asciiTheme="majorBidi" w:hAnsiTheme="majorBidi" w:cstheme="majorBidi"/>
        </w:rPr>
        <w:t>) and the importer side (</w:t>
      </w:r>
      <w:r w:rsidRPr="00D868ED">
        <w:rPr>
          <w:rFonts w:asciiTheme="majorBidi" w:hAnsiTheme="majorBidi" w:cstheme="majorBidi"/>
          <w:i/>
          <w:iCs/>
        </w:rPr>
        <w:t>tradeflow_comtrade_d</w:t>
      </w:r>
      <w:r w:rsidRPr="00D868ED">
        <w:rPr>
          <w:rFonts w:asciiTheme="majorBidi" w:hAnsiTheme="majorBidi" w:cstheme="majorBidi"/>
        </w:rPr>
        <w:t xml:space="preserve">). To reduce reporting asymmetries, the final trade variable is constructed as the maximum of these two values. The resulting variable is labeled </w:t>
      </w:r>
      <w:r w:rsidR="00AE5CFF" w:rsidRPr="00D868ED">
        <w:rPr>
          <w:rFonts w:asciiTheme="majorBidi" w:hAnsiTheme="majorBidi" w:cstheme="majorBidi"/>
          <w:i/>
          <w:iCs/>
        </w:rPr>
        <w:t>trade_</w:t>
      </w:r>
      <w:r w:rsidRPr="00D868ED">
        <w:rPr>
          <w:rFonts w:asciiTheme="majorBidi" w:hAnsiTheme="majorBidi" w:cstheme="majorBidi"/>
          <w:i/>
          <w:iCs/>
        </w:rPr>
        <w:t>flow</w:t>
      </w:r>
      <w:r w:rsidRPr="00D868ED">
        <w:rPr>
          <w:rFonts w:asciiTheme="majorBidi" w:hAnsiTheme="majorBidi" w:cstheme="majorBidi"/>
        </w:rPr>
        <w:t xml:space="preserve">. </w:t>
      </w:r>
      <w:r w:rsidR="00982D3F" w:rsidRPr="00982D3F">
        <w:rPr>
          <w:rFonts w:asciiTheme="majorBidi" w:hAnsiTheme="majorBidi" w:cstheme="majorBidi"/>
          <w:highlight w:val="yellow"/>
        </w:rPr>
        <w:t>After this construction, positive trade observations are retained for the log-linear and positive-flow robustness specifications, while zero trade observations are retained in the additional zero-inclusive PPML specifications.</w:t>
      </w:r>
    </w:p>
    <w:p w14:paraId="7D6E9370" w14:textId="4D7550E2" w:rsidR="00844A5B" w:rsidRPr="00D868ED" w:rsidRDefault="00844A5B" w:rsidP="00CE5C32">
      <w:pPr>
        <w:bidi w:val="0"/>
        <w:spacing w:after="120" w:line="288" w:lineRule="auto"/>
        <w:jc w:val="both"/>
        <w:rPr>
          <w:rFonts w:asciiTheme="majorBidi" w:hAnsiTheme="majorBidi" w:cstheme="majorBidi"/>
        </w:rPr>
      </w:pPr>
      <w:r w:rsidRPr="00D868ED">
        <w:rPr>
          <w:rFonts w:asciiTheme="majorBidi" w:hAnsiTheme="majorBidi" w:cstheme="majorBidi"/>
        </w:rPr>
        <w:t xml:space="preserve">The explanatory variables follow the standard gravity tradition and are grouped into economic size, bilateral trade costs, and institutional alignment. Exporter and importer economic size are measured by </w:t>
      </w:r>
      <w:r w:rsidRPr="00D868ED">
        <w:rPr>
          <w:rFonts w:asciiTheme="majorBidi" w:hAnsiTheme="majorBidi" w:cstheme="majorBidi"/>
          <w:i/>
          <w:iCs/>
        </w:rPr>
        <w:t>gdp_o</w:t>
      </w:r>
      <w:r w:rsidRPr="00D868ED">
        <w:rPr>
          <w:rFonts w:asciiTheme="majorBidi" w:hAnsiTheme="majorBidi" w:cstheme="majorBidi"/>
        </w:rPr>
        <w:t xml:space="preserve"> and </w:t>
      </w:r>
      <w:r w:rsidRPr="00D868ED">
        <w:rPr>
          <w:rFonts w:asciiTheme="majorBidi" w:hAnsiTheme="majorBidi" w:cstheme="majorBidi"/>
          <w:i/>
          <w:iCs/>
        </w:rPr>
        <w:t>gdp_d</w:t>
      </w:r>
      <w:r w:rsidRPr="00D868ED">
        <w:rPr>
          <w:rFonts w:asciiTheme="majorBidi" w:hAnsiTheme="majorBidi" w:cstheme="majorBidi"/>
        </w:rPr>
        <w:t xml:space="preserve">, both expressed in current US dollars. Bilateral trade costs are captured by weighted bilateral distance, </w:t>
      </w:r>
      <w:r w:rsidRPr="00D868ED">
        <w:rPr>
          <w:rFonts w:asciiTheme="majorBidi" w:hAnsiTheme="majorBidi" w:cstheme="majorBidi"/>
          <w:i/>
          <w:iCs/>
        </w:rPr>
        <w:t>distw</w:t>
      </w:r>
      <w:r w:rsidRPr="00D868ED">
        <w:rPr>
          <w:rFonts w:asciiTheme="majorBidi" w:hAnsiTheme="majorBidi" w:cstheme="majorBidi"/>
        </w:rPr>
        <w:t xml:space="preserve">, constructed from CEPII’s </w:t>
      </w:r>
      <w:r w:rsidRPr="00D868ED">
        <w:rPr>
          <w:rFonts w:asciiTheme="majorBidi" w:hAnsiTheme="majorBidi" w:cstheme="majorBidi"/>
          <w:i/>
          <w:iCs/>
        </w:rPr>
        <w:t>distw_harmonic</w:t>
      </w:r>
      <w:r w:rsidRPr="00D868ED">
        <w:rPr>
          <w:rFonts w:asciiTheme="majorBidi" w:hAnsiTheme="majorBidi" w:cstheme="majorBidi"/>
        </w:rPr>
        <w:t xml:space="preserve"> measure, together with </w:t>
      </w:r>
      <w:r w:rsidRPr="00D868ED">
        <w:rPr>
          <w:rFonts w:asciiTheme="majorBidi" w:hAnsiTheme="majorBidi" w:cstheme="majorBidi"/>
          <w:i/>
          <w:iCs/>
        </w:rPr>
        <w:t>contig</w:t>
      </w:r>
      <w:r w:rsidRPr="00D868ED">
        <w:rPr>
          <w:rFonts w:asciiTheme="majorBidi" w:hAnsiTheme="majorBidi" w:cstheme="majorBidi"/>
        </w:rPr>
        <w:t xml:space="preserve">, a dummy equal to one if the two countries share a land border, and </w:t>
      </w:r>
      <w:r w:rsidRPr="00D868ED">
        <w:rPr>
          <w:rFonts w:asciiTheme="majorBidi" w:hAnsiTheme="majorBidi" w:cstheme="majorBidi"/>
          <w:i/>
          <w:iCs/>
        </w:rPr>
        <w:t>comlang_off</w:t>
      </w:r>
      <w:r w:rsidRPr="00D868ED">
        <w:rPr>
          <w:rFonts w:asciiTheme="majorBidi" w:hAnsiTheme="majorBidi" w:cstheme="majorBidi"/>
        </w:rPr>
        <w:t xml:space="preserve">, a dummy equal to one if they share an official language. </w:t>
      </w:r>
    </w:p>
    <w:p w14:paraId="161B3BBB" w14:textId="6CE4E1C9" w:rsidR="00844A5B" w:rsidRPr="00D868ED" w:rsidRDefault="00844A5B" w:rsidP="00CE5C32">
      <w:pPr>
        <w:bidi w:val="0"/>
        <w:spacing w:after="120" w:line="288" w:lineRule="auto"/>
        <w:jc w:val="both"/>
        <w:rPr>
          <w:rFonts w:asciiTheme="majorBidi" w:hAnsiTheme="majorBidi" w:cstheme="majorBidi"/>
        </w:rPr>
      </w:pPr>
      <w:r w:rsidRPr="00D868ED">
        <w:rPr>
          <w:rFonts w:asciiTheme="majorBidi" w:hAnsiTheme="majorBidi" w:cstheme="majorBidi"/>
        </w:rPr>
        <w:t xml:space="preserve">The institutional variables are constructed at the pair year level. </w:t>
      </w:r>
      <w:r w:rsidRPr="00D868ED">
        <w:rPr>
          <w:rFonts w:asciiTheme="majorBidi" w:hAnsiTheme="majorBidi" w:cstheme="majorBidi"/>
          <w:i/>
          <w:iCs/>
        </w:rPr>
        <w:t>wto_joint</w:t>
      </w:r>
      <w:r w:rsidRPr="00D868ED">
        <w:rPr>
          <w:rFonts w:asciiTheme="majorBidi" w:hAnsiTheme="majorBidi" w:cstheme="majorBidi"/>
        </w:rPr>
        <w:t xml:space="preserve"> equals one when both trading partners are WTO members in a given year. </w:t>
      </w:r>
      <w:r w:rsidRPr="00D868ED">
        <w:rPr>
          <w:rFonts w:asciiTheme="majorBidi" w:hAnsiTheme="majorBidi" w:cstheme="majorBidi"/>
          <w:i/>
          <w:iCs/>
        </w:rPr>
        <w:t>EU_joint</w:t>
      </w:r>
      <w:r w:rsidRPr="00D868ED">
        <w:rPr>
          <w:rFonts w:asciiTheme="majorBidi" w:hAnsiTheme="majorBidi" w:cstheme="majorBidi"/>
        </w:rPr>
        <w:t xml:space="preserve"> equals one when both countries are members of the European Union in year t. Since only Estonia, Latvia, and Lithuania belong to the EU in the sample, this variable becomes active only for Baltic pairs from 2004 onward. The script also constructs </w:t>
      </w:r>
      <w:r w:rsidRPr="00D868ED">
        <w:rPr>
          <w:rFonts w:asciiTheme="majorBidi" w:hAnsiTheme="majorBidi" w:cstheme="majorBidi"/>
          <w:i/>
          <w:iCs/>
        </w:rPr>
        <w:t>EAEU_joint</w:t>
      </w:r>
      <w:r w:rsidRPr="00D868ED">
        <w:rPr>
          <w:rFonts w:asciiTheme="majorBidi" w:hAnsiTheme="majorBidi" w:cstheme="majorBidi"/>
        </w:rPr>
        <w:t>, which equals one when both partners belong to the Eurasian Economic Union in a given year</w:t>
      </w:r>
      <w:r w:rsidR="002956B9" w:rsidRPr="00D868ED">
        <w:rPr>
          <w:rFonts w:asciiTheme="majorBidi" w:hAnsiTheme="majorBidi" w:cstheme="majorBidi"/>
        </w:rPr>
        <w:t xml:space="preserve">. </w:t>
      </w:r>
      <w:r w:rsidRPr="00D868ED">
        <w:rPr>
          <w:rFonts w:asciiTheme="majorBidi" w:hAnsiTheme="majorBidi" w:cstheme="majorBidi"/>
        </w:rPr>
        <w:t xml:space="preserve">Armenia, Belarus, Kazakhstan, Kyrgyzstan, and Russia are treated as EAEU members from 2015 onward. </w:t>
      </w:r>
      <w:r w:rsidR="00ED5D1D" w:rsidRPr="00D868ED">
        <w:rPr>
          <w:rFonts w:asciiTheme="majorBidi" w:hAnsiTheme="majorBidi" w:cstheme="majorBidi"/>
        </w:rPr>
        <w:fldChar w:fldCharType="begin"/>
      </w:r>
      <w:r w:rsidR="00ED5D1D" w:rsidRPr="00D868ED">
        <w:rPr>
          <w:rFonts w:asciiTheme="majorBidi" w:hAnsiTheme="majorBidi" w:cstheme="majorBidi"/>
        </w:rPr>
        <w:instrText xml:space="preserve"> REF _Ref224730021 \h  \* MERGEFORMAT </w:instrText>
      </w:r>
      <w:r w:rsidR="00ED5D1D" w:rsidRPr="00D868ED">
        <w:rPr>
          <w:rFonts w:asciiTheme="majorBidi" w:hAnsiTheme="majorBidi" w:cstheme="majorBidi"/>
        </w:rPr>
      </w:r>
      <w:r w:rsidR="00ED5D1D" w:rsidRPr="00D868ED">
        <w:rPr>
          <w:rFonts w:asciiTheme="majorBidi" w:hAnsiTheme="majorBidi" w:cstheme="majorBidi"/>
        </w:rPr>
        <w:fldChar w:fldCharType="separate"/>
      </w:r>
      <w:r w:rsidR="00EC28FA" w:rsidRPr="00D868ED">
        <w:rPr>
          <w:rFonts w:asciiTheme="majorBidi" w:hAnsiTheme="majorBidi" w:cstheme="majorBidi"/>
        </w:rPr>
        <w:t xml:space="preserve">Table </w:t>
      </w:r>
      <w:r w:rsidR="00EC28FA" w:rsidRPr="00D868ED">
        <w:rPr>
          <w:rFonts w:asciiTheme="majorBidi" w:hAnsiTheme="majorBidi" w:cstheme="majorBidi"/>
          <w:noProof/>
        </w:rPr>
        <w:t>1</w:t>
      </w:r>
      <w:r w:rsidR="00ED5D1D" w:rsidRPr="00D868ED">
        <w:rPr>
          <w:rFonts w:asciiTheme="majorBidi" w:hAnsiTheme="majorBidi" w:cstheme="majorBidi"/>
        </w:rPr>
        <w:fldChar w:fldCharType="end"/>
      </w:r>
      <w:r w:rsidR="00ED5D1D" w:rsidRPr="00D868ED">
        <w:rPr>
          <w:rFonts w:asciiTheme="majorBidi" w:hAnsiTheme="majorBidi" w:cstheme="majorBidi"/>
        </w:rPr>
        <w:t xml:space="preserve"> s</w:t>
      </w:r>
      <w:r w:rsidR="00683F07" w:rsidRPr="00D868ED">
        <w:rPr>
          <w:rFonts w:asciiTheme="majorBidi" w:hAnsiTheme="majorBidi" w:cstheme="majorBidi"/>
        </w:rPr>
        <w:t>ummarizes the variable definitions.</w:t>
      </w:r>
    </w:p>
    <w:p w14:paraId="021CB57D" w14:textId="7BDEBDEA" w:rsidR="00844A5B" w:rsidRPr="00D868ED" w:rsidRDefault="007554FB" w:rsidP="00CE5C32">
      <w:pPr>
        <w:pStyle w:val="Caption"/>
        <w:bidi w:val="0"/>
        <w:rPr>
          <w:rFonts w:asciiTheme="majorBidi" w:hAnsiTheme="majorBidi" w:cstheme="majorBidi"/>
          <w:i w:val="0"/>
          <w:iCs w:val="0"/>
          <w:color w:val="auto"/>
          <w:sz w:val="24"/>
          <w:szCs w:val="24"/>
        </w:rPr>
      </w:pPr>
      <w:bookmarkStart w:id="5" w:name="_Ref224730021"/>
      <w:bookmarkStart w:id="6" w:name="X250aace4b39945a96d97e413def2d62487f39b1"/>
      <w:r w:rsidRPr="00D868ED">
        <w:rPr>
          <w:rFonts w:asciiTheme="majorBidi" w:hAnsiTheme="majorBidi" w:cstheme="majorBidi"/>
          <w:i w:val="0"/>
          <w:iCs w:val="0"/>
          <w:color w:val="auto"/>
          <w:sz w:val="24"/>
          <w:szCs w:val="24"/>
        </w:rPr>
        <w:t xml:space="preserve">Table </w:t>
      </w:r>
      <w:r w:rsidRPr="00D868ED">
        <w:rPr>
          <w:rFonts w:asciiTheme="majorBidi" w:hAnsiTheme="majorBidi" w:cstheme="majorBidi"/>
          <w:i w:val="0"/>
          <w:iCs w:val="0"/>
          <w:color w:val="auto"/>
          <w:sz w:val="24"/>
          <w:szCs w:val="24"/>
        </w:rPr>
        <w:fldChar w:fldCharType="begin"/>
      </w:r>
      <w:r w:rsidRPr="00D868ED">
        <w:rPr>
          <w:rFonts w:asciiTheme="majorBidi" w:hAnsiTheme="majorBidi" w:cstheme="majorBidi"/>
          <w:i w:val="0"/>
          <w:iCs w:val="0"/>
          <w:color w:val="auto"/>
          <w:sz w:val="24"/>
          <w:szCs w:val="24"/>
        </w:rPr>
        <w:instrText xml:space="preserve"> SEQ Table \* ARABIC </w:instrText>
      </w:r>
      <w:r w:rsidRPr="00D868ED">
        <w:rPr>
          <w:rFonts w:asciiTheme="majorBidi" w:hAnsiTheme="majorBidi" w:cstheme="majorBidi"/>
          <w:i w:val="0"/>
          <w:iCs w:val="0"/>
          <w:color w:val="auto"/>
          <w:sz w:val="24"/>
          <w:szCs w:val="24"/>
        </w:rPr>
        <w:fldChar w:fldCharType="separate"/>
      </w:r>
      <w:r w:rsidR="00EC28FA" w:rsidRPr="00D868ED">
        <w:rPr>
          <w:rFonts w:asciiTheme="majorBidi" w:hAnsiTheme="majorBidi" w:cstheme="majorBidi"/>
          <w:i w:val="0"/>
          <w:iCs w:val="0"/>
          <w:noProof/>
          <w:color w:val="auto"/>
          <w:sz w:val="24"/>
          <w:szCs w:val="24"/>
        </w:rPr>
        <w:t>1</w:t>
      </w:r>
      <w:r w:rsidRPr="00D868ED">
        <w:rPr>
          <w:rFonts w:asciiTheme="majorBidi" w:hAnsiTheme="majorBidi" w:cstheme="majorBidi"/>
          <w:i w:val="0"/>
          <w:iCs w:val="0"/>
          <w:color w:val="auto"/>
          <w:sz w:val="24"/>
          <w:szCs w:val="24"/>
        </w:rPr>
        <w:fldChar w:fldCharType="end"/>
      </w:r>
      <w:bookmarkEnd w:id="5"/>
      <w:r w:rsidR="00844A5B" w:rsidRPr="00D868ED">
        <w:rPr>
          <w:rFonts w:asciiTheme="majorBidi" w:hAnsiTheme="majorBidi" w:cstheme="majorBidi"/>
          <w:i w:val="0"/>
          <w:iCs w:val="0"/>
          <w:color w:val="auto"/>
          <w:sz w:val="24"/>
          <w:szCs w:val="24"/>
        </w:rPr>
        <w:t>. Variable definitions and expected signs</w:t>
      </w:r>
    </w:p>
    <w:tbl>
      <w:tblPr>
        <w:tblW w:w="0" w:type="auto"/>
        <w:jc w:val="center"/>
        <w:tblLook w:val="0020" w:firstRow="1" w:lastRow="0" w:firstColumn="0" w:lastColumn="0" w:noHBand="0" w:noVBand="0"/>
      </w:tblPr>
      <w:tblGrid>
        <w:gridCol w:w="1416"/>
        <w:gridCol w:w="2809"/>
        <w:gridCol w:w="3396"/>
        <w:gridCol w:w="1395"/>
      </w:tblGrid>
      <w:tr w:rsidR="00C921E2" w:rsidRPr="00D868ED" w14:paraId="1124EDA0" w14:textId="77777777" w:rsidTr="002B6D4D">
        <w:trPr>
          <w:tblHeader/>
          <w:jc w:val="center"/>
        </w:trPr>
        <w:tc>
          <w:tcPr>
            <w:tcW w:w="0" w:type="auto"/>
            <w:tcBorders>
              <w:top w:val="single" w:sz="4" w:space="0" w:color="auto"/>
              <w:left w:val="single" w:sz="4" w:space="0" w:color="auto"/>
              <w:right w:val="single" w:sz="4" w:space="0" w:color="auto"/>
            </w:tcBorders>
            <w:hideMark/>
          </w:tcPr>
          <w:p w14:paraId="226B34FC" w14:textId="77777777" w:rsidR="00844A5B" w:rsidRPr="00D868ED" w:rsidRDefault="00844A5B" w:rsidP="00CE5C32">
            <w:pPr>
              <w:bidi w:val="0"/>
              <w:spacing w:after="0" w:line="240" w:lineRule="auto"/>
              <w:jc w:val="both"/>
              <w:rPr>
                <w:rFonts w:asciiTheme="majorBidi" w:hAnsiTheme="majorBidi" w:cstheme="majorBidi"/>
                <w:b/>
                <w:bCs/>
              </w:rPr>
            </w:pPr>
            <w:r w:rsidRPr="00D868ED">
              <w:rPr>
                <w:rFonts w:asciiTheme="majorBidi" w:hAnsiTheme="majorBidi" w:cstheme="majorBidi"/>
                <w:b/>
                <w:bCs/>
              </w:rPr>
              <w:t>Variable</w:t>
            </w:r>
          </w:p>
        </w:tc>
        <w:tc>
          <w:tcPr>
            <w:tcW w:w="2809" w:type="dxa"/>
            <w:tcBorders>
              <w:top w:val="single" w:sz="4" w:space="0" w:color="auto"/>
              <w:left w:val="single" w:sz="4" w:space="0" w:color="auto"/>
              <w:right w:val="single" w:sz="4" w:space="0" w:color="auto"/>
            </w:tcBorders>
            <w:hideMark/>
          </w:tcPr>
          <w:p w14:paraId="05DC6059" w14:textId="77777777" w:rsidR="00844A5B" w:rsidRPr="00D868ED" w:rsidRDefault="00844A5B" w:rsidP="00CE5C32">
            <w:pPr>
              <w:bidi w:val="0"/>
              <w:spacing w:after="0" w:line="240" w:lineRule="auto"/>
              <w:jc w:val="both"/>
              <w:rPr>
                <w:rFonts w:asciiTheme="majorBidi" w:hAnsiTheme="majorBidi" w:cstheme="majorBidi"/>
                <w:b/>
                <w:bCs/>
              </w:rPr>
            </w:pPr>
            <w:r w:rsidRPr="00D868ED">
              <w:rPr>
                <w:rFonts w:asciiTheme="majorBidi" w:hAnsiTheme="majorBidi" w:cstheme="majorBidi"/>
                <w:b/>
                <w:bCs/>
              </w:rPr>
              <w:t>Definition</w:t>
            </w:r>
          </w:p>
        </w:tc>
        <w:tc>
          <w:tcPr>
            <w:tcW w:w="3396" w:type="dxa"/>
            <w:tcBorders>
              <w:top w:val="single" w:sz="4" w:space="0" w:color="auto"/>
              <w:left w:val="single" w:sz="4" w:space="0" w:color="auto"/>
              <w:right w:val="single" w:sz="4" w:space="0" w:color="auto"/>
            </w:tcBorders>
            <w:hideMark/>
          </w:tcPr>
          <w:p w14:paraId="7268F4AB" w14:textId="5F03DA0D" w:rsidR="00844A5B" w:rsidRPr="00D868ED" w:rsidRDefault="00844A5B" w:rsidP="00CE5C32">
            <w:pPr>
              <w:bidi w:val="0"/>
              <w:spacing w:after="0" w:line="240" w:lineRule="auto"/>
              <w:jc w:val="both"/>
              <w:rPr>
                <w:rFonts w:asciiTheme="majorBidi" w:hAnsiTheme="majorBidi" w:cstheme="majorBidi"/>
                <w:b/>
                <w:bCs/>
              </w:rPr>
            </w:pPr>
            <w:r w:rsidRPr="00D868ED">
              <w:rPr>
                <w:rFonts w:asciiTheme="majorBidi" w:hAnsiTheme="majorBidi" w:cstheme="majorBidi"/>
                <w:b/>
                <w:bCs/>
              </w:rPr>
              <w:t xml:space="preserve">Construction </w:t>
            </w:r>
          </w:p>
        </w:tc>
        <w:tc>
          <w:tcPr>
            <w:tcW w:w="0" w:type="auto"/>
            <w:tcBorders>
              <w:top w:val="single" w:sz="4" w:space="0" w:color="auto"/>
              <w:left w:val="single" w:sz="4" w:space="0" w:color="auto"/>
              <w:right w:val="single" w:sz="4" w:space="0" w:color="auto"/>
            </w:tcBorders>
            <w:hideMark/>
          </w:tcPr>
          <w:p w14:paraId="3F7F491F" w14:textId="77777777" w:rsidR="00844A5B" w:rsidRPr="00D868ED" w:rsidRDefault="00844A5B" w:rsidP="00CE5C32">
            <w:pPr>
              <w:bidi w:val="0"/>
              <w:spacing w:after="0" w:line="240" w:lineRule="auto"/>
              <w:jc w:val="both"/>
              <w:rPr>
                <w:rFonts w:asciiTheme="majorBidi" w:hAnsiTheme="majorBidi" w:cstheme="majorBidi"/>
                <w:b/>
                <w:bCs/>
              </w:rPr>
            </w:pPr>
            <w:r w:rsidRPr="00D868ED">
              <w:rPr>
                <w:rFonts w:asciiTheme="majorBidi" w:hAnsiTheme="majorBidi" w:cstheme="majorBidi"/>
                <w:b/>
                <w:bCs/>
              </w:rPr>
              <w:t>Expected sign</w:t>
            </w:r>
          </w:p>
        </w:tc>
      </w:tr>
      <w:tr w:rsidR="00C921E2" w:rsidRPr="00D868ED" w14:paraId="77797124" w14:textId="77777777" w:rsidTr="002B6D4D">
        <w:trPr>
          <w:jc w:val="center"/>
        </w:trPr>
        <w:tc>
          <w:tcPr>
            <w:tcW w:w="0" w:type="auto"/>
            <w:tcBorders>
              <w:top w:val="single" w:sz="4" w:space="0" w:color="auto"/>
              <w:left w:val="single" w:sz="4" w:space="0" w:color="auto"/>
              <w:bottom w:val="single" w:sz="4" w:space="0" w:color="auto"/>
              <w:right w:val="single" w:sz="4" w:space="0" w:color="auto"/>
            </w:tcBorders>
            <w:hideMark/>
          </w:tcPr>
          <w:p w14:paraId="50BCD1EA"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flow</w:t>
            </w:r>
          </w:p>
        </w:tc>
        <w:tc>
          <w:tcPr>
            <w:tcW w:w="2809" w:type="dxa"/>
            <w:tcBorders>
              <w:top w:val="single" w:sz="4" w:space="0" w:color="auto"/>
              <w:left w:val="single" w:sz="4" w:space="0" w:color="auto"/>
              <w:bottom w:val="single" w:sz="4" w:space="0" w:color="auto"/>
              <w:right w:val="single" w:sz="4" w:space="0" w:color="auto"/>
            </w:tcBorders>
            <w:hideMark/>
          </w:tcPr>
          <w:p w14:paraId="76CDE016"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Bilateral trade flow in current US dollars</w:t>
            </w:r>
          </w:p>
        </w:tc>
        <w:tc>
          <w:tcPr>
            <w:tcW w:w="3396" w:type="dxa"/>
            <w:tcBorders>
              <w:top w:val="single" w:sz="4" w:space="0" w:color="auto"/>
              <w:left w:val="single" w:sz="4" w:space="0" w:color="auto"/>
              <w:bottom w:val="single" w:sz="4" w:space="0" w:color="auto"/>
              <w:right w:val="single" w:sz="4" w:space="0" w:color="auto"/>
            </w:tcBorders>
            <w:hideMark/>
          </w:tcPr>
          <w:p w14:paraId="531AA347" w14:textId="3F3567A8" w:rsidR="00844A5B" w:rsidRPr="00D868ED" w:rsidRDefault="00CD7099" w:rsidP="00CE5C32">
            <w:pPr>
              <w:bidi w:val="0"/>
              <w:spacing w:after="0" w:line="240" w:lineRule="auto"/>
              <w:jc w:val="both"/>
              <w:rPr>
                <w:rFonts w:asciiTheme="majorBidi" w:hAnsiTheme="majorBidi" w:cstheme="majorBidi"/>
              </w:rPr>
            </w:pPr>
            <w:r w:rsidRPr="00D868ED">
              <w:rPr>
                <w:rFonts w:asciiTheme="majorBidi" w:hAnsiTheme="majorBidi" w:cstheme="majorBidi"/>
              </w:rPr>
              <w:t>M</w:t>
            </w:r>
            <w:r w:rsidR="00844A5B" w:rsidRPr="00D868ED">
              <w:rPr>
                <w:rFonts w:asciiTheme="majorBidi" w:hAnsiTheme="majorBidi" w:cstheme="majorBidi"/>
              </w:rPr>
              <w:t>ax</w:t>
            </w:r>
            <w:r w:rsidRPr="00D868ED">
              <w:rPr>
                <w:rFonts w:asciiTheme="majorBidi" w:hAnsiTheme="majorBidi" w:cstheme="majorBidi"/>
              </w:rPr>
              <w:t xml:space="preserve"> </w:t>
            </w:r>
            <w:r w:rsidR="00844A5B" w:rsidRPr="00D868ED">
              <w:rPr>
                <w:rFonts w:asciiTheme="majorBidi" w:hAnsiTheme="majorBidi" w:cstheme="majorBidi"/>
              </w:rPr>
              <w:t>(</w:t>
            </w:r>
            <w:r w:rsidR="00844A5B" w:rsidRPr="00D868ED">
              <w:rPr>
                <w:rFonts w:asciiTheme="majorBidi" w:hAnsiTheme="majorBidi" w:cstheme="majorBidi"/>
                <w:i/>
                <w:iCs/>
              </w:rPr>
              <w:t>tradeflow_comtrade_o</w:t>
            </w:r>
            <w:r w:rsidR="00844A5B" w:rsidRPr="00D868ED">
              <w:rPr>
                <w:rFonts w:asciiTheme="majorBidi" w:hAnsiTheme="majorBidi" w:cstheme="majorBidi"/>
              </w:rPr>
              <w:t xml:space="preserve">, </w:t>
            </w:r>
            <w:r w:rsidR="00844A5B" w:rsidRPr="00D868ED">
              <w:rPr>
                <w:rFonts w:asciiTheme="majorBidi" w:hAnsiTheme="majorBidi" w:cstheme="majorBidi"/>
                <w:i/>
                <w:iCs/>
              </w:rPr>
              <w:t>tradeflow_comtrade_d</w:t>
            </w:r>
            <w:r w:rsidR="00844A5B" w:rsidRPr="00D868ED">
              <w:rPr>
                <w:rFonts w:asciiTheme="majorBidi" w:hAnsiTheme="majorBidi" w:cstheme="majorBidi"/>
              </w:rPr>
              <w:t>)</w:t>
            </w:r>
          </w:p>
        </w:tc>
        <w:tc>
          <w:tcPr>
            <w:tcW w:w="0" w:type="auto"/>
            <w:tcBorders>
              <w:top w:val="single" w:sz="4" w:space="0" w:color="auto"/>
              <w:left w:val="single" w:sz="4" w:space="0" w:color="auto"/>
              <w:bottom w:val="single" w:sz="4" w:space="0" w:color="auto"/>
              <w:right w:val="single" w:sz="4" w:space="0" w:color="auto"/>
            </w:tcBorders>
            <w:hideMark/>
          </w:tcPr>
          <w:p w14:paraId="3FF6BB3A"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Dependent</w:t>
            </w:r>
          </w:p>
        </w:tc>
      </w:tr>
      <w:tr w:rsidR="00C921E2" w:rsidRPr="00D868ED" w14:paraId="2046A9F0" w14:textId="77777777" w:rsidTr="002B6D4D">
        <w:trPr>
          <w:jc w:val="center"/>
        </w:trPr>
        <w:tc>
          <w:tcPr>
            <w:tcW w:w="0" w:type="auto"/>
            <w:tcBorders>
              <w:top w:val="single" w:sz="4" w:space="0" w:color="auto"/>
              <w:left w:val="single" w:sz="4" w:space="0" w:color="auto"/>
              <w:bottom w:val="single" w:sz="4" w:space="0" w:color="auto"/>
              <w:right w:val="single" w:sz="4" w:space="0" w:color="auto"/>
            </w:tcBorders>
            <w:hideMark/>
          </w:tcPr>
          <w:p w14:paraId="08F66074" w14:textId="77777777" w:rsidR="00844A5B" w:rsidRPr="00D868ED" w:rsidRDefault="00844A5B" w:rsidP="00CE5C32">
            <w:pPr>
              <w:bidi w:val="0"/>
              <w:spacing w:after="0" w:line="240" w:lineRule="auto"/>
              <w:jc w:val="both"/>
              <w:rPr>
                <w:rFonts w:asciiTheme="majorBidi" w:hAnsiTheme="majorBidi" w:cstheme="majorBidi"/>
                <w:i/>
                <w:iCs/>
              </w:rPr>
            </w:pPr>
            <w:r w:rsidRPr="00D868ED">
              <w:rPr>
                <w:rFonts w:asciiTheme="majorBidi" w:hAnsiTheme="majorBidi" w:cstheme="majorBidi"/>
                <w:i/>
                <w:iCs/>
              </w:rPr>
              <w:t>gdp_o</w:t>
            </w:r>
          </w:p>
        </w:tc>
        <w:tc>
          <w:tcPr>
            <w:tcW w:w="2809" w:type="dxa"/>
            <w:tcBorders>
              <w:top w:val="single" w:sz="4" w:space="0" w:color="auto"/>
              <w:left w:val="single" w:sz="4" w:space="0" w:color="auto"/>
              <w:bottom w:val="single" w:sz="4" w:space="0" w:color="auto"/>
              <w:right w:val="single" w:sz="4" w:space="0" w:color="auto"/>
            </w:tcBorders>
            <w:hideMark/>
          </w:tcPr>
          <w:p w14:paraId="6EDEE4AE"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Exporter GDP</w:t>
            </w:r>
          </w:p>
        </w:tc>
        <w:tc>
          <w:tcPr>
            <w:tcW w:w="3396" w:type="dxa"/>
            <w:tcBorders>
              <w:top w:val="single" w:sz="4" w:space="0" w:color="auto"/>
              <w:left w:val="single" w:sz="4" w:space="0" w:color="auto"/>
              <w:bottom w:val="single" w:sz="4" w:space="0" w:color="auto"/>
              <w:right w:val="single" w:sz="4" w:space="0" w:color="auto"/>
            </w:tcBorders>
            <w:hideMark/>
          </w:tcPr>
          <w:p w14:paraId="77F7DD4B"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CEPII</w:t>
            </w:r>
          </w:p>
        </w:tc>
        <w:tc>
          <w:tcPr>
            <w:tcW w:w="0" w:type="auto"/>
            <w:tcBorders>
              <w:top w:val="single" w:sz="4" w:space="0" w:color="auto"/>
              <w:left w:val="single" w:sz="4" w:space="0" w:color="auto"/>
              <w:bottom w:val="single" w:sz="4" w:space="0" w:color="auto"/>
              <w:right w:val="single" w:sz="4" w:space="0" w:color="auto"/>
            </w:tcBorders>
            <w:hideMark/>
          </w:tcPr>
          <w:p w14:paraId="7AF190A3"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w:t>
            </w:r>
          </w:p>
        </w:tc>
      </w:tr>
      <w:tr w:rsidR="00C921E2" w:rsidRPr="00D868ED" w14:paraId="1A72C8C3" w14:textId="77777777" w:rsidTr="002B6D4D">
        <w:trPr>
          <w:jc w:val="center"/>
        </w:trPr>
        <w:tc>
          <w:tcPr>
            <w:tcW w:w="0" w:type="auto"/>
            <w:tcBorders>
              <w:top w:val="single" w:sz="4" w:space="0" w:color="auto"/>
              <w:left w:val="single" w:sz="4" w:space="0" w:color="auto"/>
              <w:bottom w:val="single" w:sz="4" w:space="0" w:color="auto"/>
              <w:right w:val="single" w:sz="4" w:space="0" w:color="auto"/>
            </w:tcBorders>
            <w:hideMark/>
          </w:tcPr>
          <w:p w14:paraId="51F2253E" w14:textId="77777777" w:rsidR="00844A5B" w:rsidRPr="00D868ED" w:rsidRDefault="00844A5B" w:rsidP="00CE5C32">
            <w:pPr>
              <w:bidi w:val="0"/>
              <w:spacing w:after="0" w:line="240" w:lineRule="auto"/>
              <w:jc w:val="both"/>
              <w:rPr>
                <w:rFonts w:asciiTheme="majorBidi" w:hAnsiTheme="majorBidi" w:cstheme="majorBidi"/>
                <w:i/>
                <w:iCs/>
              </w:rPr>
            </w:pPr>
            <w:r w:rsidRPr="00D868ED">
              <w:rPr>
                <w:rFonts w:asciiTheme="majorBidi" w:hAnsiTheme="majorBidi" w:cstheme="majorBidi"/>
                <w:i/>
                <w:iCs/>
              </w:rPr>
              <w:t>gdp_d</w:t>
            </w:r>
          </w:p>
        </w:tc>
        <w:tc>
          <w:tcPr>
            <w:tcW w:w="2809" w:type="dxa"/>
            <w:tcBorders>
              <w:top w:val="single" w:sz="4" w:space="0" w:color="auto"/>
              <w:left w:val="single" w:sz="4" w:space="0" w:color="auto"/>
              <w:bottom w:val="single" w:sz="4" w:space="0" w:color="auto"/>
              <w:right w:val="single" w:sz="4" w:space="0" w:color="auto"/>
            </w:tcBorders>
            <w:hideMark/>
          </w:tcPr>
          <w:p w14:paraId="518B992F"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Importer GDP</w:t>
            </w:r>
          </w:p>
        </w:tc>
        <w:tc>
          <w:tcPr>
            <w:tcW w:w="3396" w:type="dxa"/>
            <w:tcBorders>
              <w:top w:val="single" w:sz="4" w:space="0" w:color="auto"/>
              <w:left w:val="single" w:sz="4" w:space="0" w:color="auto"/>
              <w:bottom w:val="single" w:sz="4" w:space="0" w:color="auto"/>
              <w:right w:val="single" w:sz="4" w:space="0" w:color="auto"/>
            </w:tcBorders>
            <w:hideMark/>
          </w:tcPr>
          <w:p w14:paraId="73807BDC"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CEPII</w:t>
            </w:r>
          </w:p>
        </w:tc>
        <w:tc>
          <w:tcPr>
            <w:tcW w:w="0" w:type="auto"/>
            <w:tcBorders>
              <w:top w:val="single" w:sz="4" w:space="0" w:color="auto"/>
              <w:left w:val="single" w:sz="4" w:space="0" w:color="auto"/>
              <w:bottom w:val="single" w:sz="4" w:space="0" w:color="auto"/>
              <w:right w:val="single" w:sz="4" w:space="0" w:color="auto"/>
            </w:tcBorders>
            <w:hideMark/>
          </w:tcPr>
          <w:p w14:paraId="231C9452"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w:t>
            </w:r>
          </w:p>
        </w:tc>
      </w:tr>
      <w:tr w:rsidR="00C921E2" w:rsidRPr="00D868ED" w14:paraId="07B0F39B" w14:textId="77777777" w:rsidTr="002B6D4D">
        <w:trPr>
          <w:jc w:val="center"/>
        </w:trPr>
        <w:tc>
          <w:tcPr>
            <w:tcW w:w="0" w:type="auto"/>
            <w:tcBorders>
              <w:top w:val="single" w:sz="4" w:space="0" w:color="auto"/>
              <w:left w:val="single" w:sz="4" w:space="0" w:color="auto"/>
              <w:bottom w:val="single" w:sz="4" w:space="0" w:color="auto"/>
              <w:right w:val="single" w:sz="4" w:space="0" w:color="auto"/>
            </w:tcBorders>
            <w:hideMark/>
          </w:tcPr>
          <w:p w14:paraId="408C9271" w14:textId="77777777" w:rsidR="00844A5B" w:rsidRPr="00D868ED" w:rsidRDefault="00844A5B" w:rsidP="00CE5C32">
            <w:pPr>
              <w:bidi w:val="0"/>
              <w:spacing w:after="0" w:line="240" w:lineRule="auto"/>
              <w:jc w:val="both"/>
              <w:rPr>
                <w:rFonts w:asciiTheme="majorBidi" w:hAnsiTheme="majorBidi" w:cstheme="majorBidi"/>
                <w:i/>
                <w:iCs/>
              </w:rPr>
            </w:pPr>
            <w:r w:rsidRPr="00D868ED">
              <w:rPr>
                <w:rFonts w:asciiTheme="majorBidi" w:hAnsiTheme="majorBidi" w:cstheme="majorBidi"/>
                <w:i/>
                <w:iCs/>
              </w:rPr>
              <w:t>distw</w:t>
            </w:r>
          </w:p>
        </w:tc>
        <w:tc>
          <w:tcPr>
            <w:tcW w:w="2809" w:type="dxa"/>
            <w:tcBorders>
              <w:top w:val="single" w:sz="4" w:space="0" w:color="auto"/>
              <w:left w:val="single" w:sz="4" w:space="0" w:color="auto"/>
              <w:bottom w:val="single" w:sz="4" w:space="0" w:color="auto"/>
              <w:right w:val="single" w:sz="4" w:space="0" w:color="auto"/>
            </w:tcBorders>
            <w:hideMark/>
          </w:tcPr>
          <w:p w14:paraId="6BDADC54"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Weighted bilateral distance in km</w:t>
            </w:r>
          </w:p>
        </w:tc>
        <w:tc>
          <w:tcPr>
            <w:tcW w:w="3396" w:type="dxa"/>
            <w:tcBorders>
              <w:top w:val="single" w:sz="4" w:space="0" w:color="auto"/>
              <w:left w:val="single" w:sz="4" w:space="0" w:color="auto"/>
              <w:bottom w:val="single" w:sz="4" w:space="0" w:color="auto"/>
              <w:right w:val="single" w:sz="4" w:space="0" w:color="auto"/>
            </w:tcBorders>
            <w:hideMark/>
          </w:tcPr>
          <w:p w14:paraId="46437634" w14:textId="77777777" w:rsidR="00844A5B" w:rsidRPr="00D868ED" w:rsidRDefault="00844A5B" w:rsidP="00CE5C32">
            <w:pPr>
              <w:bidi w:val="0"/>
              <w:spacing w:after="0" w:line="240" w:lineRule="auto"/>
              <w:jc w:val="both"/>
              <w:rPr>
                <w:rFonts w:asciiTheme="majorBidi" w:hAnsiTheme="majorBidi" w:cstheme="majorBidi"/>
                <w:i/>
                <w:iCs/>
              </w:rPr>
            </w:pPr>
            <w:r w:rsidRPr="00D868ED">
              <w:rPr>
                <w:rFonts w:asciiTheme="majorBidi" w:hAnsiTheme="majorBidi" w:cstheme="majorBidi"/>
                <w:i/>
                <w:iCs/>
              </w:rPr>
              <w:t>distw_harmonic</w:t>
            </w:r>
          </w:p>
        </w:tc>
        <w:tc>
          <w:tcPr>
            <w:tcW w:w="0" w:type="auto"/>
            <w:tcBorders>
              <w:top w:val="single" w:sz="4" w:space="0" w:color="auto"/>
              <w:left w:val="single" w:sz="4" w:space="0" w:color="auto"/>
              <w:bottom w:val="single" w:sz="4" w:space="0" w:color="auto"/>
              <w:right w:val="single" w:sz="4" w:space="0" w:color="auto"/>
            </w:tcBorders>
            <w:hideMark/>
          </w:tcPr>
          <w:p w14:paraId="251A941D"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w:t>
            </w:r>
          </w:p>
        </w:tc>
      </w:tr>
      <w:tr w:rsidR="00C921E2" w:rsidRPr="00D868ED" w14:paraId="4F96E057" w14:textId="77777777" w:rsidTr="002B6D4D">
        <w:trPr>
          <w:jc w:val="center"/>
        </w:trPr>
        <w:tc>
          <w:tcPr>
            <w:tcW w:w="0" w:type="auto"/>
            <w:tcBorders>
              <w:top w:val="single" w:sz="4" w:space="0" w:color="auto"/>
              <w:left w:val="single" w:sz="4" w:space="0" w:color="auto"/>
              <w:bottom w:val="single" w:sz="4" w:space="0" w:color="auto"/>
              <w:right w:val="single" w:sz="4" w:space="0" w:color="auto"/>
            </w:tcBorders>
            <w:hideMark/>
          </w:tcPr>
          <w:p w14:paraId="2A7E3755" w14:textId="77777777" w:rsidR="00844A5B" w:rsidRPr="00D868ED" w:rsidRDefault="00844A5B" w:rsidP="00CE5C32">
            <w:pPr>
              <w:bidi w:val="0"/>
              <w:spacing w:after="0" w:line="240" w:lineRule="auto"/>
              <w:jc w:val="both"/>
              <w:rPr>
                <w:rFonts w:asciiTheme="majorBidi" w:hAnsiTheme="majorBidi" w:cstheme="majorBidi"/>
                <w:i/>
                <w:iCs/>
              </w:rPr>
            </w:pPr>
            <w:r w:rsidRPr="00D868ED">
              <w:rPr>
                <w:rFonts w:asciiTheme="majorBidi" w:hAnsiTheme="majorBidi" w:cstheme="majorBidi"/>
                <w:i/>
                <w:iCs/>
              </w:rPr>
              <w:t>contig</w:t>
            </w:r>
          </w:p>
        </w:tc>
        <w:tc>
          <w:tcPr>
            <w:tcW w:w="2809" w:type="dxa"/>
            <w:tcBorders>
              <w:top w:val="single" w:sz="4" w:space="0" w:color="auto"/>
              <w:left w:val="single" w:sz="4" w:space="0" w:color="auto"/>
              <w:bottom w:val="single" w:sz="4" w:space="0" w:color="auto"/>
              <w:right w:val="single" w:sz="4" w:space="0" w:color="auto"/>
            </w:tcBorders>
            <w:hideMark/>
          </w:tcPr>
          <w:p w14:paraId="471D904B"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Common border dummy</w:t>
            </w:r>
          </w:p>
        </w:tc>
        <w:tc>
          <w:tcPr>
            <w:tcW w:w="3396" w:type="dxa"/>
            <w:tcBorders>
              <w:top w:val="single" w:sz="4" w:space="0" w:color="auto"/>
              <w:left w:val="single" w:sz="4" w:space="0" w:color="auto"/>
              <w:bottom w:val="single" w:sz="4" w:space="0" w:color="auto"/>
              <w:right w:val="single" w:sz="4" w:space="0" w:color="auto"/>
            </w:tcBorders>
            <w:hideMark/>
          </w:tcPr>
          <w:p w14:paraId="543573F9"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CEPII</w:t>
            </w:r>
          </w:p>
        </w:tc>
        <w:tc>
          <w:tcPr>
            <w:tcW w:w="0" w:type="auto"/>
            <w:tcBorders>
              <w:top w:val="single" w:sz="4" w:space="0" w:color="auto"/>
              <w:left w:val="single" w:sz="4" w:space="0" w:color="auto"/>
              <w:bottom w:val="single" w:sz="4" w:space="0" w:color="auto"/>
              <w:right w:val="single" w:sz="4" w:space="0" w:color="auto"/>
            </w:tcBorders>
            <w:hideMark/>
          </w:tcPr>
          <w:p w14:paraId="21AEF26C"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w:t>
            </w:r>
          </w:p>
        </w:tc>
      </w:tr>
      <w:tr w:rsidR="00C921E2" w:rsidRPr="00D868ED" w14:paraId="3CA99AFC" w14:textId="77777777" w:rsidTr="002B6D4D">
        <w:trPr>
          <w:jc w:val="center"/>
        </w:trPr>
        <w:tc>
          <w:tcPr>
            <w:tcW w:w="0" w:type="auto"/>
            <w:tcBorders>
              <w:top w:val="single" w:sz="4" w:space="0" w:color="auto"/>
              <w:left w:val="single" w:sz="4" w:space="0" w:color="auto"/>
              <w:bottom w:val="single" w:sz="4" w:space="0" w:color="auto"/>
              <w:right w:val="single" w:sz="4" w:space="0" w:color="auto"/>
            </w:tcBorders>
            <w:hideMark/>
          </w:tcPr>
          <w:p w14:paraId="6A2951E7" w14:textId="77777777" w:rsidR="00844A5B" w:rsidRPr="00D868ED" w:rsidRDefault="00844A5B" w:rsidP="00CE5C32">
            <w:pPr>
              <w:bidi w:val="0"/>
              <w:spacing w:after="0" w:line="240" w:lineRule="auto"/>
              <w:jc w:val="both"/>
              <w:rPr>
                <w:rFonts w:asciiTheme="majorBidi" w:hAnsiTheme="majorBidi" w:cstheme="majorBidi"/>
                <w:i/>
                <w:iCs/>
              </w:rPr>
            </w:pPr>
            <w:r w:rsidRPr="00D868ED">
              <w:rPr>
                <w:rFonts w:asciiTheme="majorBidi" w:hAnsiTheme="majorBidi" w:cstheme="majorBidi"/>
                <w:i/>
                <w:iCs/>
              </w:rPr>
              <w:t>comlang_off</w:t>
            </w:r>
          </w:p>
        </w:tc>
        <w:tc>
          <w:tcPr>
            <w:tcW w:w="2809" w:type="dxa"/>
            <w:tcBorders>
              <w:top w:val="single" w:sz="4" w:space="0" w:color="auto"/>
              <w:left w:val="single" w:sz="4" w:space="0" w:color="auto"/>
              <w:bottom w:val="single" w:sz="4" w:space="0" w:color="auto"/>
              <w:right w:val="single" w:sz="4" w:space="0" w:color="auto"/>
            </w:tcBorders>
            <w:hideMark/>
          </w:tcPr>
          <w:p w14:paraId="4E380520"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Common official language dummy</w:t>
            </w:r>
          </w:p>
        </w:tc>
        <w:tc>
          <w:tcPr>
            <w:tcW w:w="3396" w:type="dxa"/>
            <w:tcBorders>
              <w:top w:val="single" w:sz="4" w:space="0" w:color="auto"/>
              <w:left w:val="single" w:sz="4" w:space="0" w:color="auto"/>
              <w:bottom w:val="single" w:sz="4" w:space="0" w:color="auto"/>
              <w:right w:val="single" w:sz="4" w:space="0" w:color="auto"/>
            </w:tcBorders>
            <w:hideMark/>
          </w:tcPr>
          <w:p w14:paraId="56298047"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CEPII</w:t>
            </w:r>
          </w:p>
        </w:tc>
        <w:tc>
          <w:tcPr>
            <w:tcW w:w="0" w:type="auto"/>
            <w:tcBorders>
              <w:top w:val="single" w:sz="4" w:space="0" w:color="auto"/>
              <w:left w:val="single" w:sz="4" w:space="0" w:color="auto"/>
              <w:bottom w:val="single" w:sz="4" w:space="0" w:color="auto"/>
              <w:right w:val="single" w:sz="4" w:space="0" w:color="auto"/>
            </w:tcBorders>
            <w:hideMark/>
          </w:tcPr>
          <w:p w14:paraId="112B13F7"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w:t>
            </w:r>
          </w:p>
        </w:tc>
      </w:tr>
      <w:tr w:rsidR="00C921E2" w:rsidRPr="00D868ED" w14:paraId="6A6B1B18" w14:textId="77777777" w:rsidTr="002B6D4D">
        <w:trPr>
          <w:jc w:val="center"/>
        </w:trPr>
        <w:tc>
          <w:tcPr>
            <w:tcW w:w="0" w:type="auto"/>
            <w:tcBorders>
              <w:top w:val="single" w:sz="4" w:space="0" w:color="auto"/>
              <w:left w:val="single" w:sz="4" w:space="0" w:color="auto"/>
              <w:bottom w:val="single" w:sz="4" w:space="0" w:color="auto"/>
              <w:right w:val="single" w:sz="4" w:space="0" w:color="auto"/>
            </w:tcBorders>
            <w:hideMark/>
          </w:tcPr>
          <w:p w14:paraId="51AB8E7C" w14:textId="77777777" w:rsidR="00844A5B" w:rsidRPr="00D868ED" w:rsidRDefault="00844A5B" w:rsidP="00CE5C32">
            <w:pPr>
              <w:bidi w:val="0"/>
              <w:spacing w:after="0" w:line="240" w:lineRule="auto"/>
              <w:jc w:val="both"/>
              <w:rPr>
                <w:rFonts w:asciiTheme="majorBidi" w:hAnsiTheme="majorBidi" w:cstheme="majorBidi"/>
                <w:i/>
                <w:iCs/>
              </w:rPr>
            </w:pPr>
            <w:r w:rsidRPr="00D868ED">
              <w:rPr>
                <w:rFonts w:asciiTheme="majorBidi" w:hAnsiTheme="majorBidi" w:cstheme="majorBidi"/>
                <w:i/>
                <w:iCs/>
              </w:rPr>
              <w:t>wto_joint</w:t>
            </w:r>
          </w:p>
        </w:tc>
        <w:tc>
          <w:tcPr>
            <w:tcW w:w="2809" w:type="dxa"/>
            <w:tcBorders>
              <w:top w:val="single" w:sz="4" w:space="0" w:color="auto"/>
              <w:left w:val="single" w:sz="4" w:space="0" w:color="auto"/>
              <w:bottom w:val="single" w:sz="4" w:space="0" w:color="auto"/>
              <w:right w:val="single" w:sz="4" w:space="0" w:color="auto"/>
            </w:tcBorders>
            <w:hideMark/>
          </w:tcPr>
          <w:p w14:paraId="3D861C30"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Both countries are WTO members in year t</w:t>
            </w:r>
          </w:p>
        </w:tc>
        <w:tc>
          <w:tcPr>
            <w:tcW w:w="3396" w:type="dxa"/>
            <w:tcBorders>
              <w:top w:val="single" w:sz="4" w:space="0" w:color="auto"/>
              <w:left w:val="single" w:sz="4" w:space="0" w:color="auto"/>
              <w:bottom w:val="single" w:sz="4" w:space="0" w:color="auto"/>
              <w:right w:val="single" w:sz="4" w:space="0" w:color="auto"/>
            </w:tcBorders>
            <w:hideMark/>
          </w:tcPr>
          <w:p w14:paraId="5CF441EA"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 xml:space="preserve">Derived from </w:t>
            </w:r>
            <w:r w:rsidRPr="00D868ED">
              <w:rPr>
                <w:rFonts w:asciiTheme="majorBidi" w:hAnsiTheme="majorBidi" w:cstheme="majorBidi"/>
                <w:i/>
                <w:iCs/>
              </w:rPr>
              <w:t>wto_o</w:t>
            </w:r>
            <w:r w:rsidRPr="00D868ED">
              <w:rPr>
                <w:rFonts w:asciiTheme="majorBidi" w:hAnsiTheme="majorBidi" w:cstheme="majorBidi"/>
              </w:rPr>
              <w:t xml:space="preserve"> and </w:t>
            </w:r>
            <w:r w:rsidRPr="00D868ED">
              <w:rPr>
                <w:rFonts w:asciiTheme="majorBidi" w:hAnsiTheme="majorBidi" w:cstheme="majorBidi"/>
                <w:i/>
                <w:iCs/>
              </w:rPr>
              <w:t>wto_d</w:t>
            </w:r>
          </w:p>
        </w:tc>
        <w:tc>
          <w:tcPr>
            <w:tcW w:w="0" w:type="auto"/>
            <w:tcBorders>
              <w:top w:val="single" w:sz="4" w:space="0" w:color="auto"/>
              <w:left w:val="single" w:sz="4" w:space="0" w:color="auto"/>
              <w:bottom w:val="single" w:sz="4" w:space="0" w:color="auto"/>
              <w:right w:val="single" w:sz="4" w:space="0" w:color="auto"/>
            </w:tcBorders>
            <w:hideMark/>
          </w:tcPr>
          <w:p w14:paraId="21919E1A"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w:t>
            </w:r>
          </w:p>
        </w:tc>
      </w:tr>
      <w:tr w:rsidR="00C921E2" w:rsidRPr="00D868ED" w14:paraId="7C398A4F" w14:textId="77777777" w:rsidTr="002B6D4D">
        <w:trPr>
          <w:jc w:val="center"/>
        </w:trPr>
        <w:tc>
          <w:tcPr>
            <w:tcW w:w="0" w:type="auto"/>
            <w:tcBorders>
              <w:top w:val="single" w:sz="4" w:space="0" w:color="auto"/>
              <w:left w:val="single" w:sz="4" w:space="0" w:color="auto"/>
              <w:bottom w:val="single" w:sz="4" w:space="0" w:color="auto"/>
              <w:right w:val="single" w:sz="4" w:space="0" w:color="auto"/>
            </w:tcBorders>
            <w:hideMark/>
          </w:tcPr>
          <w:p w14:paraId="29FB44C8" w14:textId="77777777" w:rsidR="00844A5B" w:rsidRPr="00D868ED" w:rsidRDefault="00844A5B" w:rsidP="00CE5C32">
            <w:pPr>
              <w:bidi w:val="0"/>
              <w:spacing w:after="0" w:line="240" w:lineRule="auto"/>
              <w:jc w:val="both"/>
              <w:rPr>
                <w:rFonts w:asciiTheme="majorBidi" w:hAnsiTheme="majorBidi" w:cstheme="majorBidi"/>
                <w:i/>
                <w:iCs/>
              </w:rPr>
            </w:pPr>
            <w:r w:rsidRPr="00D868ED">
              <w:rPr>
                <w:rFonts w:asciiTheme="majorBidi" w:hAnsiTheme="majorBidi" w:cstheme="majorBidi"/>
                <w:i/>
                <w:iCs/>
              </w:rPr>
              <w:t>EU_joint</w:t>
            </w:r>
          </w:p>
        </w:tc>
        <w:tc>
          <w:tcPr>
            <w:tcW w:w="2809" w:type="dxa"/>
            <w:tcBorders>
              <w:top w:val="single" w:sz="4" w:space="0" w:color="auto"/>
              <w:left w:val="single" w:sz="4" w:space="0" w:color="auto"/>
              <w:bottom w:val="single" w:sz="4" w:space="0" w:color="auto"/>
              <w:right w:val="single" w:sz="4" w:space="0" w:color="auto"/>
            </w:tcBorders>
            <w:hideMark/>
          </w:tcPr>
          <w:p w14:paraId="278A7710"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Both countries are EU members in year t</w:t>
            </w:r>
          </w:p>
        </w:tc>
        <w:tc>
          <w:tcPr>
            <w:tcW w:w="3396" w:type="dxa"/>
            <w:tcBorders>
              <w:top w:val="single" w:sz="4" w:space="0" w:color="auto"/>
              <w:left w:val="single" w:sz="4" w:space="0" w:color="auto"/>
              <w:bottom w:val="single" w:sz="4" w:space="0" w:color="auto"/>
              <w:right w:val="single" w:sz="4" w:space="0" w:color="auto"/>
            </w:tcBorders>
            <w:hideMark/>
          </w:tcPr>
          <w:p w14:paraId="06066274" w14:textId="31D10502"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 xml:space="preserve">Derived from accession year </w:t>
            </w:r>
          </w:p>
        </w:tc>
        <w:tc>
          <w:tcPr>
            <w:tcW w:w="0" w:type="auto"/>
            <w:tcBorders>
              <w:top w:val="single" w:sz="4" w:space="0" w:color="auto"/>
              <w:left w:val="single" w:sz="4" w:space="0" w:color="auto"/>
              <w:bottom w:val="single" w:sz="4" w:space="0" w:color="auto"/>
              <w:right w:val="single" w:sz="4" w:space="0" w:color="auto"/>
            </w:tcBorders>
            <w:hideMark/>
          </w:tcPr>
          <w:p w14:paraId="3DFBB41D"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w:t>
            </w:r>
          </w:p>
        </w:tc>
      </w:tr>
      <w:tr w:rsidR="00C921E2" w:rsidRPr="00D868ED" w14:paraId="3956E825" w14:textId="77777777" w:rsidTr="002B6D4D">
        <w:trPr>
          <w:jc w:val="center"/>
        </w:trPr>
        <w:tc>
          <w:tcPr>
            <w:tcW w:w="0" w:type="auto"/>
            <w:tcBorders>
              <w:top w:val="single" w:sz="4" w:space="0" w:color="auto"/>
              <w:left w:val="single" w:sz="4" w:space="0" w:color="auto"/>
              <w:bottom w:val="single" w:sz="4" w:space="0" w:color="auto"/>
              <w:right w:val="single" w:sz="4" w:space="0" w:color="auto"/>
            </w:tcBorders>
            <w:hideMark/>
          </w:tcPr>
          <w:p w14:paraId="467BE75E" w14:textId="77777777" w:rsidR="00844A5B" w:rsidRPr="00D868ED" w:rsidRDefault="00844A5B" w:rsidP="00CE5C32">
            <w:pPr>
              <w:bidi w:val="0"/>
              <w:spacing w:after="0" w:line="240" w:lineRule="auto"/>
              <w:jc w:val="both"/>
              <w:rPr>
                <w:rFonts w:asciiTheme="majorBidi" w:hAnsiTheme="majorBidi" w:cstheme="majorBidi"/>
                <w:i/>
                <w:iCs/>
              </w:rPr>
            </w:pPr>
            <w:r w:rsidRPr="00D868ED">
              <w:rPr>
                <w:rFonts w:asciiTheme="majorBidi" w:hAnsiTheme="majorBidi" w:cstheme="majorBidi"/>
                <w:i/>
                <w:iCs/>
              </w:rPr>
              <w:t>EAEU_joint</w:t>
            </w:r>
          </w:p>
        </w:tc>
        <w:tc>
          <w:tcPr>
            <w:tcW w:w="2809" w:type="dxa"/>
            <w:tcBorders>
              <w:top w:val="single" w:sz="4" w:space="0" w:color="auto"/>
              <w:left w:val="single" w:sz="4" w:space="0" w:color="auto"/>
              <w:bottom w:val="single" w:sz="4" w:space="0" w:color="auto"/>
              <w:right w:val="single" w:sz="4" w:space="0" w:color="auto"/>
            </w:tcBorders>
            <w:hideMark/>
          </w:tcPr>
          <w:p w14:paraId="1A67E5EE"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Both countries are EAEU members in year t</w:t>
            </w:r>
          </w:p>
        </w:tc>
        <w:tc>
          <w:tcPr>
            <w:tcW w:w="3396" w:type="dxa"/>
            <w:tcBorders>
              <w:top w:val="single" w:sz="4" w:space="0" w:color="auto"/>
              <w:left w:val="single" w:sz="4" w:space="0" w:color="auto"/>
              <w:bottom w:val="single" w:sz="4" w:space="0" w:color="auto"/>
              <w:right w:val="single" w:sz="4" w:space="0" w:color="auto"/>
            </w:tcBorders>
            <w:hideMark/>
          </w:tcPr>
          <w:p w14:paraId="1EEC9AB4" w14:textId="3AB9E0DD"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 xml:space="preserve">Derived from accession year </w:t>
            </w:r>
          </w:p>
        </w:tc>
        <w:tc>
          <w:tcPr>
            <w:tcW w:w="0" w:type="auto"/>
            <w:tcBorders>
              <w:top w:val="single" w:sz="4" w:space="0" w:color="auto"/>
              <w:left w:val="single" w:sz="4" w:space="0" w:color="auto"/>
              <w:bottom w:val="single" w:sz="4" w:space="0" w:color="auto"/>
              <w:right w:val="single" w:sz="4" w:space="0" w:color="auto"/>
            </w:tcBorders>
            <w:hideMark/>
          </w:tcPr>
          <w:p w14:paraId="75F7AA8D"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w:t>
            </w:r>
          </w:p>
        </w:tc>
      </w:tr>
      <w:bookmarkEnd w:id="6"/>
    </w:tbl>
    <w:p w14:paraId="0DEF1BF5" w14:textId="77777777" w:rsidR="00711564" w:rsidRPr="00D868ED" w:rsidRDefault="00711564" w:rsidP="00CE5C32">
      <w:pPr>
        <w:bidi w:val="0"/>
        <w:spacing w:after="120" w:line="288" w:lineRule="auto"/>
        <w:jc w:val="both"/>
        <w:rPr>
          <w:rFonts w:asciiTheme="majorBidi" w:hAnsiTheme="majorBidi" w:cstheme="majorBidi"/>
        </w:rPr>
      </w:pPr>
    </w:p>
    <w:p w14:paraId="221EAD29" w14:textId="522FA9EF" w:rsidR="000331D9" w:rsidRPr="00D868ED" w:rsidRDefault="000331D9" w:rsidP="00CE5C32">
      <w:pPr>
        <w:bidi w:val="0"/>
        <w:spacing w:after="120" w:line="288" w:lineRule="auto"/>
        <w:jc w:val="both"/>
        <w:rPr>
          <w:rFonts w:asciiTheme="majorBidi" w:hAnsiTheme="majorBidi" w:cstheme="majorBidi"/>
        </w:rPr>
      </w:pPr>
      <w:r w:rsidRPr="00D868ED">
        <w:rPr>
          <w:rFonts w:asciiTheme="majorBidi" w:hAnsiTheme="majorBidi" w:cstheme="majorBidi"/>
        </w:rPr>
        <w:t>The post-Soviet economies display heterogeneity in their participation in multilateral and regional trade institutions. Most countries eventually joined the World Trade Organization, although accession occurred at different stages of the transition process. Kyrgyzstan was the earliest entrant in 1998, followed by the Baltic states and Georgia between 1999 and 2001. Armenia and Moldova also joined during the early transition period, while Ukraine acceded in 2008. Russia’s accession occurred much later in 2012 after prolonged negotiations, and Tajikistan joined in 2013. Kazakhstan represents the most recent entrant in the sample, becoming a member in 2015. In contrast, Belarus</w:t>
      </w:r>
      <w:r w:rsidR="00FA6B7A" w:rsidRPr="00D868ED">
        <w:rPr>
          <w:rFonts w:asciiTheme="majorBidi" w:hAnsiTheme="majorBidi" w:cstheme="majorBidi"/>
        </w:rPr>
        <w:t xml:space="preserve"> and</w:t>
      </w:r>
      <w:r w:rsidRPr="00D868ED">
        <w:rPr>
          <w:rFonts w:asciiTheme="majorBidi" w:hAnsiTheme="majorBidi" w:cstheme="majorBidi"/>
        </w:rPr>
        <w:t xml:space="preserve"> Turkmenistan remained outside the WTO during the sample period, although </w:t>
      </w:r>
      <w:r w:rsidR="00FA6B7A" w:rsidRPr="00D868ED">
        <w:rPr>
          <w:rFonts w:asciiTheme="majorBidi" w:hAnsiTheme="majorBidi" w:cstheme="majorBidi"/>
        </w:rPr>
        <w:t xml:space="preserve">Azerbaijan and Uzbekistan </w:t>
      </w:r>
      <w:r w:rsidR="002E2D40" w:rsidRPr="00D868ED">
        <w:rPr>
          <w:rFonts w:asciiTheme="majorBidi" w:hAnsiTheme="majorBidi" w:cstheme="majorBidi"/>
        </w:rPr>
        <w:t>have</w:t>
      </w:r>
      <w:r w:rsidR="00FA6B7A" w:rsidRPr="00D868ED">
        <w:rPr>
          <w:rFonts w:asciiTheme="majorBidi" w:hAnsiTheme="majorBidi" w:cstheme="majorBidi"/>
        </w:rPr>
        <w:t xml:space="preserve"> </w:t>
      </w:r>
      <w:r w:rsidRPr="00D868ED">
        <w:rPr>
          <w:rFonts w:asciiTheme="majorBidi" w:hAnsiTheme="majorBidi" w:cstheme="majorBidi"/>
        </w:rPr>
        <w:t>ongoing negotiations.</w:t>
      </w:r>
    </w:p>
    <w:p w14:paraId="0DE5D497" w14:textId="00B2E588" w:rsidR="000331D9" w:rsidRPr="00D868ED" w:rsidRDefault="000331D9" w:rsidP="00CE5C32">
      <w:pPr>
        <w:bidi w:val="0"/>
        <w:spacing w:after="120" w:line="288" w:lineRule="auto"/>
        <w:jc w:val="both"/>
        <w:rPr>
          <w:rFonts w:asciiTheme="majorBidi" w:hAnsiTheme="majorBidi" w:cstheme="majorBidi"/>
        </w:rPr>
      </w:pPr>
      <w:r w:rsidRPr="00D868ED">
        <w:rPr>
          <w:rFonts w:asciiTheme="majorBidi" w:hAnsiTheme="majorBidi" w:cstheme="majorBidi"/>
        </w:rPr>
        <w:t>Regional integration within the post-Soviet space also evolved unevenly. Estonia, Latvia, and Lithuania followed a different institutional trajectory by integrating with the European Union, becoming members in 2004 after earlier WTO accession. In contrast, another group of economies deepened economic integration through the Eurasian Economic Union</w:t>
      </w:r>
      <w:r w:rsidR="00873F31" w:rsidRPr="00D868ED">
        <w:rPr>
          <w:rFonts w:asciiTheme="majorBidi" w:hAnsiTheme="majorBidi" w:cstheme="majorBidi"/>
        </w:rPr>
        <w:t xml:space="preserve"> (EAEU)</w:t>
      </w:r>
      <w:r w:rsidRPr="00D868ED">
        <w:rPr>
          <w:rFonts w:asciiTheme="majorBidi" w:hAnsiTheme="majorBidi" w:cstheme="majorBidi"/>
        </w:rPr>
        <w:t xml:space="preserve">. Armenia, Belarus, Kazakhstan, Kyrgyzstan, and Russia </w:t>
      </w:r>
      <w:r w:rsidR="00E24FEE" w:rsidRPr="00D868ED">
        <w:rPr>
          <w:rFonts w:asciiTheme="majorBidi" w:hAnsiTheme="majorBidi" w:cstheme="majorBidi"/>
        </w:rPr>
        <w:t>formed</w:t>
      </w:r>
      <w:r w:rsidRPr="00D868ED">
        <w:rPr>
          <w:rFonts w:asciiTheme="majorBidi" w:hAnsiTheme="majorBidi" w:cstheme="majorBidi"/>
        </w:rPr>
        <w:t xml:space="preserve"> the EAEU in 2015, creating a regional bloc centered around Russia. These differing institutional alignments highlight the fragmented nature of economic integration across the post-Soviet region, with some countries oriented toward European integration, others toward Eurasian regionalism, and several remaining outside both frameworks during much of the study period.</w:t>
      </w:r>
      <w:r w:rsidR="00BB439F" w:rsidRPr="00D868ED">
        <w:rPr>
          <w:rFonts w:asciiTheme="majorBidi" w:hAnsiTheme="majorBidi" w:cstheme="majorBidi"/>
        </w:rPr>
        <w:t xml:space="preserve"> </w:t>
      </w:r>
      <w:r w:rsidR="00BB439F" w:rsidRPr="00D868ED">
        <w:rPr>
          <w:rFonts w:asciiTheme="majorBidi" w:hAnsiTheme="majorBidi" w:cstheme="majorBidi"/>
        </w:rPr>
        <w:fldChar w:fldCharType="begin"/>
      </w:r>
      <w:r w:rsidR="00BB439F" w:rsidRPr="00D868ED">
        <w:rPr>
          <w:rFonts w:asciiTheme="majorBidi" w:hAnsiTheme="majorBidi" w:cstheme="majorBidi"/>
        </w:rPr>
        <w:instrText xml:space="preserve"> REF _Ref224730166 \h </w:instrText>
      </w:r>
      <w:r w:rsidR="00C921E2" w:rsidRPr="00D868ED">
        <w:rPr>
          <w:rFonts w:asciiTheme="majorBidi" w:hAnsiTheme="majorBidi" w:cstheme="majorBidi"/>
        </w:rPr>
        <w:instrText xml:space="preserve"> \* MERGEFORMAT </w:instrText>
      </w:r>
      <w:r w:rsidR="00BB439F" w:rsidRPr="00D868ED">
        <w:rPr>
          <w:rFonts w:asciiTheme="majorBidi" w:hAnsiTheme="majorBidi" w:cstheme="majorBidi"/>
        </w:rPr>
      </w:r>
      <w:r w:rsidR="00BB439F" w:rsidRPr="00D868ED">
        <w:rPr>
          <w:rFonts w:asciiTheme="majorBidi" w:hAnsiTheme="majorBidi" w:cstheme="majorBidi"/>
        </w:rPr>
        <w:fldChar w:fldCharType="separate"/>
      </w:r>
      <w:r w:rsidR="00EC28FA" w:rsidRPr="00D868ED">
        <w:rPr>
          <w:rFonts w:asciiTheme="majorBidi" w:hAnsiTheme="majorBidi" w:cstheme="majorBidi"/>
        </w:rPr>
        <w:t xml:space="preserve">Table </w:t>
      </w:r>
      <w:r w:rsidR="00EC28FA" w:rsidRPr="00D868ED">
        <w:rPr>
          <w:rFonts w:asciiTheme="majorBidi" w:hAnsiTheme="majorBidi" w:cstheme="majorBidi"/>
          <w:noProof/>
        </w:rPr>
        <w:t>2</w:t>
      </w:r>
      <w:r w:rsidR="00BB439F" w:rsidRPr="00D868ED">
        <w:rPr>
          <w:rFonts w:asciiTheme="majorBidi" w:hAnsiTheme="majorBidi" w:cstheme="majorBidi"/>
        </w:rPr>
        <w:fldChar w:fldCharType="end"/>
      </w:r>
      <w:r w:rsidR="00BB439F" w:rsidRPr="00D868ED">
        <w:rPr>
          <w:rFonts w:asciiTheme="majorBidi" w:hAnsiTheme="majorBidi" w:cstheme="majorBidi"/>
        </w:rPr>
        <w:t xml:space="preserve"> details the membership status of each country</w:t>
      </w:r>
      <w:r w:rsidR="003949CF" w:rsidRPr="00D868ED">
        <w:rPr>
          <w:rFonts w:asciiTheme="majorBidi" w:hAnsiTheme="majorBidi" w:cstheme="majorBidi"/>
        </w:rPr>
        <w:t>.</w:t>
      </w:r>
    </w:p>
    <w:p w14:paraId="5F7FC2A1" w14:textId="43110B11" w:rsidR="00A26B6C" w:rsidRPr="00D868ED" w:rsidRDefault="00387B3F" w:rsidP="00CE5C32">
      <w:pPr>
        <w:pStyle w:val="Caption"/>
        <w:bidi w:val="0"/>
        <w:rPr>
          <w:rFonts w:asciiTheme="majorBidi" w:hAnsiTheme="majorBidi" w:cstheme="majorBidi"/>
          <w:i w:val="0"/>
          <w:iCs w:val="0"/>
          <w:color w:val="auto"/>
          <w:sz w:val="24"/>
          <w:szCs w:val="24"/>
        </w:rPr>
      </w:pPr>
      <w:bookmarkStart w:id="7" w:name="_Ref224730166"/>
      <w:r w:rsidRPr="00D868ED">
        <w:rPr>
          <w:rFonts w:asciiTheme="majorBidi" w:hAnsiTheme="majorBidi" w:cstheme="majorBidi"/>
          <w:i w:val="0"/>
          <w:iCs w:val="0"/>
          <w:color w:val="auto"/>
          <w:sz w:val="24"/>
          <w:szCs w:val="24"/>
        </w:rPr>
        <w:t xml:space="preserve">Table </w:t>
      </w:r>
      <w:r w:rsidRPr="00D868ED">
        <w:rPr>
          <w:rFonts w:asciiTheme="majorBidi" w:hAnsiTheme="majorBidi" w:cstheme="majorBidi"/>
          <w:i w:val="0"/>
          <w:iCs w:val="0"/>
          <w:color w:val="auto"/>
          <w:sz w:val="24"/>
          <w:szCs w:val="24"/>
        </w:rPr>
        <w:fldChar w:fldCharType="begin"/>
      </w:r>
      <w:r w:rsidRPr="00D868ED">
        <w:rPr>
          <w:rFonts w:asciiTheme="majorBidi" w:hAnsiTheme="majorBidi" w:cstheme="majorBidi"/>
          <w:i w:val="0"/>
          <w:iCs w:val="0"/>
          <w:color w:val="auto"/>
          <w:sz w:val="24"/>
          <w:szCs w:val="24"/>
        </w:rPr>
        <w:instrText xml:space="preserve"> SEQ Table \* ARABIC </w:instrText>
      </w:r>
      <w:r w:rsidRPr="00D868ED">
        <w:rPr>
          <w:rFonts w:asciiTheme="majorBidi" w:hAnsiTheme="majorBidi" w:cstheme="majorBidi"/>
          <w:i w:val="0"/>
          <w:iCs w:val="0"/>
          <w:color w:val="auto"/>
          <w:sz w:val="24"/>
          <w:szCs w:val="24"/>
        </w:rPr>
        <w:fldChar w:fldCharType="separate"/>
      </w:r>
      <w:r w:rsidR="00EC28FA" w:rsidRPr="00D868ED">
        <w:rPr>
          <w:rFonts w:asciiTheme="majorBidi" w:hAnsiTheme="majorBidi" w:cstheme="majorBidi"/>
          <w:i w:val="0"/>
          <w:iCs w:val="0"/>
          <w:noProof/>
          <w:color w:val="auto"/>
          <w:sz w:val="24"/>
          <w:szCs w:val="24"/>
        </w:rPr>
        <w:t>2</w:t>
      </w:r>
      <w:r w:rsidRPr="00D868ED">
        <w:rPr>
          <w:rFonts w:asciiTheme="majorBidi" w:hAnsiTheme="majorBidi" w:cstheme="majorBidi"/>
          <w:i w:val="0"/>
          <w:iCs w:val="0"/>
          <w:color w:val="auto"/>
          <w:sz w:val="24"/>
          <w:szCs w:val="24"/>
        </w:rPr>
        <w:fldChar w:fldCharType="end"/>
      </w:r>
      <w:bookmarkEnd w:id="7"/>
      <w:r w:rsidRPr="00D868ED">
        <w:rPr>
          <w:rFonts w:asciiTheme="majorBidi" w:hAnsiTheme="majorBidi" w:cstheme="majorBidi"/>
          <w:i w:val="0"/>
          <w:iCs w:val="0"/>
          <w:color w:val="auto"/>
          <w:sz w:val="24"/>
          <w:szCs w:val="24"/>
        </w:rPr>
        <w:t xml:space="preserve">. </w:t>
      </w:r>
      <w:r w:rsidR="00A26B6C" w:rsidRPr="00D868ED">
        <w:rPr>
          <w:rFonts w:asciiTheme="majorBidi" w:hAnsiTheme="majorBidi" w:cstheme="majorBidi"/>
          <w:i w:val="0"/>
          <w:iCs w:val="0"/>
          <w:color w:val="auto"/>
          <w:sz w:val="24"/>
          <w:szCs w:val="24"/>
        </w:rPr>
        <w:t>Membership Status</w:t>
      </w:r>
    </w:p>
    <w:tbl>
      <w:tblPr>
        <w:tblStyle w:val="Table"/>
        <w:tblW w:w="9252" w:type="dxa"/>
        <w:tblLook w:val="0020" w:firstRow="1" w:lastRow="0" w:firstColumn="0" w:lastColumn="0" w:noHBand="0" w:noVBand="0"/>
      </w:tblPr>
      <w:tblGrid>
        <w:gridCol w:w="1550"/>
        <w:gridCol w:w="1096"/>
        <w:gridCol w:w="1096"/>
        <w:gridCol w:w="1096"/>
        <w:gridCol w:w="4414"/>
      </w:tblGrid>
      <w:tr w:rsidR="00C921E2" w:rsidRPr="00D868ED" w14:paraId="21B8699E" w14:textId="77777777" w:rsidTr="00D36F7E">
        <w:trPr>
          <w:cnfStyle w:val="100000000000" w:firstRow="1" w:lastRow="0" w:firstColumn="0" w:lastColumn="0" w:oddVBand="0" w:evenVBand="0" w:oddHBand="0" w:evenHBand="0" w:firstRowFirstColumn="0" w:firstRowLastColumn="0" w:lastRowFirstColumn="0" w:lastRowLastColumn="0"/>
          <w:tblHeader/>
        </w:trPr>
        <w:tc>
          <w:tcPr>
            <w:tcW w:w="0" w:type="auto"/>
          </w:tcPr>
          <w:p w14:paraId="29CFBED6" w14:textId="77777777" w:rsidR="00E400A8" w:rsidRPr="00D868ED" w:rsidRDefault="00E400A8" w:rsidP="00CE5C32">
            <w:pPr>
              <w:pStyle w:val="Compact"/>
              <w:rPr>
                <w:rFonts w:asciiTheme="majorBidi" w:hAnsiTheme="majorBidi" w:cstheme="majorBidi"/>
                <w:b/>
                <w:bCs/>
                <w:sz w:val="24"/>
                <w:szCs w:val="24"/>
              </w:rPr>
            </w:pPr>
            <w:r w:rsidRPr="00D868ED">
              <w:rPr>
                <w:rFonts w:asciiTheme="majorBidi" w:hAnsiTheme="majorBidi" w:cstheme="majorBidi"/>
                <w:b/>
                <w:bCs/>
                <w:sz w:val="24"/>
                <w:szCs w:val="24"/>
              </w:rPr>
              <w:t>Country</w:t>
            </w:r>
          </w:p>
        </w:tc>
        <w:tc>
          <w:tcPr>
            <w:tcW w:w="918" w:type="dxa"/>
          </w:tcPr>
          <w:p w14:paraId="15C22BF7" w14:textId="056BFA90" w:rsidR="00E400A8" w:rsidRPr="00D868ED" w:rsidRDefault="00E400A8" w:rsidP="00CE5C32">
            <w:pPr>
              <w:pStyle w:val="Compact"/>
              <w:jc w:val="center"/>
              <w:rPr>
                <w:rFonts w:asciiTheme="majorBidi" w:hAnsiTheme="majorBidi" w:cstheme="majorBidi"/>
                <w:b/>
                <w:bCs/>
                <w:sz w:val="24"/>
                <w:szCs w:val="24"/>
              </w:rPr>
            </w:pPr>
            <w:r w:rsidRPr="00D868ED">
              <w:rPr>
                <w:rFonts w:asciiTheme="majorBidi" w:hAnsiTheme="majorBidi" w:cstheme="majorBidi"/>
                <w:b/>
                <w:bCs/>
                <w:sz w:val="24"/>
                <w:szCs w:val="24"/>
              </w:rPr>
              <w:t xml:space="preserve">WTO </w:t>
            </w:r>
            <w:r w:rsidR="00FF1A3E" w:rsidRPr="00D868ED">
              <w:rPr>
                <w:rFonts w:asciiTheme="majorBidi" w:hAnsiTheme="majorBidi" w:cstheme="majorBidi"/>
                <w:b/>
                <w:bCs/>
                <w:sz w:val="24"/>
                <w:szCs w:val="24"/>
              </w:rPr>
              <w:t>Member Since</w:t>
            </w:r>
          </w:p>
        </w:tc>
        <w:tc>
          <w:tcPr>
            <w:tcW w:w="990" w:type="dxa"/>
          </w:tcPr>
          <w:p w14:paraId="551D6830" w14:textId="1AF401A1" w:rsidR="00E400A8" w:rsidRPr="00D868ED" w:rsidRDefault="00E400A8" w:rsidP="00CE5C32">
            <w:pPr>
              <w:pStyle w:val="Compact"/>
              <w:jc w:val="center"/>
              <w:rPr>
                <w:rFonts w:asciiTheme="majorBidi" w:hAnsiTheme="majorBidi" w:cstheme="majorBidi"/>
                <w:b/>
                <w:bCs/>
                <w:sz w:val="24"/>
                <w:szCs w:val="24"/>
              </w:rPr>
            </w:pPr>
            <w:r w:rsidRPr="00D868ED">
              <w:rPr>
                <w:rFonts w:asciiTheme="majorBidi" w:hAnsiTheme="majorBidi" w:cstheme="majorBidi"/>
                <w:b/>
                <w:bCs/>
                <w:sz w:val="24"/>
                <w:szCs w:val="24"/>
              </w:rPr>
              <w:t xml:space="preserve">EU </w:t>
            </w:r>
            <w:r w:rsidR="00FF1A3E" w:rsidRPr="00D868ED">
              <w:rPr>
                <w:rFonts w:asciiTheme="majorBidi" w:hAnsiTheme="majorBidi" w:cstheme="majorBidi"/>
                <w:b/>
                <w:bCs/>
                <w:sz w:val="24"/>
                <w:szCs w:val="24"/>
              </w:rPr>
              <w:t>Member Since</w:t>
            </w:r>
          </w:p>
        </w:tc>
        <w:tc>
          <w:tcPr>
            <w:tcW w:w="1080" w:type="dxa"/>
          </w:tcPr>
          <w:p w14:paraId="0F10A340" w14:textId="0C3C4F0D" w:rsidR="00E400A8" w:rsidRPr="00D868ED" w:rsidRDefault="00E400A8" w:rsidP="00CE5C32">
            <w:pPr>
              <w:pStyle w:val="Compact"/>
              <w:jc w:val="center"/>
              <w:rPr>
                <w:rFonts w:asciiTheme="majorBidi" w:hAnsiTheme="majorBidi" w:cstheme="majorBidi"/>
                <w:b/>
                <w:bCs/>
                <w:sz w:val="24"/>
                <w:szCs w:val="24"/>
              </w:rPr>
            </w:pPr>
            <w:r w:rsidRPr="00D868ED">
              <w:rPr>
                <w:rFonts w:asciiTheme="majorBidi" w:hAnsiTheme="majorBidi" w:cstheme="majorBidi"/>
                <w:b/>
                <w:bCs/>
                <w:sz w:val="24"/>
                <w:szCs w:val="24"/>
              </w:rPr>
              <w:t xml:space="preserve">EAEU </w:t>
            </w:r>
            <w:r w:rsidR="00FF1A3E" w:rsidRPr="00D868ED">
              <w:rPr>
                <w:rFonts w:asciiTheme="majorBidi" w:hAnsiTheme="majorBidi" w:cstheme="majorBidi"/>
                <w:b/>
                <w:bCs/>
                <w:sz w:val="24"/>
                <w:szCs w:val="24"/>
              </w:rPr>
              <w:t>Member Since</w:t>
            </w:r>
          </w:p>
        </w:tc>
        <w:tc>
          <w:tcPr>
            <w:tcW w:w="4937" w:type="dxa"/>
            <w:vAlign w:val="center"/>
          </w:tcPr>
          <w:p w14:paraId="7AE0EB86" w14:textId="77777777" w:rsidR="00E400A8" w:rsidRPr="00D868ED" w:rsidRDefault="00E400A8" w:rsidP="00CE5C32">
            <w:pPr>
              <w:pStyle w:val="Compact"/>
              <w:jc w:val="center"/>
              <w:rPr>
                <w:rFonts w:asciiTheme="majorBidi" w:hAnsiTheme="majorBidi" w:cstheme="majorBidi"/>
                <w:b/>
                <w:bCs/>
                <w:sz w:val="24"/>
                <w:szCs w:val="24"/>
              </w:rPr>
            </w:pPr>
            <w:r w:rsidRPr="00D868ED">
              <w:rPr>
                <w:rFonts w:asciiTheme="majorBidi" w:hAnsiTheme="majorBidi" w:cstheme="majorBidi"/>
                <w:b/>
                <w:bCs/>
                <w:sz w:val="24"/>
                <w:szCs w:val="24"/>
              </w:rPr>
              <w:t>Notes</w:t>
            </w:r>
          </w:p>
        </w:tc>
      </w:tr>
      <w:tr w:rsidR="00C921E2" w:rsidRPr="00D868ED" w14:paraId="51DF32BC" w14:textId="77777777" w:rsidTr="00296B9A">
        <w:tc>
          <w:tcPr>
            <w:tcW w:w="0" w:type="auto"/>
          </w:tcPr>
          <w:p w14:paraId="3AB8A8A4" w14:textId="77777777"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Armenia</w:t>
            </w:r>
          </w:p>
        </w:tc>
        <w:tc>
          <w:tcPr>
            <w:tcW w:w="918" w:type="dxa"/>
          </w:tcPr>
          <w:p w14:paraId="4D4BF704" w14:textId="13CA0D31"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2003</w:t>
            </w:r>
          </w:p>
        </w:tc>
        <w:tc>
          <w:tcPr>
            <w:tcW w:w="990" w:type="dxa"/>
          </w:tcPr>
          <w:p w14:paraId="7650370E" w14:textId="6FCCD850" w:rsidR="00E400A8" w:rsidRPr="00D868ED" w:rsidRDefault="00DD538C"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w:t>
            </w:r>
          </w:p>
        </w:tc>
        <w:tc>
          <w:tcPr>
            <w:tcW w:w="1080" w:type="dxa"/>
          </w:tcPr>
          <w:p w14:paraId="5419AA0B" w14:textId="195AC825"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2015</w:t>
            </w:r>
          </w:p>
        </w:tc>
        <w:tc>
          <w:tcPr>
            <w:tcW w:w="4937" w:type="dxa"/>
          </w:tcPr>
          <w:p w14:paraId="3E02529F" w14:textId="77777777" w:rsidR="00D36F7E"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 xml:space="preserve">WTO member since early transition period; </w:t>
            </w:r>
          </w:p>
          <w:p w14:paraId="6715FEDC" w14:textId="7CB4C54F"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EAEU member from 2015</w:t>
            </w:r>
          </w:p>
        </w:tc>
      </w:tr>
      <w:tr w:rsidR="00C921E2" w:rsidRPr="00D868ED" w14:paraId="115C451A" w14:textId="77777777" w:rsidTr="00296B9A">
        <w:tc>
          <w:tcPr>
            <w:tcW w:w="0" w:type="auto"/>
          </w:tcPr>
          <w:p w14:paraId="7AAA36F3" w14:textId="77777777"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Azerbaijan</w:t>
            </w:r>
          </w:p>
        </w:tc>
        <w:tc>
          <w:tcPr>
            <w:tcW w:w="918" w:type="dxa"/>
          </w:tcPr>
          <w:p w14:paraId="1722D37B" w14:textId="3D5F1396"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w:t>
            </w:r>
          </w:p>
        </w:tc>
        <w:tc>
          <w:tcPr>
            <w:tcW w:w="990" w:type="dxa"/>
          </w:tcPr>
          <w:p w14:paraId="2E17E6AF" w14:textId="2A24DD79"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w:t>
            </w:r>
          </w:p>
        </w:tc>
        <w:tc>
          <w:tcPr>
            <w:tcW w:w="1080" w:type="dxa"/>
          </w:tcPr>
          <w:p w14:paraId="30FABBFD" w14:textId="4B77FC9B"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w:t>
            </w:r>
          </w:p>
        </w:tc>
        <w:tc>
          <w:tcPr>
            <w:tcW w:w="4937" w:type="dxa"/>
          </w:tcPr>
          <w:p w14:paraId="18DA7F8F" w14:textId="77777777"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WTO accession negotiations ongoing</w:t>
            </w:r>
          </w:p>
        </w:tc>
      </w:tr>
      <w:tr w:rsidR="00C921E2" w:rsidRPr="00D868ED" w14:paraId="178279F6" w14:textId="77777777" w:rsidTr="00296B9A">
        <w:tc>
          <w:tcPr>
            <w:tcW w:w="0" w:type="auto"/>
          </w:tcPr>
          <w:p w14:paraId="1BD3BA1C" w14:textId="77777777"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Belarus</w:t>
            </w:r>
          </w:p>
        </w:tc>
        <w:tc>
          <w:tcPr>
            <w:tcW w:w="918" w:type="dxa"/>
          </w:tcPr>
          <w:p w14:paraId="61F58B8D" w14:textId="438F97FD"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w:t>
            </w:r>
          </w:p>
        </w:tc>
        <w:tc>
          <w:tcPr>
            <w:tcW w:w="990" w:type="dxa"/>
          </w:tcPr>
          <w:p w14:paraId="23F79902" w14:textId="3EE444FB"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w:t>
            </w:r>
          </w:p>
        </w:tc>
        <w:tc>
          <w:tcPr>
            <w:tcW w:w="1080" w:type="dxa"/>
          </w:tcPr>
          <w:p w14:paraId="11CA0849" w14:textId="36316088"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2015</w:t>
            </w:r>
          </w:p>
        </w:tc>
        <w:tc>
          <w:tcPr>
            <w:tcW w:w="4937" w:type="dxa"/>
          </w:tcPr>
          <w:p w14:paraId="7EAC132A" w14:textId="77777777" w:rsidR="00D36F7E"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 xml:space="preserve">WTO application suspended; </w:t>
            </w:r>
          </w:p>
          <w:p w14:paraId="0AFC98E7" w14:textId="7A287F64"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EAEU member from 2015</w:t>
            </w:r>
          </w:p>
        </w:tc>
      </w:tr>
      <w:tr w:rsidR="00C921E2" w:rsidRPr="00D868ED" w14:paraId="3FA7D90F" w14:textId="77777777" w:rsidTr="00296B9A">
        <w:tc>
          <w:tcPr>
            <w:tcW w:w="0" w:type="auto"/>
          </w:tcPr>
          <w:p w14:paraId="038D9402" w14:textId="77777777"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Estonia</w:t>
            </w:r>
          </w:p>
        </w:tc>
        <w:tc>
          <w:tcPr>
            <w:tcW w:w="918" w:type="dxa"/>
          </w:tcPr>
          <w:p w14:paraId="19E748CE" w14:textId="7E582593"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1999</w:t>
            </w:r>
          </w:p>
        </w:tc>
        <w:tc>
          <w:tcPr>
            <w:tcW w:w="990" w:type="dxa"/>
          </w:tcPr>
          <w:p w14:paraId="58E0CF24" w14:textId="3C4033CA"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20</w:t>
            </w:r>
            <w:r w:rsidR="00D87B22" w:rsidRPr="00D868ED">
              <w:rPr>
                <w:rFonts w:asciiTheme="majorBidi" w:hAnsiTheme="majorBidi" w:cstheme="majorBidi"/>
                <w:sz w:val="24"/>
                <w:szCs w:val="24"/>
              </w:rPr>
              <w:t>0</w:t>
            </w:r>
            <w:r w:rsidRPr="00D868ED">
              <w:rPr>
                <w:rFonts w:asciiTheme="majorBidi" w:hAnsiTheme="majorBidi" w:cstheme="majorBidi"/>
                <w:sz w:val="24"/>
                <w:szCs w:val="24"/>
              </w:rPr>
              <w:t>4</w:t>
            </w:r>
          </w:p>
        </w:tc>
        <w:tc>
          <w:tcPr>
            <w:tcW w:w="1080" w:type="dxa"/>
          </w:tcPr>
          <w:p w14:paraId="59FAE34A" w14:textId="52200EF0"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w:t>
            </w:r>
          </w:p>
        </w:tc>
        <w:tc>
          <w:tcPr>
            <w:tcW w:w="4937" w:type="dxa"/>
          </w:tcPr>
          <w:p w14:paraId="3F6C7A97" w14:textId="77777777"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Acceded to WTO before EU membership</w:t>
            </w:r>
          </w:p>
        </w:tc>
      </w:tr>
      <w:tr w:rsidR="00C921E2" w:rsidRPr="00D868ED" w14:paraId="58940ADC" w14:textId="77777777" w:rsidTr="00296B9A">
        <w:tc>
          <w:tcPr>
            <w:tcW w:w="0" w:type="auto"/>
          </w:tcPr>
          <w:p w14:paraId="253EE500" w14:textId="77777777"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Georgia</w:t>
            </w:r>
          </w:p>
        </w:tc>
        <w:tc>
          <w:tcPr>
            <w:tcW w:w="918" w:type="dxa"/>
          </w:tcPr>
          <w:p w14:paraId="5B44FC88" w14:textId="6474F9AF"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2000</w:t>
            </w:r>
          </w:p>
        </w:tc>
        <w:tc>
          <w:tcPr>
            <w:tcW w:w="990" w:type="dxa"/>
          </w:tcPr>
          <w:p w14:paraId="0098D9FB" w14:textId="74802D65"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w:t>
            </w:r>
          </w:p>
        </w:tc>
        <w:tc>
          <w:tcPr>
            <w:tcW w:w="1080" w:type="dxa"/>
          </w:tcPr>
          <w:p w14:paraId="2CA6E902" w14:textId="046B5D4E"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w:t>
            </w:r>
          </w:p>
        </w:tc>
        <w:tc>
          <w:tcPr>
            <w:tcW w:w="4937" w:type="dxa"/>
          </w:tcPr>
          <w:p w14:paraId="7F64C986" w14:textId="77777777"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Early WTO accession</w:t>
            </w:r>
          </w:p>
        </w:tc>
      </w:tr>
      <w:tr w:rsidR="00C921E2" w:rsidRPr="00D868ED" w14:paraId="67B3738B" w14:textId="77777777" w:rsidTr="00296B9A">
        <w:tc>
          <w:tcPr>
            <w:tcW w:w="0" w:type="auto"/>
          </w:tcPr>
          <w:p w14:paraId="42716ED1" w14:textId="77777777"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Kazakhstan</w:t>
            </w:r>
          </w:p>
        </w:tc>
        <w:tc>
          <w:tcPr>
            <w:tcW w:w="918" w:type="dxa"/>
          </w:tcPr>
          <w:p w14:paraId="02B51B33" w14:textId="16D7C733"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2015</w:t>
            </w:r>
          </w:p>
        </w:tc>
        <w:tc>
          <w:tcPr>
            <w:tcW w:w="990" w:type="dxa"/>
          </w:tcPr>
          <w:p w14:paraId="78E12906" w14:textId="4B1F76AB"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w:t>
            </w:r>
          </w:p>
        </w:tc>
        <w:tc>
          <w:tcPr>
            <w:tcW w:w="1080" w:type="dxa"/>
          </w:tcPr>
          <w:p w14:paraId="38942BB6" w14:textId="18A6E9BD"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2015</w:t>
            </w:r>
          </w:p>
        </w:tc>
        <w:tc>
          <w:tcPr>
            <w:tcW w:w="4937" w:type="dxa"/>
          </w:tcPr>
          <w:p w14:paraId="795C3682" w14:textId="77777777" w:rsidR="00D36F7E"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 xml:space="preserve">Late WTO accession; </w:t>
            </w:r>
          </w:p>
          <w:p w14:paraId="50E120C8" w14:textId="2A682B92"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EAEU member from 2015</w:t>
            </w:r>
          </w:p>
        </w:tc>
      </w:tr>
      <w:tr w:rsidR="00C921E2" w:rsidRPr="00D868ED" w14:paraId="6472D36B" w14:textId="77777777" w:rsidTr="00296B9A">
        <w:tc>
          <w:tcPr>
            <w:tcW w:w="0" w:type="auto"/>
          </w:tcPr>
          <w:p w14:paraId="6A6481FF" w14:textId="77777777"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Kyrgyzstan</w:t>
            </w:r>
          </w:p>
        </w:tc>
        <w:tc>
          <w:tcPr>
            <w:tcW w:w="918" w:type="dxa"/>
          </w:tcPr>
          <w:p w14:paraId="0EFB12EC" w14:textId="7C1614DE"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1998</w:t>
            </w:r>
          </w:p>
        </w:tc>
        <w:tc>
          <w:tcPr>
            <w:tcW w:w="990" w:type="dxa"/>
          </w:tcPr>
          <w:p w14:paraId="5111A88C" w14:textId="6C1BDF3F"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w:t>
            </w:r>
          </w:p>
        </w:tc>
        <w:tc>
          <w:tcPr>
            <w:tcW w:w="1080" w:type="dxa"/>
          </w:tcPr>
          <w:p w14:paraId="047DE8D0" w14:textId="78179F3E"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2015</w:t>
            </w:r>
          </w:p>
        </w:tc>
        <w:tc>
          <w:tcPr>
            <w:tcW w:w="4937" w:type="dxa"/>
          </w:tcPr>
          <w:p w14:paraId="6FBDFF4A" w14:textId="77777777" w:rsidR="00D36F7E"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 xml:space="preserve">First Central Asian WTO member; </w:t>
            </w:r>
          </w:p>
          <w:p w14:paraId="12BC7F78" w14:textId="61A41B73"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EAEU member from 2015</w:t>
            </w:r>
          </w:p>
        </w:tc>
      </w:tr>
      <w:tr w:rsidR="00C921E2" w:rsidRPr="00D868ED" w14:paraId="02A3F807" w14:textId="77777777" w:rsidTr="00296B9A">
        <w:tc>
          <w:tcPr>
            <w:tcW w:w="0" w:type="auto"/>
          </w:tcPr>
          <w:p w14:paraId="24258BE3" w14:textId="77777777"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Latvia</w:t>
            </w:r>
          </w:p>
        </w:tc>
        <w:tc>
          <w:tcPr>
            <w:tcW w:w="918" w:type="dxa"/>
          </w:tcPr>
          <w:p w14:paraId="38BD099A" w14:textId="0D69B12B"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1999</w:t>
            </w:r>
          </w:p>
        </w:tc>
        <w:tc>
          <w:tcPr>
            <w:tcW w:w="990" w:type="dxa"/>
          </w:tcPr>
          <w:p w14:paraId="47263209" w14:textId="72393237"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2004</w:t>
            </w:r>
          </w:p>
        </w:tc>
        <w:tc>
          <w:tcPr>
            <w:tcW w:w="1080" w:type="dxa"/>
          </w:tcPr>
          <w:p w14:paraId="6887AEC8" w14:textId="456E5FEC"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w:t>
            </w:r>
          </w:p>
        </w:tc>
        <w:tc>
          <w:tcPr>
            <w:tcW w:w="4937" w:type="dxa"/>
          </w:tcPr>
          <w:p w14:paraId="684A3A1A" w14:textId="77777777"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Acceded to WTO before EU membership</w:t>
            </w:r>
          </w:p>
        </w:tc>
      </w:tr>
      <w:tr w:rsidR="00C921E2" w:rsidRPr="00D868ED" w14:paraId="7DABF5D6" w14:textId="77777777" w:rsidTr="00296B9A">
        <w:tc>
          <w:tcPr>
            <w:tcW w:w="0" w:type="auto"/>
          </w:tcPr>
          <w:p w14:paraId="676ECC54" w14:textId="77777777"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Lithuania</w:t>
            </w:r>
          </w:p>
        </w:tc>
        <w:tc>
          <w:tcPr>
            <w:tcW w:w="918" w:type="dxa"/>
          </w:tcPr>
          <w:p w14:paraId="732A69DB" w14:textId="04454741"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2001</w:t>
            </w:r>
          </w:p>
        </w:tc>
        <w:tc>
          <w:tcPr>
            <w:tcW w:w="990" w:type="dxa"/>
          </w:tcPr>
          <w:p w14:paraId="3D2BF45D" w14:textId="17485DFF"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2004</w:t>
            </w:r>
          </w:p>
        </w:tc>
        <w:tc>
          <w:tcPr>
            <w:tcW w:w="1080" w:type="dxa"/>
          </w:tcPr>
          <w:p w14:paraId="7439E659" w14:textId="071D853E"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w:t>
            </w:r>
          </w:p>
        </w:tc>
        <w:tc>
          <w:tcPr>
            <w:tcW w:w="4937" w:type="dxa"/>
          </w:tcPr>
          <w:p w14:paraId="72929D5D" w14:textId="77777777"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Acceded to WTO prior to EU membership</w:t>
            </w:r>
          </w:p>
        </w:tc>
      </w:tr>
      <w:tr w:rsidR="00C921E2" w:rsidRPr="00D868ED" w14:paraId="6DE926F6" w14:textId="77777777" w:rsidTr="00296B9A">
        <w:tc>
          <w:tcPr>
            <w:tcW w:w="0" w:type="auto"/>
          </w:tcPr>
          <w:p w14:paraId="49031917" w14:textId="77777777"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Moldova</w:t>
            </w:r>
          </w:p>
        </w:tc>
        <w:tc>
          <w:tcPr>
            <w:tcW w:w="918" w:type="dxa"/>
          </w:tcPr>
          <w:p w14:paraId="1D59E1CA" w14:textId="0FD42ED5"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2001</w:t>
            </w:r>
          </w:p>
        </w:tc>
        <w:tc>
          <w:tcPr>
            <w:tcW w:w="990" w:type="dxa"/>
          </w:tcPr>
          <w:p w14:paraId="1C37C4D9" w14:textId="1B3DC23B"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w:t>
            </w:r>
          </w:p>
        </w:tc>
        <w:tc>
          <w:tcPr>
            <w:tcW w:w="1080" w:type="dxa"/>
          </w:tcPr>
          <w:p w14:paraId="40FC7CBE" w14:textId="1C32557F"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w:t>
            </w:r>
          </w:p>
        </w:tc>
        <w:tc>
          <w:tcPr>
            <w:tcW w:w="4937" w:type="dxa"/>
          </w:tcPr>
          <w:p w14:paraId="0B238D1C" w14:textId="77777777"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WTO accession during transition</w:t>
            </w:r>
          </w:p>
        </w:tc>
      </w:tr>
      <w:tr w:rsidR="00C921E2" w:rsidRPr="00D868ED" w14:paraId="5E24316C" w14:textId="77777777" w:rsidTr="00296B9A">
        <w:tc>
          <w:tcPr>
            <w:tcW w:w="0" w:type="auto"/>
          </w:tcPr>
          <w:p w14:paraId="2488A9A0" w14:textId="77777777"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Russia</w:t>
            </w:r>
          </w:p>
        </w:tc>
        <w:tc>
          <w:tcPr>
            <w:tcW w:w="918" w:type="dxa"/>
          </w:tcPr>
          <w:p w14:paraId="14982B39" w14:textId="179D5618"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2012</w:t>
            </w:r>
          </w:p>
        </w:tc>
        <w:tc>
          <w:tcPr>
            <w:tcW w:w="990" w:type="dxa"/>
          </w:tcPr>
          <w:p w14:paraId="2CBEEA12" w14:textId="5D7598FB"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w:t>
            </w:r>
          </w:p>
        </w:tc>
        <w:tc>
          <w:tcPr>
            <w:tcW w:w="1080" w:type="dxa"/>
          </w:tcPr>
          <w:p w14:paraId="695C0EF8" w14:textId="3EB07672"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2015</w:t>
            </w:r>
          </w:p>
        </w:tc>
        <w:tc>
          <w:tcPr>
            <w:tcW w:w="4937" w:type="dxa"/>
          </w:tcPr>
          <w:p w14:paraId="4582F428" w14:textId="77777777" w:rsidR="00D36F7E"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 xml:space="preserve">Largest </w:t>
            </w:r>
            <w:r w:rsidR="00FF1A3E" w:rsidRPr="00D868ED">
              <w:rPr>
                <w:rFonts w:asciiTheme="majorBidi" w:hAnsiTheme="majorBidi" w:cstheme="majorBidi"/>
                <w:sz w:val="24"/>
                <w:szCs w:val="24"/>
              </w:rPr>
              <w:t>post-Soviet</w:t>
            </w:r>
            <w:r w:rsidRPr="00D868ED">
              <w:rPr>
                <w:rFonts w:asciiTheme="majorBidi" w:hAnsiTheme="majorBidi" w:cstheme="majorBidi"/>
                <w:sz w:val="24"/>
                <w:szCs w:val="24"/>
              </w:rPr>
              <w:t xml:space="preserve"> economy to join WTO; </w:t>
            </w:r>
          </w:p>
          <w:p w14:paraId="0C957E8A" w14:textId="66F7A507"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EAEU member from 2015</w:t>
            </w:r>
          </w:p>
        </w:tc>
      </w:tr>
      <w:tr w:rsidR="00C921E2" w:rsidRPr="00D868ED" w14:paraId="63DE311B" w14:textId="77777777" w:rsidTr="00296B9A">
        <w:tc>
          <w:tcPr>
            <w:tcW w:w="0" w:type="auto"/>
          </w:tcPr>
          <w:p w14:paraId="2D88EC67" w14:textId="77777777"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Tajikistan</w:t>
            </w:r>
          </w:p>
        </w:tc>
        <w:tc>
          <w:tcPr>
            <w:tcW w:w="918" w:type="dxa"/>
          </w:tcPr>
          <w:p w14:paraId="1174EC36" w14:textId="1DD244CF"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2013</w:t>
            </w:r>
          </w:p>
        </w:tc>
        <w:tc>
          <w:tcPr>
            <w:tcW w:w="990" w:type="dxa"/>
          </w:tcPr>
          <w:p w14:paraId="4D969E78" w14:textId="15AA5E92"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w:t>
            </w:r>
          </w:p>
        </w:tc>
        <w:tc>
          <w:tcPr>
            <w:tcW w:w="1080" w:type="dxa"/>
          </w:tcPr>
          <w:p w14:paraId="0B7A649C" w14:textId="44F7E23A"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w:t>
            </w:r>
          </w:p>
        </w:tc>
        <w:tc>
          <w:tcPr>
            <w:tcW w:w="4937" w:type="dxa"/>
          </w:tcPr>
          <w:p w14:paraId="4B99BC6B" w14:textId="45260CC8"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 xml:space="preserve">Acceded </w:t>
            </w:r>
            <w:r w:rsidR="00E74D72" w:rsidRPr="00D868ED">
              <w:rPr>
                <w:rFonts w:asciiTheme="majorBidi" w:hAnsiTheme="majorBidi" w:cstheme="majorBidi"/>
                <w:sz w:val="24"/>
                <w:szCs w:val="24"/>
              </w:rPr>
              <w:t xml:space="preserve">WTO </w:t>
            </w:r>
            <w:r w:rsidRPr="00D868ED">
              <w:rPr>
                <w:rFonts w:asciiTheme="majorBidi" w:hAnsiTheme="majorBidi" w:cstheme="majorBidi"/>
                <w:sz w:val="24"/>
                <w:szCs w:val="24"/>
              </w:rPr>
              <w:t>after extensive reforms</w:t>
            </w:r>
          </w:p>
        </w:tc>
      </w:tr>
      <w:tr w:rsidR="00C921E2" w:rsidRPr="00D868ED" w14:paraId="57692CA5" w14:textId="77777777" w:rsidTr="00296B9A">
        <w:tc>
          <w:tcPr>
            <w:tcW w:w="0" w:type="auto"/>
          </w:tcPr>
          <w:p w14:paraId="5E0EC9A6" w14:textId="77777777"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Turkmenistan</w:t>
            </w:r>
          </w:p>
        </w:tc>
        <w:tc>
          <w:tcPr>
            <w:tcW w:w="918" w:type="dxa"/>
          </w:tcPr>
          <w:p w14:paraId="4F8E5BA5" w14:textId="7552CC0F" w:rsidR="00E400A8" w:rsidRPr="00D868ED" w:rsidRDefault="00513BB0" w:rsidP="00CE5C32">
            <w:pPr>
              <w:pStyle w:val="Compact"/>
              <w:jc w:val="center"/>
              <w:rPr>
                <w:rFonts w:asciiTheme="majorBidi" w:hAnsiTheme="majorBidi" w:cstheme="majorBidi"/>
                <w:sz w:val="24"/>
                <w:szCs w:val="24"/>
              </w:rPr>
            </w:pPr>
            <w:r>
              <w:rPr>
                <w:rFonts w:asciiTheme="majorBidi" w:hAnsiTheme="majorBidi" w:cstheme="majorBidi"/>
                <w:sz w:val="24"/>
                <w:szCs w:val="24"/>
              </w:rPr>
              <w:t>-</w:t>
            </w:r>
          </w:p>
        </w:tc>
        <w:tc>
          <w:tcPr>
            <w:tcW w:w="990" w:type="dxa"/>
          </w:tcPr>
          <w:p w14:paraId="235E9718" w14:textId="039319FC"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w:t>
            </w:r>
          </w:p>
        </w:tc>
        <w:tc>
          <w:tcPr>
            <w:tcW w:w="1080" w:type="dxa"/>
          </w:tcPr>
          <w:p w14:paraId="219F7CF7" w14:textId="6D2CB6F7"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w:t>
            </w:r>
          </w:p>
        </w:tc>
        <w:tc>
          <w:tcPr>
            <w:tcW w:w="4937" w:type="dxa"/>
          </w:tcPr>
          <w:p w14:paraId="07154E4A" w14:textId="77777777"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Observer status only in WTO</w:t>
            </w:r>
          </w:p>
        </w:tc>
      </w:tr>
      <w:tr w:rsidR="00C921E2" w:rsidRPr="00D868ED" w14:paraId="60817FB8" w14:textId="77777777" w:rsidTr="00296B9A">
        <w:tc>
          <w:tcPr>
            <w:tcW w:w="0" w:type="auto"/>
          </w:tcPr>
          <w:p w14:paraId="78E2A5E2" w14:textId="77777777"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Ukraine</w:t>
            </w:r>
          </w:p>
        </w:tc>
        <w:tc>
          <w:tcPr>
            <w:tcW w:w="918" w:type="dxa"/>
          </w:tcPr>
          <w:p w14:paraId="453A1EBA" w14:textId="1F92CF72"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2008</w:t>
            </w:r>
          </w:p>
        </w:tc>
        <w:tc>
          <w:tcPr>
            <w:tcW w:w="990" w:type="dxa"/>
          </w:tcPr>
          <w:p w14:paraId="61B99631" w14:textId="087F39AD"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w:t>
            </w:r>
          </w:p>
        </w:tc>
        <w:tc>
          <w:tcPr>
            <w:tcW w:w="1080" w:type="dxa"/>
          </w:tcPr>
          <w:p w14:paraId="1BC55AC4" w14:textId="6CEAA3B5"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w:t>
            </w:r>
          </w:p>
        </w:tc>
        <w:tc>
          <w:tcPr>
            <w:tcW w:w="4937" w:type="dxa"/>
          </w:tcPr>
          <w:p w14:paraId="625B3808" w14:textId="77777777"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WTO accession before EU Association</w:t>
            </w:r>
          </w:p>
        </w:tc>
      </w:tr>
      <w:tr w:rsidR="00C921E2" w:rsidRPr="00D868ED" w14:paraId="7F4B5073" w14:textId="77777777" w:rsidTr="00296B9A">
        <w:tc>
          <w:tcPr>
            <w:tcW w:w="0" w:type="auto"/>
          </w:tcPr>
          <w:p w14:paraId="630D9680" w14:textId="77777777"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Uzbekistan</w:t>
            </w:r>
          </w:p>
        </w:tc>
        <w:tc>
          <w:tcPr>
            <w:tcW w:w="918" w:type="dxa"/>
          </w:tcPr>
          <w:p w14:paraId="70273453" w14:textId="5CA0EC6F" w:rsidR="00E400A8" w:rsidRPr="00D868ED" w:rsidRDefault="00513BB0" w:rsidP="00CE5C32">
            <w:pPr>
              <w:pStyle w:val="Compact"/>
              <w:jc w:val="center"/>
              <w:rPr>
                <w:rFonts w:asciiTheme="majorBidi" w:hAnsiTheme="majorBidi" w:cstheme="majorBidi"/>
                <w:sz w:val="24"/>
                <w:szCs w:val="24"/>
              </w:rPr>
            </w:pPr>
            <w:r>
              <w:rPr>
                <w:rFonts w:asciiTheme="majorBidi" w:hAnsiTheme="majorBidi" w:cstheme="majorBidi"/>
                <w:sz w:val="24"/>
                <w:szCs w:val="24"/>
              </w:rPr>
              <w:t>-</w:t>
            </w:r>
          </w:p>
        </w:tc>
        <w:tc>
          <w:tcPr>
            <w:tcW w:w="990" w:type="dxa"/>
          </w:tcPr>
          <w:p w14:paraId="2B0F4479" w14:textId="52D48E98"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w:t>
            </w:r>
          </w:p>
        </w:tc>
        <w:tc>
          <w:tcPr>
            <w:tcW w:w="1080" w:type="dxa"/>
          </w:tcPr>
          <w:p w14:paraId="5ABD265F" w14:textId="46AE00D2" w:rsidR="00E400A8" w:rsidRPr="00D868ED" w:rsidRDefault="00E400A8" w:rsidP="00CE5C32">
            <w:pPr>
              <w:pStyle w:val="Compact"/>
              <w:jc w:val="center"/>
              <w:rPr>
                <w:rFonts w:asciiTheme="majorBidi" w:hAnsiTheme="majorBidi" w:cstheme="majorBidi"/>
                <w:sz w:val="24"/>
                <w:szCs w:val="24"/>
              </w:rPr>
            </w:pPr>
            <w:r w:rsidRPr="00D868ED">
              <w:rPr>
                <w:rFonts w:asciiTheme="majorBidi" w:hAnsiTheme="majorBidi" w:cstheme="majorBidi"/>
                <w:sz w:val="24"/>
                <w:szCs w:val="24"/>
              </w:rPr>
              <w:t>-</w:t>
            </w:r>
          </w:p>
        </w:tc>
        <w:tc>
          <w:tcPr>
            <w:tcW w:w="4937" w:type="dxa"/>
          </w:tcPr>
          <w:p w14:paraId="39C2BFF8" w14:textId="61A6CBFF" w:rsidR="00E400A8" w:rsidRPr="00D868ED" w:rsidRDefault="00E400A8" w:rsidP="00CE5C32">
            <w:pPr>
              <w:pStyle w:val="Compact"/>
              <w:rPr>
                <w:rFonts w:asciiTheme="majorBidi" w:hAnsiTheme="majorBidi" w:cstheme="majorBidi"/>
                <w:sz w:val="24"/>
                <w:szCs w:val="24"/>
              </w:rPr>
            </w:pPr>
            <w:r w:rsidRPr="00D868ED">
              <w:rPr>
                <w:rFonts w:asciiTheme="majorBidi" w:hAnsiTheme="majorBidi" w:cstheme="majorBidi"/>
                <w:sz w:val="24"/>
                <w:szCs w:val="24"/>
              </w:rPr>
              <w:t>WTO accession</w:t>
            </w:r>
            <w:r w:rsidR="00D36F7E" w:rsidRPr="00D868ED">
              <w:rPr>
                <w:rFonts w:asciiTheme="majorBidi" w:hAnsiTheme="majorBidi" w:cstheme="majorBidi"/>
                <w:sz w:val="24"/>
                <w:szCs w:val="24"/>
              </w:rPr>
              <w:t xml:space="preserve"> still</w:t>
            </w:r>
            <w:r w:rsidRPr="00D868ED">
              <w:rPr>
                <w:rFonts w:asciiTheme="majorBidi" w:hAnsiTheme="majorBidi" w:cstheme="majorBidi"/>
                <w:sz w:val="24"/>
                <w:szCs w:val="24"/>
              </w:rPr>
              <w:t xml:space="preserve"> ongoing</w:t>
            </w:r>
            <w:r w:rsidR="004D2DFF" w:rsidRPr="00D868ED">
              <w:rPr>
                <w:rFonts w:asciiTheme="majorBidi" w:hAnsiTheme="majorBidi" w:cstheme="majorBidi"/>
                <w:sz w:val="24"/>
                <w:szCs w:val="24"/>
              </w:rPr>
              <w:t>.</w:t>
            </w:r>
          </w:p>
        </w:tc>
      </w:tr>
    </w:tbl>
    <w:p w14:paraId="1AD892AC" w14:textId="77777777" w:rsidR="00E951F9" w:rsidRPr="00D868ED" w:rsidRDefault="00E951F9" w:rsidP="00CE5C32">
      <w:pPr>
        <w:bidi w:val="0"/>
        <w:spacing w:line="360" w:lineRule="auto"/>
        <w:jc w:val="both"/>
        <w:rPr>
          <w:rFonts w:asciiTheme="majorBidi" w:hAnsiTheme="majorBidi" w:cstheme="majorBidi"/>
          <w:b/>
          <w:bCs/>
        </w:rPr>
      </w:pPr>
      <w:bookmarkStart w:id="8" w:name="institutional-coding"/>
      <w:bookmarkEnd w:id="8"/>
    </w:p>
    <w:p w14:paraId="084D5098" w14:textId="51FE10D5" w:rsidR="00844A5B" w:rsidRPr="00D868ED" w:rsidRDefault="00844A5B" w:rsidP="00CE5C32">
      <w:pPr>
        <w:bidi w:val="0"/>
        <w:spacing w:line="360" w:lineRule="auto"/>
        <w:jc w:val="both"/>
        <w:rPr>
          <w:rFonts w:asciiTheme="majorBidi" w:hAnsiTheme="majorBidi" w:cstheme="majorBidi"/>
          <w:b/>
          <w:bCs/>
        </w:rPr>
      </w:pPr>
      <w:r w:rsidRPr="00D868ED">
        <w:rPr>
          <w:rFonts w:asciiTheme="majorBidi" w:hAnsiTheme="majorBidi" w:cstheme="majorBidi"/>
          <w:b/>
          <w:bCs/>
        </w:rPr>
        <w:t>3.</w:t>
      </w:r>
      <w:r w:rsidR="002E2D40" w:rsidRPr="00D868ED">
        <w:rPr>
          <w:rFonts w:asciiTheme="majorBidi" w:hAnsiTheme="majorBidi" w:cstheme="majorBidi"/>
          <w:b/>
          <w:bCs/>
        </w:rPr>
        <w:t>3</w:t>
      </w:r>
      <w:r w:rsidRPr="00D868ED">
        <w:rPr>
          <w:rFonts w:asciiTheme="majorBidi" w:hAnsiTheme="majorBidi" w:cstheme="majorBidi"/>
          <w:b/>
          <w:bCs/>
        </w:rPr>
        <w:t xml:space="preserve"> Descriptive statistics</w:t>
      </w:r>
    </w:p>
    <w:bookmarkStart w:id="9" w:name="Xd8d1bde4d515ce76830ad73e62baf77b4ed3c0a"/>
    <w:p w14:paraId="344D0221" w14:textId="18067279" w:rsidR="008214AB" w:rsidRPr="00D868ED" w:rsidRDefault="00C50056" w:rsidP="00CE5C32">
      <w:pPr>
        <w:bidi w:val="0"/>
        <w:spacing w:after="120" w:line="288" w:lineRule="auto"/>
        <w:jc w:val="both"/>
        <w:rPr>
          <w:rFonts w:asciiTheme="majorBidi" w:hAnsiTheme="majorBidi" w:cstheme="majorBidi"/>
        </w:rPr>
      </w:pPr>
      <w:r w:rsidRPr="00D868ED">
        <w:rPr>
          <w:rFonts w:asciiTheme="majorBidi" w:hAnsiTheme="majorBidi" w:cstheme="majorBidi"/>
        </w:rPr>
        <w:fldChar w:fldCharType="begin"/>
      </w:r>
      <w:r w:rsidRPr="00D868ED">
        <w:rPr>
          <w:rFonts w:asciiTheme="majorBidi" w:hAnsiTheme="majorBidi" w:cstheme="majorBidi"/>
        </w:rPr>
        <w:instrText xml:space="preserve"> REF _Ref224731122 \h </w:instrText>
      </w:r>
      <w:r w:rsidR="00E951F9" w:rsidRPr="00D868ED">
        <w:rPr>
          <w:rFonts w:asciiTheme="majorBidi" w:hAnsiTheme="majorBidi" w:cstheme="majorBidi"/>
        </w:rPr>
        <w:instrText xml:space="preserve"> \* MERGEFORMAT </w:instrText>
      </w:r>
      <w:r w:rsidRPr="00D868ED">
        <w:rPr>
          <w:rFonts w:asciiTheme="majorBidi" w:hAnsiTheme="majorBidi" w:cstheme="majorBidi"/>
        </w:rPr>
      </w:r>
      <w:r w:rsidRPr="00D868ED">
        <w:rPr>
          <w:rFonts w:asciiTheme="majorBidi" w:hAnsiTheme="majorBidi" w:cstheme="majorBidi"/>
        </w:rPr>
        <w:fldChar w:fldCharType="separate"/>
      </w:r>
      <w:r w:rsidR="00EC28FA" w:rsidRPr="00D868ED">
        <w:rPr>
          <w:rFonts w:asciiTheme="majorBidi" w:hAnsiTheme="majorBidi" w:cstheme="majorBidi"/>
        </w:rPr>
        <w:t xml:space="preserve">Table </w:t>
      </w:r>
      <w:r w:rsidR="00EC28FA" w:rsidRPr="00D868ED">
        <w:rPr>
          <w:rFonts w:asciiTheme="majorBidi" w:hAnsiTheme="majorBidi" w:cstheme="majorBidi"/>
          <w:noProof/>
        </w:rPr>
        <w:t>3</w:t>
      </w:r>
      <w:r w:rsidRPr="00D868ED">
        <w:rPr>
          <w:rFonts w:asciiTheme="majorBidi" w:hAnsiTheme="majorBidi" w:cstheme="majorBidi"/>
        </w:rPr>
        <w:fldChar w:fldCharType="end"/>
      </w:r>
      <w:r w:rsidRPr="00D868ED">
        <w:rPr>
          <w:rFonts w:asciiTheme="majorBidi" w:hAnsiTheme="majorBidi" w:cstheme="majorBidi"/>
        </w:rPr>
        <w:t xml:space="preserve"> </w:t>
      </w:r>
      <w:r w:rsidR="008214AB" w:rsidRPr="00D868ED">
        <w:rPr>
          <w:rFonts w:asciiTheme="majorBidi" w:hAnsiTheme="majorBidi" w:cstheme="majorBidi"/>
        </w:rPr>
        <w:t>reports descriptive statistics for the main variables used in the empirical analysis. The figures reveal substantial heterogeneity in both trade flows and economic size across the post-Soviet economies.</w:t>
      </w:r>
      <w:r w:rsidR="00CB0288" w:rsidRPr="00D868ED">
        <w:rPr>
          <w:rFonts w:asciiTheme="majorBidi" w:hAnsiTheme="majorBidi" w:cstheme="majorBidi"/>
        </w:rPr>
        <w:t xml:space="preserve"> </w:t>
      </w:r>
      <w:r w:rsidR="008214AB" w:rsidRPr="00D868ED">
        <w:rPr>
          <w:rFonts w:asciiTheme="majorBidi" w:hAnsiTheme="majorBidi" w:cstheme="majorBidi"/>
        </w:rPr>
        <w:t>Bilateral trade flows are highly unevenly distributed. The average trade flow between country pairs is about 519 million USD, while the median is only 24.6 million USD, indicating a strongly right-skewed distribution. The maximum trade flow reaches 29.1 billion USD, whereas the minimum positive value is about 1 million USD. This large gap between the mean and the median suggests that a relatively small number of country pairs account for a large share of intra-regional trade.</w:t>
      </w:r>
    </w:p>
    <w:p w14:paraId="7ED83A9F" w14:textId="23596D49" w:rsidR="008214AB" w:rsidRPr="00D868ED" w:rsidRDefault="008214AB" w:rsidP="00CE5C32">
      <w:pPr>
        <w:bidi w:val="0"/>
        <w:spacing w:after="120" w:line="288" w:lineRule="auto"/>
        <w:jc w:val="both"/>
        <w:rPr>
          <w:rFonts w:asciiTheme="majorBidi" w:hAnsiTheme="majorBidi" w:cstheme="majorBidi"/>
        </w:rPr>
      </w:pPr>
      <w:r w:rsidRPr="00D868ED">
        <w:rPr>
          <w:rFonts w:asciiTheme="majorBidi" w:hAnsiTheme="majorBidi" w:cstheme="majorBidi"/>
        </w:rPr>
        <w:t xml:space="preserve">Economic size also varies considerably across countries. The average GDP of exporting and importing countries is about 104 billion USD, while the median is only 16 billion USD, reflecting the coexistence of small transition economies alongside </w:t>
      </w:r>
      <w:r w:rsidR="00657699" w:rsidRPr="00D868ED">
        <w:rPr>
          <w:rFonts w:asciiTheme="majorBidi" w:hAnsiTheme="majorBidi" w:cstheme="majorBidi"/>
        </w:rPr>
        <w:t xml:space="preserve">a </w:t>
      </w:r>
      <w:r w:rsidRPr="00D868ED">
        <w:rPr>
          <w:rFonts w:asciiTheme="majorBidi" w:hAnsiTheme="majorBidi" w:cstheme="majorBidi"/>
        </w:rPr>
        <w:t>much larger econom</w:t>
      </w:r>
      <w:r w:rsidR="00657699" w:rsidRPr="00D868ED">
        <w:rPr>
          <w:rFonts w:asciiTheme="majorBidi" w:hAnsiTheme="majorBidi" w:cstheme="majorBidi"/>
        </w:rPr>
        <w:t>y</w:t>
      </w:r>
      <w:r w:rsidRPr="00D868ED">
        <w:rPr>
          <w:rFonts w:asciiTheme="majorBidi" w:hAnsiTheme="majorBidi" w:cstheme="majorBidi"/>
        </w:rPr>
        <w:t xml:space="preserve"> such as Russia. The maximum GDP exceeds 2.09 trillion USD, confirming the dominant economic scale of the largest country in the region.</w:t>
      </w:r>
      <w:r w:rsidR="000237DB" w:rsidRPr="00D868ED">
        <w:rPr>
          <w:rFonts w:asciiTheme="majorBidi" w:hAnsiTheme="majorBidi" w:cstheme="majorBidi"/>
        </w:rPr>
        <w:t xml:space="preserve"> </w:t>
      </w:r>
      <w:r w:rsidRPr="00D868ED">
        <w:rPr>
          <w:rFonts w:asciiTheme="majorBidi" w:hAnsiTheme="majorBidi" w:cstheme="majorBidi"/>
        </w:rPr>
        <w:t>Geographic distance between country pairs averages about 2,020 km, with values ranging from 170 km to 3,863 km. The closeness of the mean and median suggests a relatively symmetric distribution of distances across country pairs.</w:t>
      </w:r>
    </w:p>
    <w:p w14:paraId="484DEB49" w14:textId="006FB38A" w:rsidR="008214AB" w:rsidRPr="00D868ED" w:rsidRDefault="008214AB" w:rsidP="00CE5C32">
      <w:pPr>
        <w:bidi w:val="0"/>
        <w:spacing w:after="120" w:line="288" w:lineRule="auto"/>
        <w:jc w:val="both"/>
        <w:rPr>
          <w:rFonts w:asciiTheme="majorBidi" w:hAnsiTheme="majorBidi" w:cstheme="majorBidi"/>
        </w:rPr>
      </w:pPr>
      <w:r w:rsidRPr="00D868ED">
        <w:rPr>
          <w:rFonts w:asciiTheme="majorBidi" w:hAnsiTheme="majorBidi" w:cstheme="majorBidi"/>
        </w:rPr>
        <w:t xml:space="preserve">The binary variables indicate the frequency of geographic and institutional links. Only 2.97% of observations involve countries sharing an official language, indicating that </w:t>
      </w:r>
      <w:r w:rsidR="00135017" w:rsidRPr="00D868ED">
        <w:rPr>
          <w:rFonts w:asciiTheme="majorBidi" w:hAnsiTheme="majorBidi" w:cstheme="majorBidi"/>
        </w:rPr>
        <w:t xml:space="preserve">official </w:t>
      </w:r>
      <w:r w:rsidRPr="00D868ED">
        <w:rPr>
          <w:rFonts w:asciiTheme="majorBidi" w:hAnsiTheme="majorBidi" w:cstheme="majorBidi"/>
        </w:rPr>
        <w:t>linguistic proximity is relatively rare</w:t>
      </w:r>
      <w:r w:rsidR="00135017" w:rsidRPr="00D868ED">
        <w:rPr>
          <w:rFonts w:asciiTheme="majorBidi" w:hAnsiTheme="majorBidi" w:cstheme="majorBidi"/>
        </w:rPr>
        <w:t xml:space="preserve"> although Russian is commonly spoken in the region</w:t>
      </w:r>
      <w:r w:rsidRPr="00D868ED">
        <w:rPr>
          <w:rFonts w:asciiTheme="majorBidi" w:hAnsiTheme="majorBidi" w:cstheme="majorBidi"/>
        </w:rPr>
        <w:t>. In contrast, 23.4% of observations involve countries sharing a land border, suggesting that geographic proximity is more common. Institutional overlap is more limited. About 27% of country-pair observations involve two WTO members, reflecting the gradual accession of transition economies to the multilateral trading system. By comparison, joint membership in regional blocs is much less frequent: 1.94% of observations involve two EU members, while 2.28% involve two EAEU members. This reflects both the limited number of countries participating in these regional integration arrangements and their relatively recent formation during the sample period.</w:t>
      </w:r>
    </w:p>
    <w:p w14:paraId="35BBCC5A" w14:textId="0463F441" w:rsidR="00844A5B" w:rsidRPr="00D868ED" w:rsidRDefault="00E8673E" w:rsidP="00CE5C32">
      <w:pPr>
        <w:pStyle w:val="Caption"/>
        <w:bidi w:val="0"/>
        <w:rPr>
          <w:rFonts w:asciiTheme="majorBidi" w:hAnsiTheme="majorBidi" w:cstheme="majorBidi"/>
          <w:i w:val="0"/>
          <w:iCs w:val="0"/>
          <w:color w:val="auto"/>
          <w:sz w:val="24"/>
          <w:szCs w:val="24"/>
        </w:rPr>
      </w:pPr>
      <w:bookmarkStart w:id="10" w:name="_Ref224731122"/>
      <w:r w:rsidRPr="00D868ED">
        <w:rPr>
          <w:rFonts w:asciiTheme="majorBidi" w:hAnsiTheme="majorBidi" w:cstheme="majorBidi"/>
          <w:i w:val="0"/>
          <w:iCs w:val="0"/>
          <w:color w:val="auto"/>
          <w:sz w:val="24"/>
          <w:szCs w:val="24"/>
        </w:rPr>
        <w:t xml:space="preserve">Table </w:t>
      </w:r>
      <w:r w:rsidRPr="00D868ED">
        <w:rPr>
          <w:rFonts w:asciiTheme="majorBidi" w:hAnsiTheme="majorBidi" w:cstheme="majorBidi"/>
          <w:i w:val="0"/>
          <w:iCs w:val="0"/>
          <w:color w:val="auto"/>
          <w:sz w:val="24"/>
          <w:szCs w:val="24"/>
        </w:rPr>
        <w:fldChar w:fldCharType="begin"/>
      </w:r>
      <w:r w:rsidRPr="00D868ED">
        <w:rPr>
          <w:rFonts w:asciiTheme="majorBidi" w:hAnsiTheme="majorBidi" w:cstheme="majorBidi"/>
          <w:i w:val="0"/>
          <w:iCs w:val="0"/>
          <w:color w:val="auto"/>
          <w:sz w:val="24"/>
          <w:szCs w:val="24"/>
        </w:rPr>
        <w:instrText xml:space="preserve"> SEQ Table \* ARABIC </w:instrText>
      </w:r>
      <w:r w:rsidRPr="00D868ED">
        <w:rPr>
          <w:rFonts w:asciiTheme="majorBidi" w:hAnsiTheme="majorBidi" w:cstheme="majorBidi"/>
          <w:i w:val="0"/>
          <w:iCs w:val="0"/>
          <w:color w:val="auto"/>
          <w:sz w:val="24"/>
          <w:szCs w:val="24"/>
        </w:rPr>
        <w:fldChar w:fldCharType="separate"/>
      </w:r>
      <w:r w:rsidR="00EC28FA" w:rsidRPr="00D868ED">
        <w:rPr>
          <w:rFonts w:asciiTheme="majorBidi" w:hAnsiTheme="majorBidi" w:cstheme="majorBidi"/>
          <w:i w:val="0"/>
          <w:iCs w:val="0"/>
          <w:noProof/>
          <w:color w:val="auto"/>
          <w:sz w:val="24"/>
          <w:szCs w:val="24"/>
        </w:rPr>
        <w:t>3</w:t>
      </w:r>
      <w:r w:rsidRPr="00D868ED">
        <w:rPr>
          <w:rFonts w:asciiTheme="majorBidi" w:hAnsiTheme="majorBidi" w:cstheme="majorBidi"/>
          <w:i w:val="0"/>
          <w:iCs w:val="0"/>
          <w:color w:val="auto"/>
          <w:sz w:val="24"/>
          <w:szCs w:val="24"/>
        </w:rPr>
        <w:fldChar w:fldCharType="end"/>
      </w:r>
      <w:bookmarkEnd w:id="10"/>
      <w:r w:rsidRPr="00D868ED">
        <w:rPr>
          <w:rFonts w:asciiTheme="majorBidi" w:hAnsiTheme="majorBidi" w:cstheme="majorBidi"/>
          <w:i w:val="0"/>
          <w:iCs w:val="0"/>
          <w:color w:val="auto"/>
          <w:sz w:val="24"/>
          <w:szCs w:val="24"/>
        </w:rPr>
        <w:t xml:space="preserve">. </w:t>
      </w:r>
      <w:r w:rsidR="00844A5B" w:rsidRPr="00D868ED">
        <w:rPr>
          <w:rFonts w:asciiTheme="majorBidi" w:hAnsiTheme="majorBidi" w:cstheme="majorBidi"/>
          <w:i w:val="0"/>
          <w:iCs w:val="0"/>
          <w:color w:val="auto"/>
          <w:sz w:val="24"/>
          <w:szCs w:val="24"/>
        </w:rPr>
        <w:t>Summary statistics of main variables</w:t>
      </w:r>
    </w:p>
    <w:tbl>
      <w:tblPr>
        <w:tblW w:w="0" w:type="auto"/>
        <w:tblLook w:val="0020" w:firstRow="1" w:lastRow="0" w:firstColumn="0" w:lastColumn="0" w:noHBand="0" w:noVBand="0"/>
      </w:tblPr>
      <w:tblGrid>
        <w:gridCol w:w="3118"/>
        <w:gridCol w:w="836"/>
        <w:gridCol w:w="1101"/>
        <w:gridCol w:w="636"/>
        <w:gridCol w:w="950"/>
        <w:gridCol w:w="936"/>
      </w:tblGrid>
      <w:tr w:rsidR="00C921E2" w:rsidRPr="00D868ED" w14:paraId="6C846451" w14:textId="77777777" w:rsidTr="00844A5B">
        <w:trPr>
          <w:tblHeader/>
        </w:trPr>
        <w:tc>
          <w:tcPr>
            <w:tcW w:w="0" w:type="auto"/>
            <w:tcBorders>
              <w:top w:val="single" w:sz="4" w:space="0" w:color="auto"/>
              <w:left w:val="single" w:sz="4" w:space="0" w:color="auto"/>
              <w:right w:val="single" w:sz="4" w:space="0" w:color="auto"/>
            </w:tcBorders>
            <w:hideMark/>
          </w:tcPr>
          <w:p w14:paraId="009B5A30"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Variable</w:t>
            </w:r>
          </w:p>
        </w:tc>
        <w:tc>
          <w:tcPr>
            <w:tcW w:w="0" w:type="auto"/>
            <w:tcBorders>
              <w:top w:val="single" w:sz="4" w:space="0" w:color="auto"/>
              <w:left w:val="single" w:sz="4" w:space="0" w:color="auto"/>
              <w:right w:val="single" w:sz="4" w:space="0" w:color="auto"/>
            </w:tcBorders>
            <w:hideMark/>
          </w:tcPr>
          <w:p w14:paraId="62DF8D78"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Mean</w:t>
            </w:r>
          </w:p>
        </w:tc>
        <w:tc>
          <w:tcPr>
            <w:tcW w:w="0" w:type="auto"/>
            <w:tcBorders>
              <w:top w:val="single" w:sz="4" w:space="0" w:color="auto"/>
              <w:left w:val="single" w:sz="4" w:space="0" w:color="auto"/>
              <w:right w:val="single" w:sz="4" w:space="0" w:color="auto"/>
            </w:tcBorders>
            <w:hideMark/>
          </w:tcPr>
          <w:p w14:paraId="354330FA"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Std. Dev.</w:t>
            </w:r>
          </w:p>
        </w:tc>
        <w:tc>
          <w:tcPr>
            <w:tcW w:w="0" w:type="auto"/>
            <w:tcBorders>
              <w:top w:val="single" w:sz="4" w:space="0" w:color="auto"/>
              <w:left w:val="single" w:sz="4" w:space="0" w:color="auto"/>
              <w:right w:val="single" w:sz="4" w:space="0" w:color="auto"/>
            </w:tcBorders>
            <w:hideMark/>
          </w:tcPr>
          <w:p w14:paraId="6DBAB9D7"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Min</w:t>
            </w:r>
          </w:p>
        </w:tc>
        <w:tc>
          <w:tcPr>
            <w:tcW w:w="0" w:type="auto"/>
            <w:tcBorders>
              <w:top w:val="single" w:sz="4" w:space="0" w:color="auto"/>
              <w:left w:val="single" w:sz="4" w:space="0" w:color="auto"/>
              <w:right w:val="single" w:sz="4" w:space="0" w:color="auto"/>
            </w:tcBorders>
            <w:hideMark/>
          </w:tcPr>
          <w:p w14:paraId="2F7850D6"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Median</w:t>
            </w:r>
          </w:p>
        </w:tc>
        <w:tc>
          <w:tcPr>
            <w:tcW w:w="0" w:type="auto"/>
            <w:tcBorders>
              <w:top w:val="single" w:sz="4" w:space="0" w:color="auto"/>
              <w:left w:val="single" w:sz="4" w:space="0" w:color="auto"/>
              <w:right w:val="single" w:sz="4" w:space="0" w:color="auto"/>
            </w:tcBorders>
            <w:hideMark/>
          </w:tcPr>
          <w:p w14:paraId="35C1F297"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Max</w:t>
            </w:r>
          </w:p>
        </w:tc>
      </w:tr>
      <w:tr w:rsidR="00C921E2" w:rsidRPr="00D868ED" w14:paraId="47F7404C" w14:textId="77777777" w:rsidTr="00844A5B">
        <w:tc>
          <w:tcPr>
            <w:tcW w:w="0" w:type="auto"/>
            <w:tcBorders>
              <w:top w:val="single" w:sz="4" w:space="0" w:color="auto"/>
              <w:left w:val="single" w:sz="4" w:space="0" w:color="auto"/>
              <w:bottom w:val="single" w:sz="4" w:space="0" w:color="auto"/>
              <w:right w:val="single" w:sz="4" w:space="0" w:color="auto"/>
            </w:tcBorders>
            <w:hideMark/>
          </w:tcPr>
          <w:p w14:paraId="2E0972FC" w14:textId="1D5FB1E6" w:rsidR="00844A5B" w:rsidRPr="00D868ED" w:rsidRDefault="00D16CFB" w:rsidP="00CE5C32">
            <w:pPr>
              <w:bidi w:val="0"/>
              <w:spacing w:after="0" w:line="240" w:lineRule="auto"/>
              <w:jc w:val="both"/>
              <w:rPr>
                <w:rFonts w:asciiTheme="majorBidi" w:hAnsiTheme="majorBidi" w:cstheme="majorBidi"/>
              </w:rPr>
            </w:pPr>
            <m:oMath>
              <m:r>
                <w:rPr>
                  <w:rFonts w:ascii="Cambria Math" w:hAnsi="Cambria Math" w:cstheme="majorBidi"/>
                </w:rPr>
                <m:t>Flow (million USD)</m:t>
              </m:r>
            </m:oMath>
            <w:r w:rsidR="00CF5969" w:rsidRPr="00D868ED">
              <w:rPr>
                <w:rFonts w:asciiTheme="majorBidi" w:eastAsiaTheme="minorEastAsia" w:hAnsiTheme="majorBidi" w:cstheme="majorBidi"/>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3B8CF541" w14:textId="0851A3B3"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519</w:t>
            </w:r>
          </w:p>
        </w:tc>
        <w:tc>
          <w:tcPr>
            <w:tcW w:w="0" w:type="auto"/>
            <w:tcBorders>
              <w:top w:val="single" w:sz="4" w:space="0" w:color="auto"/>
              <w:left w:val="single" w:sz="4" w:space="0" w:color="auto"/>
              <w:bottom w:val="single" w:sz="4" w:space="0" w:color="auto"/>
              <w:right w:val="single" w:sz="4" w:space="0" w:color="auto"/>
            </w:tcBorders>
            <w:hideMark/>
          </w:tcPr>
          <w:p w14:paraId="29A991EF" w14:textId="38672FD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2,014</w:t>
            </w:r>
          </w:p>
        </w:tc>
        <w:tc>
          <w:tcPr>
            <w:tcW w:w="0" w:type="auto"/>
            <w:tcBorders>
              <w:top w:val="single" w:sz="4" w:space="0" w:color="auto"/>
              <w:left w:val="single" w:sz="4" w:space="0" w:color="auto"/>
              <w:bottom w:val="single" w:sz="4" w:space="0" w:color="auto"/>
              <w:right w:val="single" w:sz="4" w:space="0" w:color="auto"/>
            </w:tcBorders>
            <w:hideMark/>
          </w:tcPr>
          <w:p w14:paraId="69505710"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1</w:t>
            </w:r>
          </w:p>
        </w:tc>
        <w:tc>
          <w:tcPr>
            <w:tcW w:w="0" w:type="auto"/>
            <w:tcBorders>
              <w:top w:val="single" w:sz="4" w:space="0" w:color="auto"/>
              <w:left w:val="single" w:sz="4" w:space="0" w:color="auto"/>
              <w:bottom w:val="single" w:sz="4" w:space="0" w:color="auto"/>
              <w:right w:val="single" w:sz="4" w:space="0" w:color="auto"/>
            </w:tcBorders>
            <w:hideMark/>
          </w:tcPr>
          <w:p w14:paraId="4A28E777" w14:textId="515441D9"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24</w:t>
            </w:r>
            <w:r w:rsidR="00FF5C34" w:rsidRPr="00D868ED">
              <w:rPr>
                <w:rFonts w:asciiTheme="majorBidi" w:hAnsiTheme="majorBidi" w:cstheme="majorBidi"/>
              </w:rPr>
              <w:t>.</w:t>
            </w:r>
            <w:r w:rsidR="007A05C2" w:rsidRPr="00D868ED">
              <w:rPr>
                <w:rFonts w:asciiTheme="majorBidi" w:hAnsiTheme="majorBidi" w:cstheme="majorBidi"/>
              </w:rPr>
              <w:t>6</w:t>
            </w:r>
          </w:p>
        </w:tc>
        <w:tc>
          <w:tcPr>
            <w:tcW w:w="0" w:type="auto"/>
            <w:tcBorders>
              <w:top w:val="single" w:sz="4" w:space="0" w:color="auto"/>
              <w:left w:val="single" w:sz="4" w:space="0" w:color="auto"/>
              <w:bottom w:val="single" w:sz="4" w:space="0" w:color="auto"/>
              <w:right w:val="single" w:sz="4" w:space="0" w:color="auto"/>
            </w:tcBorders>
            <w:hideMark/>
          </w:tcPr>
          <w:p w14:paraId="1E44943A" w14:textId="0A0FBA00"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29</w:t>
            </w:r>
            <w:r w:rsidR="00A30677" w:rsidRPr="00D868ED">
              <w:rPr>
                <w:rFonts w:asciiTheme="majorBidi" w:hAnsiTheme="majorBidi" w:cstheme="majorBidi"/>
              </w:rPr>
              <w:t>,</w:t>
            </w:r>
            <w:r w:rsidRPr="00D868ED">
              <w:rPr>
                <w:rFonts w:asciiTheme="majorBidi" w:hAnsiTheme="majorBidi" w:cstheme="majorBidi"/>
              </w:rPr>
              <w:t>132</w:t>
            </w:r>
          </w:p>
        </w:tc>
      </w:tr>
      <w:tr w:rsidR="00C921E2" w:rsidRPr="00D868ED" w14:paraId="38676420" w14:textId="77777777" w:rsidTr="00844A5B">
        <w:tc>
          <w:tcPr>
            <w:tcW w:w="0" w:type="auto"/>
            <w:tcBorders>
              <w:top w:val="single" w:sz="4" w:space="0" w:color="auto"/>
              <w:left w:val="single" w:sz="4" w:space="0" w:color="auto"/>
              <w:bottom w:val="single" w:sz="4" w:space="0" w:color="auto"/>
              <w:right w:val="single" w:sz="4" w:space="0" w:color="auto"/>
            </w:tcBorders>
            <w:hideMark/>
          </w:tcPr>
          <w:p w14:paraId="736A8B88" w14:textId="791E6042" w:rsidR="00844A5B" w:rsidRPr="00D868ED" w:rsidRDefault="00D16CFB" w:rsidP="00CE5C32">
            <w:pPr>
              <w:bidi w:val="0"/>
              <w:spacing w:after="0" w:line="240" w:lineRule="auto"/>
              <w:jc w:val="both"/>
              <w:rPr>
                <w:rFonts w:asciiTheme="majorBidi" w:hAnsiTheme="majorBidi" w:cstheme="majorBidi"/>
              </w:rPr>
            </w:pPr>
            <m:oMath>
              <m:r>
                <w:rPr>
                  <w:rFonts w:ascii="Cambria Math" w:hAnsi="Cambria Math" w:cstheme="majorBidi"/>
                </w:rPr>
                <m:t>gd</m:t>
              </m:r>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o</m:t>
                  </m:r>
                </m:sub>
              </m:sSub>
              <m:r>
                <w:rPr>
                  <w:rFonts w:ascii="Cambria Math" w:hAnsi="Cambria Math" w:cstheme="majorBidi"/>
                </w:rPr>
                <m:t xml:space="preserve"> or gd</m:t>
              </m:r>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d</m:t>
                  </m:r>
                </m:sub>
              </m:sSub>
              <m:r>
                <w:rPr>
                  <w:rFonts w:ascii="Cambria Math" w:hAnsi="Cambria Math" w:cstheme="majorBidi"/>
                </w:rPr>
                <m:t xml:space="preserve"> (billion USD)</m:t>
              </m:r>
            </m:oMath>
            <w:r w:rsidR="00CF5969" w:rsidRPr="00D868ED">
              <w:rPr>
                <w:rFonts w:asciiTheme="majorBidi" w:eastAsiaTheme="minorEastAsia" w:hAnsiTheme="majorBidi" w:cstheme="majorBidi"/>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5977DE22" w14:textId="46DD349C"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104</w:t>
            </w:r>
            <w:r w:rsidR="00D716F7" w:rsidRPr="00D868ED">
              <w:rPr>
                <w:rFonts w:asciiTheme="majorBidi" w:hAnsiTheme="majorBidi" w:cstheme="majorBidi"/>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6691B6C2" w14:textId="44ED84D4"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318</w:t>
            </w:r>
            <w:r w:rsidR="00FF5C34" w:rsidRPr="00D868ED">
              <w:rPr>
                <w:rFonts w:asciiTheme="majorBidi" w:hAnsiTheme="majorBidi" w:cstheme="majorBidi"/>
              </w:rPr>
              <w:t>.</w:t>
            </w:r>
            <w:r w:rsidR="007A05C2" w:rsidRPr="00D868ED">
              <w:rPr>
                <w:rFonts w:asciiTheme="majorBidi" w:hAnsiTheme="majorBidi" w:cstheme="majorBidi"/>
              </w:rPr>
              <w:t>9</w:t>
            </w:r>
          </w:p>
        </w:tc>
        <w:tc>
          <w:tcPr>
            <w:tcW w:w="0" w:type="auto"/>
            <w:tcBorders>
              <w:top w:val="single" w:sz="4" w:space="0" w:color="auto"/>
              <w:left w:val="single" w:sz="4" w:space="0" w:color="auto"/>
              <w:bottom w:val="single" w:sz="4" w:space="0" w:color="auto"/>
              <w:right w:val="single" w:sz="4" w:space="0" w:color="auto"/>
            </w:tcBorders>
            <w:hideMark/>
          </w:tcPr>
          <w:p w14:paraId="7F1D2CB4" w14:textId="52548C2D" w:rsidR="00844A5B" w:rsidRPr="00D868ED" w:rsidRDefault="00DD7CC0" w:rsidP="00CE5C32">
            <w:pPr>
              <w:bidi w:val="0"/>
              <w:spacing w:after="0" w:line="240" w:lineRule="auto"/>
              <w:jc w:val="both"/>
              <w:rPr>
                <w:rFonts w:asciiTheme="majorBidi" w:hAnsiTheme="majorBidi" w:cstheme="majorBidi"/>
              </w:rPr>
            </w:pPr>
            <w:r w:rsidRPr="00D868ED">
              <w:rPr>
                <w:rFonts w:asciiTheme="majorBidi" w:hAnsiTheme="majorBidi" w:cstheme="majorBidi"/>
              </w:rPr>
              <w:t>0.</w:t>
            </w:r>
            <w:r w:rsidR="00844A5B" w:rsidRPr="00D868ED">
              <w:rPr>
                <w:rFonts w:asciiTheme="majorBidi" w:hAnsiTheme="majorBidi" w:cstheme="majorBidi"/>
              </w:rPr>
              <w:t>86</w:t>
            </w:r>
          </w:p>
        </w:tc>
        <w:tc>
          <w:tcPr>
            <w:tcW w:w="0" w:type="auto"/>
            <w:tcBorders>
              <w:top w:val="single" w:sz="4" w:space="0" w:color="auto"/>
              <w:left w:val="single" w:sz="4" w:space="0" w:color="auto"/>
              <w:bottom w:val="single" w:sz="4" w:space="0" w:color="auto"/>
              <w:right w:val="single" w:sz="4" w:space="0" w:color="auto"/>
            </w:tcBorders>
            <w:hideMark/>
          </w:tcPr>
          <w:p w14:paraId="1D48FBBD" w14:textId="56D464F6"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16</w:t>
            </w:r>
            <w:r w:rsidR="00372138" w:rsidRPr="00D868ED">
              <w:rPr>
                <w:rFonts w:asciiTheme="majorBidi" w:hAnsiTheme="majorBidi" w:cstheme="majorBidi"/>
              </w:rPr>
              <w:t>.</w:t>
            </w:r>
            <w:r w:rsidRPr="00D868ED">
              <w:rPr>
                <w:rFonts w:asciiTheme="majorBidi" w:hAnsiTheme="majorBidi" w:cstheme="majorBidi"/>
              </w:rPr>
              <w:t>04</w:t>
            </w:r>
          </w:p>
        </w:tc>
        <w:tc>
          <w:tcPr>
            <w:tcW w:w="0" w:type="auto"/>
            <w:tcBorders>
              <w:top w:val="single" w:sz="4" w:space="0" w:color="auto"/>
              <w:left w:val="single" w:sz="4" w:space="0" w:color="auto"/>
              <w:bottom w:val="single" w:sz="4" w:space="0" w:color="auto"/>
              <w:right w:val="single" w:sz="4" w:space="0" w:color="auto"/>
            </w:tcBorders>
            <w:hideMark/>
          </w:tcPr>
          <w:p w14:paraId="13EE4F5D" w14:textId="7540EC9F"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2,096</w:t>
            </w:r>
            <w:r w:rsidR="00372138" w:rsidRPr="00D868ED">
              <w:rPr>
                <w:rFonts w:asciiTheme="majorBidi" w:hAnsiTheme="majorBidi" w:cstheme="majorBidi"/>
              </w:rPr>
              <w:t>.8</w:t>
            </w:r>
          </w:p>
        </w:tc>
      </w:tr>
      <w:tr w:rsidR="00C921E2" w:rsidRPr="00D868ED" w14:paraId="795E0B29" w14:textId="77777777" w:rsidTr="00844A5B">
        <w:tc>
          <w:tcPr>
            <w:tcW w:w="0" w:type="auto"/>
            <w:tcBorders>
              <w:top w:val="single" w:sz="4" w:space="0" w:color="auto"/>
              <w:left w:val="single" w:sz="4" w:space="0" w:color="auto"/>
              <w:bottom w:val="single" w:sz="4" w:space="0" w:color="auto"/>
              <w:right w:val="single" w:sz="4" w:space="0" w:color="auto"/>
            </w:tcBorders>
            <w:hideMark/>
          </w:tcPr>
          <w:p w14:paraId="5E0A22F8" w14:textId="459ED356" w:rsidR="00844A5B" w:rsidRPr="00D868ED" w:rsidRDefault="00D16CFB" w:rsidP="00CE5C32">
            <w:pPr>
              <w:bidi w:val="0"/>
              <w:spacing w:after="0" w:line="240" w:lineRule="auto"/>
              <w:jc w:val="both"/>
              <w:rPr>
                <w:rFonts w:asciiTheme="majorBidi" w:hAnsiTheme="majorBidi" w:cstheme="majorBidi"/>
              </w:rPr>
            </w:pPr>
            <m:oMath>
              <m:r>
                <w:rPr>
                  <w:rFonts w:ascii="Cambria Math" w:hAnsi="Cambria Math" w:cstheme="majorBidi"/>
                </w:rPr>
                <m:t>Distw (km)</m:t>
              </m:r>
            </m:oMath>
            <w:r w:rsidR="00CF5969" w:rsidRPr="00D868ED">
              <w:rPr>
                <w:rFonts w:asciiTheme="majorBidi" w:eastAsiaTheme="minorEastAsia" w:hAnsiTheme="majorBidi" w:cstheme="majorBidi"/>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45EC7FA7"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2,020</w:t>
            </w:r>
          </w:p>
        </w:tc>
        <w:tc>
          <w:tcPr>
            <w:tcW w:w="0" w:type="auto"/>
            <w:tcBorders>
              <w:top w:val="single" w:sz="4" w:space="0" w:color="auto"/>
              <w:left w:val="single" w:sz="4" w:space="0" w:color="auto"/>
              <w:bottom w:val="single" w:sz="4" w:space="0" w:color="auto"/>
              <w:right w:val="single" w:sz="4" w:space="0" w:color="auto"/>
            </w:tcBorders>
            <w:hideMark/>
          </w:tcPr>
          <w:p w14:paraId="1CE9F14D"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1,078</w:t>
            </w:r>
          </w:p>
        </w:tc>
        <w:tc>
          <w:tcPr>
            <w:tcW w:w="0" w:type="auto"/>
            <w:tcBorders>
              <w:top w:val="single" w:sz="4" w:space="0" w:color="auto"/>
              <w:left w:val="single" w:sz="4" w:space="0" w:color="auto"/>
              <w:bottom w:val="single" w:sz="4" w:space="0" w:color="auto"/>
              <w:right w:val="single" w:sz="4" w:space="0" w:color="auto"/>
            </w:tcBorders>
            <w:hideMark/>
          </w:tcPr>
          <w:p w14:paraId="55DAE353"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170</w:t>
            </w:r>
          </w:p>
        </w:tc>
        <w:tc>
          <w:tcPr>
            <w:tcW w:w="0" w:type="auto"/>
            <w:tcBorders>
              <w:top w:val="single" w:sz="4" w:space="0" w:color="auto"/>
              <w:left w:val="single" w:sz="4" w:space="0" w:color="auto"/>
              <w:bottom w:val="single" w:sz="4" w:space="0" w:color="auto"/>
              <w:right w:val="single" w:sz="4" w:space="0" w:color="auto"/>
            </w:tcBorders>
            <w:hideMark/>
          </w:tcPr>
          <w:p w14:paraId="494FC483"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2,036</w:t>
            </w:r>
          </w:p>
        </w:tc>
        <w:tc>
          <w:tcPr>
            <w:tcW w:w="0" w:type="auto"/>
            <w:tcBorders>
              <w:top w:val="single" w:sz="4" w:space="0" w:color="auto"/>
              <w:left w:val="single" w:sz="4" w:space="0" w:color="auto"/>
              <w:bottom w:val="single" w:sz="4" w:space="0" w:color="auto"/>
              <w:right w:val="single" w:sz="4" w:space="0" w:color="auto"/>
            </w:tcBorders>
            <w:hideMark/>
          </w:tcPr>
          <w:p w14:paraId="1432BBDF"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3,863</w:t>
            </w:r>
          </w:p>
        </w:tc>
      </w:tr>
      <w:tr w:rsidR="00C921E2" w:rsidRPr="00D868ED" w14:paraId="49D12E06" w14:textId="77777777" w:rsidTr="00844A5B">
        <w:tc>
          <w:tcPr>
            <w:tcW w:w="0" w:type="auto"/>
            <w:tcBorders>
              <w:top w:val="single" w:sz="4" w:space="0" w:color="auto"/>
              <w:left w:val="single" w:sz="4" w:space="0" w:color="auto"/>
              <w:bottom w:val="single" w:sz="4" w:space="0" w:color="auto"/>
              <w:right w:val="single" w:sz="4" w:space="0" w:color="auto"/>
            </w:tcBorders>
            <w:hideMark/>
          </w:tcPr>
          <w:p w14:paraId="27DF2A18" w14:textId="2F35FFB0" w:rsidR="00844A5B" w:rsidRPr="00D868ED" w:rsidRDefault="00D16CFB" w:rsidP="00CE5C32">
            <w:pPr>
              <w:bidi w:val="0"/>
              <w:spacing w:after="0" w:line="240" w:lineRule="auto"/>
              <w:jc w:val="both"/>
              <w:rPr>
                <w:rFonts w:asciiTheme="majorBidi" w:hAnsiTheme="majorBidi" w:cstheme="majorBidi"/>
              </w:rPr>
            </w:pPr>
            <m:oMath>
              <m:r>
                <w:rPr>
                  <w:rFonts w:ascii="Cambria Math" w:hAnsi="Cambria Math" w:cstheme="majorBidi"/>
                </w:rPr>
                <m:t>comlang_off</m:t>
              </m:r>
            </m:oMath>
            <w:r w:rsidR="00CF5969" w:rsidRPr="00D868ED">
              <w:rPr>
                <w:rFonts w:asciiTheme="majorBidi" w:eastAsiaTheme="minorEastAsia" w:hAnsiTheme="majorBidi" w:cstheme="majorBidi"/>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375E9A7C" w14:textId="016860D5"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2</w:t>
            </w:r>
            <w:r w:rsidR="004D64C6" w:rsidRPr="00D868ED">
              <w:rPr>
                <w:rFonts w:asciiTheme="majorBidi" w:hAnsiTheme="majorBidi" w:cstheme="majorBidi"/>
              </w:rPr>
              <w:t>.</w:t>
            </w:r>
            <w:r w:rsidRPr="00D868ED">
              <w:rPr>
                <w:rFonts w:asciiTheme="majorBidi" w:hAnsiTheme="majorBidi" w:cstheme="majorBidi"/>
              </w:rPr>
              <w:t>97</w:t>
            </w:r>
            <w:r w:rsidR="004D64C6" w:rsidRPr="00D868ED">
              <w:rPr>
                <w:rFonts w:asciiTheme="majorBidi" w:hAnsiTheme="majorBidi" w:cstheme="majorBidi"/>
              </w:rPr>
              <w:t>%</w:t>
            </w:r>
          </w:p>
        </w:tc>
        <w:tc>
          <w:tcPr>
            <w:tcW w:w="0" w:type="auto"/>
            <w:tcBorders>
              <w:top w:val="single" w:sz="4" w:space="0" w:color="auto"/>
              <w:left w:val="single" w:sz="4" w:space="0" w:color="auto"/>
              <w:bottom w:val="single" w:sz="4" w:space="0" w:color="auto"/>
              <w:right w:val="single" w:sz="4" w:space="0" w:color="auto"/>
            </w:tcBorders>
            <w:hideMark/>
          </w:tcPr>
          <w:p w14:paraId="435950A0" w14:textId="739B7DC6"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17</w:t>
            </w:r>
            <w:r w:rsidR="006A0D9C" w:rsidRPr="00D868ED">
              <w:rPr>
                <w:rFonts w:asciiTheme="majorBidi" w:hAnsiTheme="majorBidi" w:cstheme="majorBidi"/>
              </w:rPr>
              <w:t>%</w:t>
            </w:r>
          </w:p>
        </w:tc>
        <w:tc>
          <w:tcPr>
            <w:tcW w:w="0" w:type="auto"/>
            <w:tcBorders>
              <w:top w:val="single" w:sz="4" w:space="0" w:color="auto"/>
              <w:left w:val="single" w:sz="4" w:space="0" w:color="auto"/>
              <w:bottom w:val="single" w:sz="4" w:space="0" w:color="auto"/>
              <w:right w:val="single" w:sz="4" w:space="0" w:color="auto"/>
            </w:tcBorders>
            <w:hideMark/>
          </w:tcPr>
          <w:p w14:paraId="5476F233"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0</w:t>
            </w:r>
          </w:p>
        </w:tc>
        <w:tc>
          <w:tcPr>
            <w:tcW w:w="0" w:type="auto"/>
            <w:tcBorders>
              <w:top w:val="single" w:sz="4" w:space="0" w:color="auto"/>
              <w:left w:val="single" w:sz="4" w:space="0" w:color="auto"/>
              <w:bottom w:val="single" w:sz="4" w:space="0" w:color="auto"/>
              <w:right w:val="single" w:sz="4" w:space="0" w:color="auto"/>
            </w:tcBorders>
            <w:hideMark/>
          </w:tcPr>
          <w:p w14:paraId="723673D4"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0</w:t>
            </w:r>
          </w:p>
        </w:tc>
        <w:tc>
          <w:tcPr>
            <w:tcW w:w="0" w:type="auto"/>
            <w:tcBorders>
              <w:top w:val="single" w:sz="4" w:space="0" w:color="auto"/>
              <w:left w:val="single" w:sz="4" w:space="0" w:color="auto"/>
              <w:bottom w:val="single" w:sz="4" w:space="0" w:color="auto"/>
              <w:right w:val="single" w:sz="4" w:space="0" w:color="auto"/>
            </w:tcBorders>
            <w:hideMark/>
          </w:tcPr>
          <w:p w14:paraId="2E067C09"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1</w:t>
            </w:r>
          </w:p>
        </w:tc>
      </w:tr>
      <w:tr w:rsidR="00C921E2" w:rsidRPr="00D868ED" w14:paraId="313ED39B" w14:textId="77777777" w:rsidTr="00844A5B">
        <w:tc>
          <w:tcPr>
            <w:tcW w:w="0" w:type="auto"/>
            <w:tcBorders>
              <w:top w:val="single" w:sz="4" w:space="0" w:color="auto"/>
              <w:left w:val="single" w:sz="4" w:space="0" w:color="auto"/>
              <w:bottom w:val="single" w:sz="4" w:space="0" w:color="auto"/>
              <w:right w:val="single" w:sz="4" w:space="0" w:color="auto"/>
            </w:tcBorders>
            <w:hideMark/>
          </w:tcPr>
          <w:p w14:paraId="78DF8454" w14:textId="19FD8DCF" w:rsidR="00844A5B" w:rsidRPr="00D868ED" w:rsidRDefault="00D16CFB" w:rsidP="00CE5C32">
            <w:pPr>
              <w:bidi w:val="0"/>
              <w:spacing w:after="0" w:line="240" w:lineRule="auto"/>
              <w:jc w:val="both"/>
              <w:rPr>
                <w:rFonts w:asciiTheme="majorBidi" w:hAnsiTheme="majorBidi" w:cstheme="majorBidi"/>
              </w:rPr>
            </w:pPr>
            <m:oMath>
              <m:r>
                <w:rPr>
                  <w:rFonts w:ascii="Cambria Math" w:hAnsi="Cambria Math" w:cstheme="majorBidi"/>
                </w:rPr>
                <m:t>contig</m:t>
              </m:r>
            </m:oMath>
            <w:r w:rsidR="00CF5969" w:rsidRPr="00D868ED">
              <w:rPr>
                <w:rFonts w:asciiTheme="majorBidi" w:eastAsiaTheme="minorEastAsia" w:hAnsiTheme="majorBidi" w:cstheme="majorBidi"/>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31E476CA" w14:textId="0BF12F65"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23</w:t>
            </w:r>
            <w:r w:rsidR="002D5034" w:rsidRPr="00D868ED">
              <w:rPr>
                <w:rFonts w:asciiTheme="majorBidi" w:hAnsiTheme="majorBidi" w:cstheme="majorBidi"/>
              </w:rPr>
              <w:t>.</w:t>
            </w:r>
            <w:r w:rsidRPr="00D868ED">
              <w:rPr>
                <w:rFonts w:asciiTheme="majorBidi" w:hAnsiTheme="majorBidi" w:cstheme="majorBidi"/>
              </w:rPr>
              <w:t>4</w:t>
            </w:r>
            <w:r w:rsidR="004D64C6" w:rsidRPr="00D868ED">
              <w:rPr>
                <w:rFonts w:asciiTheme="majorBidi" w:hAnsiTheme="majorBidi" w:cstheme="majorBidi"/>
              </w:rPr>
              <w:t>%</w:t>
            </w:r>
          </w:p>
        </w:tc>
        <w:tc>
          <w:tcPr>
            <w:tcW w:w="0" w:type="auto"/>
            <w:tcBorders>
              <w:top w:val="single" w:sz="4" w:space="0" w:color="auto"/>
              <w:left w:val="single" w:sz="4" w:space="0" w:color="auto"/>
              <w:bottom w:val="single" w:sz="4" w:space="0" w:color="auto"/>
              <w:right w:val="single" w:sz="4" w:space="0" w:color="auto"/>
            </w:tcBorders>
            <w:hideMark/>
          </w:tcPr>
          <w:p w14:paraId="24ADE8FE" w14:textId="55325690"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42</w:t>
            </w:r>
            <w:r w:rsidR="0045670B" w:rsidRPr="00D868ED">
              <w:rPr>
                <w:rFonts w:asciiTheme="majorBidi" w:hAnsiTheme="majorBidi" w:cstheme="majorBidi"/>
              </w:rPr>
              <w:t>.</w:t>
            </w:r>
            <w:r w:rsidRPr="00D868ED">
              <w:rPr>
                <w:rFonts w:asciiTheme="majorBidi" w:hAnsiTheme="majorBidi" w:cstheme="majorBidi"/>
              </w:rPr>
              <w:t>3</w:t>
            </w:r>
            <w:r w:rsidR="0045670B" w:rsidRPr="00D868ED">
              <w:rPr>
                <w:rFonts w:asciiTheme="majorBidi" w:hAnsiTheme="majorBidi" w:cstheme="majorBidi"/>
              </w:rPr>
              <w:t>%</w:t>
            </w:r>
          </w:p>
        </w:tc>
        <w:tc>
          <w:tcPr>
            <w:tcW w:w="0" w:type="auto"/>
            <w:tcBorders>
              <w:top w:val="single" w:sz="4" w:space="0" w:color="auto"/>
              <w:left w:val="single" w:sz="4" w:space="0" w:color="auto"/>
              <w:bottom w:val="single" w:sz="4" w:space="0" w:color="auto"/>
              <w:right w:val="single" w:sz="4" w:space="0" w:color="auto"/>
            </w:tcBorders>
            <w:hideMark/>
          </w:tcPr>
          <w:p w14:paraId="3ED0284C"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0</w:t>
            </w:r>
          </w:p>
        </w:tc>
        <w:tc>
          <w:tcPr>
            <w:tcW w:w="0" w:type="auto"/>
            <w:tcBorders>
              <w:top w:val="single" w:sz="4" w:space="0" w:color="auto"/>
              <w:left w:val="single" w:sz="4" w:space="0" w:color="auto"/>
              <w:bottom w:val="single" w:sz="4" w:space="0" w:color="auto"/>
              <w:right w:val="single" w:sz="4" w:space="0" w:color="auto"/>
            </w:tcBorders>
            <w:hideMark/>
          </w:tcPr>
          <w:p w14:paraId="52A6C526"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0</w:t>
            </w:r>
          </w:p>
        </w:tc>
        <w:tc>
          <w:tcPr>
            <w:tcW w:w="0" w:type="auto"/>
            <w:tcBorders>
              <w:top w:val="single" w:sz="4" w:space="0" w:color="auto"/>
              <w:left w:val="single" w:sz="4" w:space="0" w:color="auto"/>
              <w:bottom w:val="single" w:sz="4" w:space="0" w:color="auto"/>
              <w:right w:val="single" w:sz="4" w:space="0" w:color="auto"/>
            </w:tcBorders>
            <w:hideMark/>
          </w:tcPr>
          <w:p w14:paraId="62E61EF7"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1</w:t>
            </w:r>
          </w:p>
        </w:tc>
      </w:tr>
      <w:tr w:rsidR="00C921E2" w:rsidRPr="00D868ED" w14:paraId="2C8AD3EE" w14:textId="77777777" w:rsidTr="00844A5B">
        <w:tc>
          <w:tcPr>
            <w:tcW w:w="0" w:type="auto"/>
            <w:tcBorders>
              <w:top w:val="single" w:sz="4" w:space="0" w:color="auto"/>
              <w:left w:val="single" w:sz="4" w:space="0" w:color="auto"/>
              <w:bottom w:val="single" w:sz="4" w:space="0" w:color="auto"/>
              <w:right w:val="single" w:sz="4" w:space="0" w:color="auto"/>
            </w:tcBorders>
            <w:hideMark/>
          </w:tcPr>
          <w:p w14:paraId="5248AE09" w14:textId="53C7CF48" w:rsidR="00844A5B" w:rsidRPr="00D868ED" w:rsidRDefault="00D16CFB" w:rsidP="00CE5C32">
            <w:pPr>
              <w:bidi w:val="0"/>
              <w:spacing w:after="0" w:line="240" w:lineRule="auto"/>
              <w:jc w:val="both"/>
              <w:rPr>
                <w:rFonts w:asciiTheme="majorBidi" w:hAnsiTheme="majorBidi" w:cstheme="majorBidi"/>
              </w:rPr>
            </w:pPr>
            <m:oMath>
              <m:r>
                <w:rPr>
                  <w:rFonts w:ascii="Cambria Math" w:hAnsi="Cambria Math" w:cstheme="majorBidi"/>
                </w:rPr>
                <m:t>wt</m:t>
              </m:r>
              <m:sSub>
                <m:sSubPr>
                  <m:ctrlPr>
                    <w:rPr>
                      <w:rFonts w:ascii="Cambria Math" w:hAnsi="Cambria Math" w:cstheme="majorBidi"/>
                      <w:i/>
                    </w:rPr>
                  </m:ctrlPr>
                </m:sSubPr>
                <m:e>
                  <m:r>
                    <w:rPr>
                      <w:rFonts w:ascii="Cambria Math" w:hAnsi="Cambria Math" w:cstheme="majorBidi"/>
                    </w:rPr>
                    <m:t>o</m:t>
                  </m:r>
                </m:e>
                <m:sub>
                  <m:r>
                    <w:rPr>
                      <w:rFonts w:ascii="Cambria Math" w:hAnsi="Cambria Math" w:cstheme="majorBidi"/>
                    </w:rPr>
                    <m:t>joint</m:t>
                  </m:r>
                </m:sub>
              </m:sSub>
            </m:oMath>
            <w:r w:rsidR="00CF5969" w:rsidRPr="00D868ED">
              <w:rPr>
                <w:rFonts w:asciiTheme="majorBidi" w:eastAsiaTheme="minorEastAsia" w:hAnsiTheme="majorBidi" w:cstheme="majorBidi"/>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4949691C" w14:textId="71090372"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27</w:t>
            </w:r>
            <w:r w:rsidR="002D5034" w:rsidRPr="00D868ED">
              <w:rPr>
                <w:rFonts w:asciiTheme="majorBidi" w:hAnsiTheme="majorBidi" w:cstheme="majorBidi"/>
              </w:rPr>
              <w:t>.</w:t>
            </w:r>
            <w:r w:rsidRPr="00D868ED">
              <w:rPr>
                <w:rFonts w:asciiTheme="majorBidi" w:hAnsiTheme="majorBidi" w:cstheme="majorBidi"/>
              </w:rPr>
              <w:t>0</w:t>
            </w:r>
            <w:r w:rsidR="004D64C6" w:rsidRPr="00D868ED">
              <w:rPr>
                <w:rFonts w:asciiTheme="majorBidi" w:hAnsiTheme="majorBidi" w:cstheme="majorBidi"/>
              </w:rPr>
              <w:t>%</w:t>
            </w:r>
          </w:p>
        </w:tc>
        <w:tc>
          <w:tcPr>
            <w:tcW w:w="0" w:type="auto"/>
            <w:tcBorders>
              <w:top w:val="single" w:sz="4" w:space="0" w:color="auto"/>
              <w:left w:val="single" w:sz="4" w:space="0" w:color="auto"/>
              <w:bottom w:val="single" w:sz="4" w:space="0" w:color="auto"/>
              <w:right w:val="single" w:sz="4" w:space="0" w:color="auto"/>
            </w:tcBorders>
            <w:hideMark/>
          </w:tcPr>
          <w:p w14:paraId="205228D9" w14:textId="5A3A0E7A"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44</w:t>
            </w:r>
            <w:r w:rsidR="001B50F9" w:rsidRPr="00D868ED">
              <w:rPr>
                <w:rFonts w:asciiTheme="majorBidi" w:hAnsiTheme="majorBidi" w:cstheme="majorBidi"/>
              </w:rPr>
              <w:t>.</w:t>
            </w:r>
            <w:r w:rsidRPr="00D868ED">
              <w:rPr>
                <w:rFonts w:asciiTheme="majorBidi" w:hAnsiTheme="majorBidi" w:cstheme="majorBidi"/>
              </w:rPr>
              <w:t>4</w:t>
            </w:r>
            <w:r w:rsidR="001B50F9" w:rsidRPr="00D868ED">
              <w:rPr>
                <w:rFonts w:asciiTheme="majorBidi" w:hAnsiTheme="majorBidi" w:cstheme="majorBidi"/>
              </w:rPr>
              <w:t>%</w:t>
            </w:r>
          </w:p>
        </w:tc>
        <w:tc>
          <w:tcPr>
            <w:tcW w:w="0" w:type="auto"/>
            <w:tcBorders>
              <w:top w:val="single" w:sz="4" w:space="0" w:color="auto"/>
              <w:left w:val="single" w:sz="4" w:space="0" w:color="auto"/>
              <w:bottom w:val="single" w:sz="4" w:space="0" w:color="auto"/>
              <w:right w:val="single" w:sz="4" w:space="0" w:color="auto"/>
            </w:tcBorders>
            <w:hideMark/>
          </w:tcPr>
          <w:p w14:paraId="0AF5BFDD"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0</w:t>
            </w:r>
          </w:p>
        </w:tc>
        <w:tc>
          <w:tcPr>
            <w:tcW w:w="0" w:type="auto"/>
            <w:tcBorders>
              <w:top w:val="single" w:sz="4" w:space="0" w:color="auto"/>
              <w:left w:val="single" w:sz="4" w:space="0" w:color="auto"/>
              <w:bottom w:val="single" w:sz="4" w:space="0" w:color="auto"/>
              <w:right w:val="single" w:sz="4" w:space="0" w:color="auto"/>
            </w:tcBorders>
            <w:hideMark/>
          </w:tcPr>
          <w:p w14:paraId="10CE2926"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0</w:t>
            </w:r>
          </w:p>
        </w:tc>
        <w:tc>
          <w:tcPr>
            <w:tcW w:w="0" w:type="auto"/>
            <w:tcBorders>
              <w:top w:val="single" w:sz="4" w:space="0" w:color="auto"/>
              <w:left w:val="single" w:sz="4" w:space="0" w:color="auto"/>
              <w:bottom w:val="single" w:sz="4" w:space="0" w:color="auto"/>
              <w:right w:val="single" w:sz="4" w:space="0" w:color="auto"/>
            </w:tcBorders>
            <w:hideMark/>
          </w:tcPr>
          <w:p w14:paraId="500D628E"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1</w:t>
            </w:r>
          </w:p>
        </w:tc>
      </w:tr>
      <w:tr w:rsidR="00C921E2" w:rsidRPr="00D868ED" w14:paraId="5DAE1233" w14:textId="77777777" w:rsidTr="00844A5B">
        <w:tc>
          <w:tcPr>
            <w:tcW w:w="0" w:type="auto"/>
            <w:tcBorders>
              <w:top w:val="single" w:sz="4" w:space="0" w:color="auto"/>
              <w:left w:val="single" w:sz="4" w:space="0" w:color="auto"/>
              <w:bottom w:val="single" w:sz="4" w:space="0" w:color="auto"/>
              <w:right w:val="single" w:sz="4" w:space="0" w:color="auto"/>
            </w:tcBorders>
            <w:hideMark/>
          </w:tcPr>
          <w:p w14:paraId="64F10BFA" w14:textId="3367D473" w:rsidR="00844A5B" w:rsidRPr="00D868ED" w:rsidRDefault="00D16CFB" w:rsidP="00CE5C32">
            <w:pPr>
              <w:bidi w:val="0"/>
              <w:spacing w:after="0" w:line="240" w:lineRule="auto"/>
              <w:jc w:val="both"/>
              <w:rPr>
                <w:rFonts w:asciiTheme="majorBidi" w:hAnsiTheme="majorBidi" w:cstheme="majorBidi"/>
              </w:rPr>
            </w:pPr>
            <m:oMath>
              <m:r>
                <w:rPr>
                  <w:rFonts w:ascii="Cambria Math" w:hAnsi="Cambria Math" w:cstheme="majorBidi"/>
                </w:rPr>
                <m:t>E</m:t>
              </m:r>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joint</m:t>
                  </m:r>
                </m:sub>
              </m:sSub>
            </m:oMath>
            <w:r w:rsidR="00CF5969" w:rsidRPr="00D868ED">
              <w:rPr>
                <w:rFonts w:asciiTheme="majorBidi" w:eastAsiaTheme="minorEastAsia" w:hAnsiTheme="majorBidi" w:cstheme="majorBidi"/>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0E6570B5" w14:textId="667B5185"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1</w:t>
            </w:r>
            <w:r w:rsidR="004D64C6" w:rsidRPr="00D868ED">
              <w:rPr>
                <w:rFonts w:asciiTheme="majorBidi" w:hAnsiTheme="majorBidi" w:cstheme="majorBidi"/>
              </w:rPr>
              <w:t>.</w:t>
            </w:r>
            <w:r w:rsidRPr="00D868ED">
              <w:rPr>
                <w:rFonts w:asciiTheme="majorBidi" w:hAnsiTheme="majorBidi" w:cstheme="majorBidi"/>
              </w:rPr>
              <w:t>94</w:t>
            </w:r>
            <w:r w:rsidR="004D64C6" w:rsidRPr="00D868ED">
              <w:rPr>
                <w:rFonts w:asciiTheme="majorBidi" w:hAnsiTheme="majorBidi" w:cstheme="majorBidi"/>
              </w:rPr>
              <w:t>%</w:t>
            </w:r>
          </w:p>
        </w:tc>
        <w:tc>
          <w:tcPr>
            <w:tcW w:w="0" w:type="auto"/>
            <w:tcBorders>
              <w:top w:val="single" w:sz="4" w:space="0" w:color="auto"/>
              <w:left w:val="single" w:sz="4" w:space="0" w:color="auto"/>
              <w:bottom w:val="single" w:sz="4" w:space="0" w:color="auto"/>
              <w:right w:val="single" w:sz="4" w:space="0" w:color="auto"/>
            </w:tcBorders>
            <w:hideMark/>
          </w:tcPr>
          <w:p w14:paraId="64A17F08" w14:textId="49B4A5E1"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13</w:t>
            </w:r>
            <w:r w:rsidR="001B50F9" w:rsidRPr="00D868ED">
              <w:rPr>
                <w:rFonts w:asciiTheme="majorBidi" w:hAnsiTheme="majorBidi" w:cstheme="majorBidi"/>
              </w:rPr>
              <w:t>.</w:t>
            </w:r>
            <w:r w:rsidRPr="00D868ED">
              <w:rPr>
                <w:rFonts w:asciiTheme="majorBidi" w:hAnsiTheme="majorBidi" w:cstheme="majorBidi"/>
              </w:rPr>
              <w:t>8</w:t>
            </w:r>
            <w:r w:rsidR="001B50F9" w:rsidRPr="00D868ED">
              <w:rPr>
                <w:rFonts w:asciiTheme="majorBidi" w:hAnsiTheme="majorBidi" w:cstheme="majorBidi"/>
              </w:rPr>
              <w:t>%</w:t>
            </w:r>
          </w:p>
        </w:tc>
        <w:tc>
          <w:tcPr>
            <w:tcW w:w="0" w:type="auto"/>
            <w:tcBorders>
              <w:top w:val="single" w:sz="4" w:space="0" w:color="auto"/>
              <w:left w:val="single" w:sz="4" w:space="0" w:color="auto"/>
              <w:bottom w:val="single" w:sz="4" w:space="0" w:color="auto"/>
              <w:right w:val="single" w:sz="4" w:space="0" w:color="auto"/>
            </w:tcBorders>
            <w:hideMark/>
          </w:tcPr>
          <w:p w14:paraId="2293475A"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0</w:t>
            </w:r>
          </w:p>
        </w:tc>
        <w:tc>
          <w:tcPr>
            <w:tcW w:w="0" w:type="auto"/>
            <w:tcBorders>
              <w:top w:val="single" w:sz="4" w:space="0" w:color="auto"/>
              <w:left w:val="single" w:sz="4" w:space="0" w:color="auto"/>
              <w:bottom w:val="single" w:sz="4" w:space="0" w:color="auto"/>
              <w:right w:val="single" w:sz="4" w:space="0" w:color="auto"/>
            </w:tcBorders>
            <w:hideMark/>
          </w:tcPr>
          <w:p w14:paraId="0724FB53"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0</w:t>
            </w:r>
          </w:p>
        </w:tc>
        <w:tc>
          <w:tcPr>
            <w:tcW w:w="0" w:type="auto"/>
            <w:tcBorders>
              <w:top w:val="single" w:sz="4" w:space="0" w:color="auto"/>
              <w:left w:val="single" w:sz="4" w:space="0" w:color="auto"/>
              <w:bottom w:val="single" w:sz="4" w:space="0" w:color="auto"/>
              <w:right w:val="single" w:sz="4" w:space="0" w:color="auto"/>
            </w:tcBorders>
            <w:hideMark/>
          </w:tcPr>
          <w:p w14:paraId="30CA5866"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1</w:t>
            </w:r>
          </w:p>
        </w:tc>
      </w:tr>
      <w:tr w:rsidR="00C921E2" w:rsidRPr="00D868ED" w14:paraId="69D7D9C1" w14:textId="77777777" w:rsidTr="00844A5B">
        <w:tc>
          <w:tcPr>
            <w:tcW w:w="0" w:type="auto"/>
            <w:tcBorders>
              <w:top w:val="single" w:sz="4" w:space="0" w:color="auto"/>
              <w:left w:val="single" w:sz="4" w:space="0" w:color="auto"/>
              <w:bottom w:val="single" w:sz="4" w:space="0" w:color="auto"/>
              <w:right w:val="single" w:sz="4" w:space="0" w:color="auto"/>
            </w:tcBorders>
            <w:hideMark/>
          </w:tcPr>
          <w:p w14:paraId="79FD23DD" w14:textId="314E0AB5" w:rsidR="00844A5B" w:rsidRPr="00D868ED" w:rsidRDefault="00D16CFB" w:rsidP="00CE5C32">
            <w:pPr>
              <w:bidi w:val="0"/>
              <w:spacing w:after="0" w:line="240" w:lineRule="auto"/>
              <w:jc w:val="both"/>
              <w:rPr>
                <w:rFonts w:asciiTheme="majorBidi" w:hAnsiTheme="majorBidi" w:cstheme="majorBidi"/>
              </w:rPr>
            </w:pPr>
            <m:oMath>
              <m:r>
                <w:rPr>
                  <w:rFonts w:ascii="Cambria Math" w:hAnsi="Cambria Math" w:cstheme="majorBidi"/>
                </w:rPr>
                <m:t>EAE</m:t>
              </m:r>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joint</m:t>
                  </m:r>
                </m:sub>
              </m:sSub>
            </m:oMath>
            <w:r w:rsidR="00CF5969" w:rsidRPr="00D868ED">
              <w:rPr>
                <w:rFonts w:asciiTheme="majorBidi" w:eastAsiaTheme="minorEastAsia" w:hAnsiTheme="majorBidi" w:cstheme="majorBidi"/>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7F55C05B" w14:textId="17DCF220"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2</w:t>
            </w:r>
            <w:r w:rsidR="004D64C6" w:rsidRPr="00D868ED">
              <w:rPr>
                <w:rFonts w:asciiTheme="majorBidi" w:hAnsiTheme="majorBidi" w:cstheme="majorBidi"/>
              </w:rPr>
              <w:t>.</w:t>
            </w:r>
            <w:r w:rsidRPr="00D868ED">
              <w:rPr>
                <w:rFonts w:asciiTheme="majorBidi" w:hAnsiTheme="majorBidi" w:cstheme="majorBidi"/>
              </w:rPr>
              <w:t>28</w:t>
            </w:r>
            <w:r w:rsidR="004D64C6" w:rsidRPr="00D868ED">
              <w:rPr>
                <w:rFonts w:asciiTheme="majorBidi" w:hAnsiTheme="majorBidi" w:cstheme="majorBidi"/>
              </w:rPr>
              <w:t>%</w:t>
            </w:r>
          </w:p>
        </w:tc>
        <w:tc>
          <w:tcPr>
            <w:tcW w:w="0" w:type="auto"/>
            <w:tcBorders>
              <w:top w:val="single" w:sz="4" w:space="0" w:color="auto"/>
              <w:left w:val="single" w:sz="4" w:space="0" w:color="auto"/>
              <w:bottom w:val="single" w:sz="4" w:space="0" w:color="auto"/>
              <w:right w:val="single" w:sz="4" w:space="0" w:color="auto"/>
            </w:tcBorders>
            <w:hideMark/>
          </w:tcPr>
          <w:p w14:paraId="17C152A1" w14:textId="00BD693D"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14</w:t>
            </w:r>
            <w:r w:rsidR="004166B7" w:rsidRPr="00D868ED">
              <w:rPr>
                <w:rFonts w:asciiTheme="majorBidi" w:hAnsiTheme="majorBidi" w:cstheme="majorBidi"/>
              </w:rPr>
              <w:t>.</w:t>
            </w:r>
            <w:r w:rsidRPr="00D868ED">
              <w:rPr>
                <w:rFonts w:asciiTheme="majorBidi" w:hAnsiTheme="majorBidi" w:cstheme="majorBidi"/>
              </w:rPr>
              <w:t>9</w:t>
            </w:r>
            <w:r w:rsidR="004166B7" w:rsidRPr="00D868ED">
              <w:rPr>
                <w:rFonts w:asciiTheme="majorBidi" w:hAnsiTheme="majorBidi" w:cstheme="majorBidi"/>
              </w:rPr>
              <w:t>%</w:t>
            </w:r>
          </w:p>
        </w:tc>
        <w:tc>
          <w:tcPr>
            <w:tcW w:w="0" w:type="auto"/>
            <w:tcBorders>
              <w:top w:val="single" w:sz="4" w:space="0" w:color="auto"/>
              <w:left w:val="single" w:sz="4" w:space="0" w:color="auto"/>
              <w:bottom w:val="single" w:sz="4" w:space="0" w:color="auto"/>
              <w:right w:val="single" w:sz="4" w:space="0" w:color="auto"/>
            </w:tcBorders>
            <w:hideMark/>
          </w:tcPr>
          <w:p w14:paraId="6E8BAFCB"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0</w:t>
            </w:r>
          </w:p>
        </w:tc>
        <w:tc>
          <w:tcPr>
            <w:tcW w:w="0" w:type="auto"/>
            <w:tcBorders>
              <w:top w:val="single" w:sz="4" w:space="0" w:color="auto"/>
              <w:left w:val="single" w:sz="4" w:space="0" w:color="auto"/>
              <w:bottom w:val="single" w:sz="4" w:space="0" w:color="auto"/>
              <w:right w:val="single" w:sz="4" w:space="0" w:color="auto"/>
            </w:tcBorders>
            <w:hideMark/>
          </w:tcPr>
          <w:p w14:paraId="7FE3FF9F"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0</w:t>
            </w:r>
          </w:p>
        </w:tc>
        <w:tc>
          <w:tcPr>
            <w:tcW w:w="0" w:type="auto"/>
            <w:tcBorders>
              <w:top w:val="single" w:sz="4" w:space="0" w:color="auto"/>
              <w:left w:val="single" w:sz="4" w:space="0" w:color="auto"/>
              <w:bottom w:val="single" w:sz="4" w:space="0" w:color="auto"/>
              <w:right w:val="single" w:sz="4" w:space="0" w:color="auto"/>
            </w:tcBorders>
            <w:hideMark/>
          </w:tcPr>
          <w:p w14:paraId="68D260C8"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1</w:t>
            </w:r>
          </w:p>
        </w:tc>
      </w:tr>
    </w:tbl>
    <w:bookmarkEnd w:id="9"/>
    <w:p w14:paraId="0ED9344D" w14:textId="1E46F84E" w:rsidR="00844A5B" w:rsidRPr="00D868ED" w:rsidRDefault="00844A5B" w:rsidP="00CE5C32">
      <w:pPr>
        <w:bidi w:val="0"/>
        <w:spacing w:before="240" w:after="120" w:line="360" w:lineRule="auto"/>
        <w:jc w:val="both"/>
        <w:rPr>
          <w:rFonts w:asciiTheme="majorBidi" w:hAnsiTheme="majorBidi" w:cstheme="majorBidi"/>
          <w:b/>
          <w:bCs/>
        </w:rPr>
      </w:pPr>
      <w:r w:rsidRPr="00D868ED">
        <w:rPr>
          <w:rFonts w:asciiTheme="majorBidi" w:hAnsiTheme="majorBidi" w:cstheme="majorBidi"/>
          <w:b/>
          <w:bCs/>
        </w:rPr>
        <w:t>3.</w:t>
      </w:r>
      <w:r w:rsidR="002D683E" w:rsidRPr="00D868ED">
        <w:rPr>
          <w:rFonts w:asciiTheme="majorBidi" w:hAnsiTheme="majorBidi" w:cstheme="majorBidi"/>
          <w:b/>
          <w:bCs/>
        </w:rPr>
        <w:t>4</w:t>
      </w:r>
      <w:r w:rsidRPr="00D868ED">
        <w:rPr>
          <w:rFonts w:asciiTheme="majorBidi" w:hAnsiTheme="majorBidi" w:cstheme="majorBidi"/>
          <w:b/>
          <w:bCs/>
        </w:rPr>
        <w:t xml:space="preserve"> Correlation structure</w:t>
      </w:r>
    </w:p>
    <w:p w14:paraId="3DB81A55" w14:textId="17F3F93B" w:rsidR="00844A5B" w:rsidRPr="00D868ED" w:rsidRDefault="00844A5B" w:rsidP="00CE5C32">
      <w:pPr>
        <w:bidi w:val="0"/>
        <w:spacing w:before="120" w:after="120" w:line="288" w:lineRule="auto"/>
        <w:jc w:val="both"/>
        <w:rPr>
          <w:rFonts w:asciiTheme="majorBidi" w:hAnsiTheme="majorBidi" w:cstheme="majorBidi"/>
        </w:rPr>
      </w:pPr>
      <w:r w:rsidRPr="00D868ED">
        <w:rPr>
          <w:rFonts w:asciiTheme="majorBidi" w:hAnsiTheme="majorBidi" w:cstheme="majorBidi"/>
        </w:rPr>
        <w:t xml:space="preserve">The correlation matrix for the main continuous variables is consistent with standard gravity expectations. Bilateral trade is positively correlated with exporter GDP (0.513) and importer GDP (0.263), and negatively correlated with weighted distance (-0.180). The correlation between </w:t>
      </w:r>
      <w:r w:rsidR="007F2CCF" w:rsidRPr="00D868ED">
        <w:rPr>
          <w:rFonts w:asciiTheme="majorBidi" w:hAnsiTheme="majorBidi" w:cstheme="majorBidi"/>
        </w:rPr>
        <w:t xml:space="preserve">exporter </w:t>
      </w:r>
      <w:r w:rsidRPr="00D868ED">
        <w:rPr>
          <w:rFonts w:asciiTheme="majorBidi" w:hAnsiTheme="majorBidi" w:cstheme="majorBidi"/>
        </w:rPr>
        <w:t xml:space="preserve">and </w:t>
      </w:r>
      <w:r w:rsidR="007F2CCF" w:rsidRPr="00D868ED">
        <w:rPr>
          <w:rFonts w:asciiTheme="majorBidi" w:hAnsiTheme="majorBidi" w:cstheme="majorBidi"/>
        </w:rPr>
        <w:t>importer GDPs</w:t>
      </w:r>
      <w:r w:rsidRPr="00D868ED">
        <w:rPr>
          <w:rFonts w:asciiTheme="majorBidi" w:hAnsiTheme="majorBidi" w:cstheme="majorBidi"/>
        </w:rPr>
        <w:t xml:space="preserve"> is very small and negative (-0.035), while both GDP variables have only weak correlations with distance (-0.079). This pattern suggests that the core regressors are not strongly collinear in the sample. </w:t>
      </w:r>
    </w:p>
    <w:p w14:paraId="5AD6F6BC" w14:textId="69F8D0C2" w:rsidR="00844A5B" w:rsidRPr="00D868ED" w:rsidRDefault="0086453B" w:rsidP="00CE5C32">
      <w:pPr>
        <w:pStyle w:val="Caption"/>
        <w:bidi w:val="0"/>
        <w:rPr>
          <w:rFonts w:asciiTheme="majorBidi" w:hAnsiTheme="majorBidi" w:cstheme="majorBidi"/>
          <w:i w:val="0"/>
          <w:iCs w:val="0"/>
          <w:color w:val="auto"/>
          <w:sz w:val="24"/>
          <w:szCs w:val="24"/>
        </w:rPr>
      </w:pPr>
      <w:bookmarkStart w:id="11" w:name="Xdc8e4c7f0f6bdd1826beb324d488fb751d8a602"/>
      <w:r w:rsidRPr="00D868ED">
        <w:rPr>
          <w:rFonts w:asciiTheme="majorBidi" w:hAnsiTheme="majorBidi" w:cstheme="majorBidi"/>
          <w:i w:val="0"/>
          <w:iCs w:val="0"/>
          <w:color w:val="auto"/>
          <w:sz w:val="24"/>
          <w:szCs w:val="24"/>
        </w:rPr>
        <w:t xml:space="preserve">Table </w:t>
      </w:r>
      <w:r w:rsidRPr="00D868ED">
        <w:rPr>
          <w:rFonts w:asciiTheme="majorBidi" w:hAnsiTheme="majorBidi" w:cstheme="majorBidi"/>
          <w:i w:val="0"/>
          <w:iCs w:val="0"/>
          <w:color w:val="auto"/>
          <w:sz w:val="24"/>
          <w:szCs w:val="24"/>
        </w:rPr>
        <w:fldChar w:fldCharType="begin"/>
      </w:r>
      <w:r w:rsidRPr="00D868ED">
        <w:rPr>
          <w:rFonts w:asciiTheme="majorBidi" w:hAnsiTheme="majorBidi" w:cstheme="majorBidi"/>
          <w:i w:val="0"/>
          <w:iCs w:val="0"/>
          <w:color w:val="auto"/>
          <w:sz w:val="24"/>
          <w:szCs w:val="24"/>
        </w:rPr>
        <w:instrText xml:space="preserve"> SEQ Table \* ARABIC </w:instrText>
      </w:r>
      <w:r w:rsidRPr="00D868ED">
        <w:rPr>
          <w:rFonts w:asciiTheme="majorBidi" w:hAnsiTheme="majorBidi" w:cstheme="majorBidi"/>
          <w:i w:val="0"/>
          <w:iCs w:val="0"/>
          <w:color w:val="auto"/>
          <w:sz w:val="24"/>
          <w:szCs w:val="24"/>
        </w:rPr>
        <w:fldChar w:fldCharType="separate"/>
      </w:r>
      <w:r w:rsidR="00EC28FA" w:rsidRPr="00D868ED">
        <w:rPr>
          <w:rFonts w:asciiTheme="majorBidi" w:hAnsiTheme="majorBidi" w:cstheme="majorBidi"/>
          <w:i w:val="0"/>
          <w:iCs w:val="0"/>
          <w:noProof/>
          <w:color w:val="auto"/>
          <w:sz w:val="24"/>
          <w:szCs w:val="24"/>
        </w:rPr>
        <w:t>4</w:t>
      </w:r>
      <w:r w:rsidRPr="00D868ED">
        <w:rPr>
          <w:rFonts w:asciiTheme="majorBidi" w:hAnsiTheme="majorBidi" w:cstheme="majorBidi"/>
          <w:i w:val="0"/>
          <w:iCs w:val="0"/>
          <w:color w:val="auto"/>
          <w:sz w:val="24"/>
          <w:szCs w:val="24"/>
        </w:rPr>
        <w:fldChar w:fldCharType="end"/>
      </w:r>
      <w:r w:rsidRPr="00D868ED">
        <w:rPr>
          <w:rFonts w:asciiTheme="majorBidi" w:hAnsiTheme="majorBidi" w:cstheme="majorBidi"/>
          <w:i w:val="0"/>
          <w:iCs w:val="0"/>
          <w:color w:val="auto"/>
          <w:sz w:val="24"/>
          <w:szCs w:val="24"/>
        </w:rPr>
        <w:t xml:space="preserve">. </w:t>
      </w:r>
      <w:r w:rsidR="00844A5B" w:rsidRPr="00D868ED">
        <w:rPr>
          <w:rFonts w:asciiTheme="majorBidi" w:hAnsiTheme="majorBidi" w:cstheme="majorBidi"/>
          <w:i w:val="0"/>
          <w:iCs w:val="0"/>
          <w:color w:val="auto"/>
          <w:sz w:val="24"/>
          <w:szCs w:val="24"/>
        </w:rPr>
        <w:t>Correlation matrix of key continuous variables</w:t>
      </w:r>
    </w:p>
    <w:tbl>
      <w:tblPr>
        <w:tblW w:w="0" w:type="auto"/>
        <w:tblLook w:val="0020" w:firstRow="1" w:lastRow="0" w:firstColumn="0" w:lastColumn="0" w:noHBand="0" w:noVBand="0"/>
      </w:tblPr>
      <w:tblGrid>
        <w:gridCol w:w="936"/>
        <w:gridCol w:w="956"/>
        <w:gridCol w:w="956"/>
        <w:gridCol w:w="956"/>
        <w:gridCol w:w="956"/>
      </w:tblGrid>
      <w:tr w:rsidR="00C921E2" w:rsidRPr="00D868ED" w14:paraId="060C3D26" w14:textId="77777777" w:rsidTr="00991E06">
        <w:trPr>
          <w:tblHeader/>
        </w:trPr>
        <w:tc>
          <w:tcPr>
            <w:tcW w:w="936" w:type="dxa"/>
            <w:tcBorders>
              <w:top w:val="single" w:sz="4" w:space="0" w:color="auto"/>
              <w:left w:val="single" w:sz="4" w:space="0" w:color="auto"/>
              <w:right w:val="single" w:sz="4" w:space="0" w:color="auto"/>
            </w:tcBorders>
          </w:tcPr>
          <w:p w14:paraId="03C46B8F" w14:textId="77777777" w:rsidR="00844A5B" w:rsidRPr="00D868ED" w:rsidRDefault="00844A5B" w:rsidP="00CE5C32">
            <w:pPr>
              <w:bidi w:val="0"/>
              <w:spacing w:after="0" w:line="240" w:lineRule="auto"/>
              <w:jc w:val="both"/>
              <w:rPr>
                <w:rFonts w:asciiTheme="majorBidi" w:hAnsiTheme="majorBidi" w:cstheme="majorBidi"/>
              </w:rPr>
            </w:pPr>
          </w:p>
        </w:tc>
        <w:tc>
          <w:tcPr>
            <w:tcW w:w="956" w:type="dxa"/>
            <w:tcBorders>
              <w:top w:val="single" w:sz="4" w:space="0" w:color="auto"/>
              <w:left w:val="single" w:sz="4" w:space="0" w:color="auto"/>
              <w:right w:val="single" w:sz="4" w:space="0" w:color="auto"/>
            </w:tcBorders>
            <w:hideMark/>
          </w:tcPr>
          <w:p w14:paraId="215EF796" w14:textId="252AA32B" w:rsidR="00844A5B" w:rsidRPr="00D868ED" w:rsidRDefault="00367FEC" w:rsidP="00CE5C32">
            <w:pPr>
              <w:bidi w:val="0"/>
              <w:spacing w:after="0" w:line="240" w:lineRule="auto"/>
              <w:jc w:val="both"/>
              <w:rPr>
                <w:rFonts w:asciiTheme="majorBidi" w:hAnsiTheme="majorBidi" w:cstheme="majorBidi"/>
              </w:rPr>
            </w:pPr>
            <m:oMathPara>
              <m:oMath>
                <m:r>
                  <w:rPr>
                    <w:rFonts w:ascii="Cambria Math" w:hAnsi="Cambria Math" w:cstheme="majorBidi"/>
                  </w:rPr>
                  <m:t>flow</m:t>
                </m:r>
              </m:oMath>
            </m:oMathPara>
          </w:p>
        </w:tc>
        <w:tc>
          <w:tcPr>
            <w:tcW w:w="956" w:type="dxa"/>
            <w:tcBorders>
              <w:top w:val="single" w:sz="4" w:space="0" w:color="auto"/>
              <w:left w:val="single" w:sz="4" w:space="0" w:color="auto"/>
              <w:right w:val="single" w:sz="4" w:space="0" w:color="auto"/>
            </w:tcBorders>
            <w:hideMark/>
          </w:tcPr>
          <w:p w14:paraId="534CF687" w14:textId="05E09412" w:rsidR="00844A5B" w:rsidRPr="00D868ED" w:rsidRDefault="00367FEC" w:rsidP="00CE5C32">
            <w:pPr>
              <w:bidi w:val="0"/>
              <w:spacing w:after="0" w:line="240" w:lineRule="auto"/>
              <w:jc w:val="both"/>
              <w:rPr>
                <w:rFonts w:asciiTheme="majorBidi" w:hAnsiTheme="majorBidi" w:cstheme="majorBidi"/>
              </w:rPr>
            </w:pPr>
            <m:oMathPara>
              <m:oMath>
                <m:r>
                  <w:rPr>
                    <w:rFonts w:ascii="Cambria Math" w:hAnsi="Cambria Math" w:cstheme="majorBidi"/>
                  </w:rPr>
                  <m:t>gd</m:t>
                </m:r>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o</m:t>
                    </m:r>
                  </m:sub>
                </m:sSub>
              </m:oMath>
            </m:oMathPara>
          </w:p>
        </w:tc>
        <w:tc>
          <w:tcPr>
            <w:tcW w:w="956" w:type="dxa"/>
            <w:tcBorders>
              <w:top w:val="single" w:sz="4" w:space="0" w:color="auto"/>
              <w:left w:val="single" w:sz="4" w:space="0" w:color="auto"/>
              <w:right w:val="single" w:sz="4" w:space="0" w:color="auto"/>
            </w:tcBorders>
            <w:hideMark/>
          </w:tcPr>
          <w:p w14:paraId="4A9A8C5B" w14:textId="607EBA82" w:rsidR="00844A5B" w:rsidRPr="00D868ED" w:rsidRDefault="00367FEC" w:rsidP="00CE5C32">
            <w:pPr>
              <w:bidi w:val="0"/>
              <w:spacing w:after="0" w:line="240" w:lineRule="auto"/>
              <w:jc w:val="both"/>
              <w:rPr>
                <w:rFonts w:asciiTheme="majorBidi" w:hAnsiTheme="majorBidi" w:cstheme="majorBidi"/>
              </w:rPr>
            </w:pPr>
            <m:oMathPara>
              <m:oMath>
                <m:r>
                  <w:rPr>
                    <w:rFonts w:ascii="Cambria Math" w:hAnsi="Cambria Math" w:cstheme="majorBidi"/>
                  </w:rPr>
                  <m:t>gd</m:t>
                </m:r>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d</m:t>
                    </m:r>
                  </m:sub>
                </m:sSub>
              </m:oMath>
            </m:oMathPara>
          </w:p>
        </w:tc>
        <w:tc>
          <w:tcPr>
            <w:tcW w:w="956" w:type="dxa"/>
            <w:tcBorders>
              <w:top w:val="single" w:sz="4" w:space="0" w:color="auto"/>
              <w:left w:val="single" w:sz="4" w:space="0" w:color="auto"/>
              <w:right w:val="single" w:sz="4" w:space="0" w:color="auto"/>
            </w:tcBorders>
            <w:hideMark/>
          </w:tcPr>
          <w:p w14:paraId="26076DCE" w14:textId="5E60C6A6" w:rsidR="00844A5B" w:rsidRPr="00D868ED" w:rsidRDefault="00367FEC" w:rsidP="00CE5C32">
            <w:pPr>
              <w:bidi w:val="0"/>
              <w:spacing w:after="0" w:line="240" w:lineRule="auto"/>
              <w:jc w:val="both"/>
              <w:rPr>
                <w:rFonts w:asciiTheme="majorBidi" w:hAnsiTheme="majorBidi" w:cstheme="majorBidi"/>
              </w:rPr>
            </w:pPr>
            <m:oMathPara>
              <m:oMath>
                <m:r>
                  <w:rPr>
                    <w:rFonts w:ascii="Cambria Math" w:hAnsi="Cambria Math" w:cstheme="majorBidi"/>
                  </w:rPr>
                  <m:t>distw</m:t>
                </m:r>
              </m:oMath>
            </m:oMathPara>
          </w:p>
        </w:tc>
      </w:tr>
      <w:tr w:rsidR="00C921E2" w:rsidRPr="00D868ED" w14:paraId="309E9B79" w14:textId="77777777" w:rsidTr="00991E06">
        <w:tc>
          <w:tcPr>
            <w:tcW w:w="936" w:type="dxa"/>
            <w:tcBorders>
              <w:top w:val="single" w:sz="4" w:space="0" w:color="auto"/>
              <w:left w:val="single" w:sz="4" w:space="0" w:color="auto"/>
              <w:bottom w:val="single" w:sz="4" w:space="0" w:color="auto"/>
              <w:right w:val="single" w:sz="4" w:space="0" w:color="auto"/>
            </w:tcBorders>
            <w:hideMark/>
          </w:tcPr>
          <w:p w14:paraId="1E928EF5" w14:textId="74694A69" w:rsidR="00844A5B" w:rsidRPr="00D868ED" w:rsidRDefault="00367FEC" w:rsidP="00CE5C32">
            <w:pPr>
              <w:bidi w:val="0"/>
              <w:spacing w:after="0" w:line="240" w:lineRule="auto"/>
              <w:jc w:val="both"/>
              <w:rPr>
                <w:rFonts w:asciiTheme="majorBidi" w:hAnsiTheme="majorBidi" w:cstheme="majorBidi"/>
              </w:rPr>
            </w:pPr>
            <m:oMathPara>
              <m:oMath>
                <m:r>
                  <w:rPr>
                    <w:rFonts w:ascii="Cambria Math" w:hAnsi="Cambria Math" w:cstheme="majorBidi"/>
                  </w:rPr>
                  <m:t>flow</m:t>
                </m:r>
              </m:oMath>
            </m:oMathPara>
          </w:p>
        </w:tc>
        <w:tc>
          <w:tcPr>
            <w:tcW w:w="956" w:type="dxa"/>
            <w:tcBorders>
              <w:top w:val="single" w:sz="4" w:space="0" w:color="auto"/>
              <w:left w:val="single" w:sz="4" w:space="0" w:color="auto"/>
              <w:bottom w:val="single" w:sz="4" w:space="0" w:color="auto"/>
              <w:right w:val="single" w:sz="4" w:space="0" w:color="auto"/>
            </w:tcBorders>
            <w:hideMark/>
          </w:tcPr>
          <w:p w14:paraId="778310A9"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1.000</w:t>
            </w:r>
          </w:p>
        </w:tc>
        <w:tc>
          <w:tcPr>
            <w:tcW w:w="956" w:type="dxa"/>
            <w:tcBorders>
              <w:top w:val="single" w:sz="4" w:space="0" w:color="auto"/>
              <w:left w:val="single" w:sz="4" w:space="0" w:color="auto"/>
              <w:bottom w:val="single" w:sz="4" w:space="0" w:color="auto"/>
              <w:right w:val="single" w:sz="4" w:space="0" w:color="auto"/>
            </w:tcBorders>
            <w:hideMark/>
          </w:tcPr>
          <w:p w14:paraId="7A23246B"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0.513</w:t>
            </w:r>
          </w:p>
        </w:tc>
        <w:tc>
          <w:tcPr>
            <w:tcW w:w="956" w:type="dxa"/>
            <w:tcBorders>
              <w:top w:val="single" w:sz="4" w:space="0" w:color="auto"/>
              <w:left w:val="single" w:sz="4" w:space="0" w:color="auto"/>
              <w:bottom w:val="single" w:sz="4" w:space="0" w:color="auto"/>
              <w:right w:val="single" w:sz="4" w:space="0" w:color="auto"/>
            </w:tcBorders>
            <w:hideMark/>
          </w:tcPr>
          <w:p w14:paraId="313914FB"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0.263</w:t>
            </w:r>
          </w:p>
        </w:tc>
        <w:tc>
          <w:tcPr>
            <w:tcW w:w="956" w:type="dxa"/>
            <w:tcBorders>
              <w:top w:val="single" w:sz="4" w:space="0" w:color="auto"/>
              <w:left w:val="single" w:sz="4" w:space="0" w:color="auto"/>
              <w:bottom w:val="single" w:sz="4" w:space="0" w:color="auto"/>
              <w:right w:val="single" w:sz="4" w:space="0" w:color="auto"/>
            </w:tcBorders>
            <w:hideMark/>
          </w:tcPr>
          <w:p w14:paraId="75E6C19D"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-0.180</w:t>
            </w:r>
          </w:p>
        </w:tc>
      </w:tr>
      <w:tr w:rsidR="00C921E2" w:rsidRPr="00D868ED" w14:paraId="7F0ABFD5" w14:textId="77777777" w:rsidTr="00991E06">
        <w:tc>
          <w:tcPr>
            <w:tcW w:w="936" w:type="dxa"/>
            <w:tcBorders>
              <w:top w:val="single" w:sz="4" w:space="0" w:color="auto"/>
              <w:left w:val="single" w:sz="4" w:space="0" w:color="auto"/>
              <w:bottom w:val="single" w:sz="4" w:space="0" w:color="auto"/>
              <w:right w:val="single" w:sz="4" w:space="0" w:color="auto"/>
            </w:tcBorders>
            <w:hideMark/>
          </w:tcPr>
          <w:p w14:paraId="4FBF391D" w14:textId="199CC7B3" w:rsidR="00844A5B" w:rsidRPr="00D868ED" w:rsidRDefault="00367FEC" w:rsidP="00CE5C32">
            <w:pPr>
              <w:bidi w:val="0"/>
              <w:spacing w:after="0" w:line="240" w:lineRule="auto"/>
              <w:jc w:val="both"/>
              <w:rPr>
                <w:rFonts w:asciiTheme="majorBidi" w:hAnsiTheme="majorBidi" w:cstheme="majorBidi"/>
              </w:rPr>
            </w:pPr>
            <m:oMathPara>
              <m:oMath>
                <m:r>
                  <w:rPr>
                    <w:rFonts w:ascii="Cambria Math" w:hAnsi="Cambria Math" w:cstheme="majorBidi"/>
                  </w:rPr>
                  <m:t>gd</m:t>
                </m:r>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o</m:t>
                    </m:r>
                  </m:sub>
                </m:sSub>
              </m:oMath>
            </m:oMathPara>
          </w:p>
        </w:tc>
        <w:tc>
          <w:tcPr>
            <w:tcW w:w="956" w:type="dxa"/>
            <w:tcBorders>
              <w:top w:val="single" w:sz="4" w:space="0" w:color="auto"/>
              <w:left w:val="single" w:sz="4" w:space="0" w:color="auto"/>
              <w:bottom w:val="single" w:sz="4" w:space="0" w:color="auto"/>
              <w:right w:val="single" w:sz="4" w:space="0" w:color="auto"/>
            </w:tcBorders>
            <w:hideMark/>
          </w:tcPr>
          <w:p w14:paraId="75FEE44D"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0.513</w:t>
            </w:r>
          </w:p>
        </w:tc>
        <w:tc>
          <w:tcPr>
            <w:tcW w:w="956" w:type="dxa"/>
            <w:tcBorders>
              <w:top w:val="single" w:sz="4" w:space="0" w:color="auto"/>
              <w:left w:val="single" w:sz="4" w:space="0" w:color="auto"/>
              <w:bottom w:val="single" w:sz="4" w:space="0" w:color="auto"/>
              <w:right w:val="single" w:sz="4" w:space="0" w:color="auto"/>
            </w:tcBorders>
            <w:hideMark/>
          </w:tcPr>
          <w:p w14:paraId="4E8944D9"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1.000</w:t>
            </w:r>
          </w:p>
        </w:tc>
        <w:tc>
          <w:tcPr>
            <w:tcW w:w="956" w:type="dxa"/>
            <w:tcBorders>
              <w:top w:val="single" w:sz="4" w:space="0" w:color="auto"/>
              <w:left w:val="single" w:sz="4" w:space="0" w:color="auto"/>
              <w:bottom w:val="single" w:sz="4" w:space="0" w:color="auto"/>
              <w:right w:val="single" w:sz="4" w:space="0" w:color="auto"/>
            </w:tcBorders>
            <w:hideMark/>
          </w:tcPr>
          <w:p w14:paraId="032321D0"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-0.035</w:t>
            </w:r>
          </w:p>
        </w:tc>
        <w:tc>
          <w:tcPr>
            <w:tcW w:w="956" w:type="dxa"/>
            <w:tcBorders>
              <w:top w:val="single" w:sz="4" w:space="0" w:color="auto"/>
              <w:left w:val="single" w:sz="4" w:space="0" w:color="auto"/>
              <w:bottom w:val="single" w:sz="4" w:space="0" w:color="auto"/>
              <w:right w:val="single" w:sz="4" w:space="0" w:color="auto"/>
            </w:tcBorders>
            <w:hideMark/>
          </w:tcPr>
          <w:p w14:paraId="75D4C808"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-0.079</w:t>
            </w:r>
          </w:p>
        </w:tc>
      </w:tr>
      <w:tr w:rsidR="00C921E2" w:rsidRPr="00D868ED" w14:paraId="63370967" w14:textId="77777777" w:rsidTr="00991E06">
        <w:tc>
          <w:tcPr>
            <w:tcW w:w="936" w:type="dxa"/>
            <w:tcBorders>
              <w:top w:val="single" w:sz="4" w:space="0" w:color="auto"/>
              <w:left w:val="single" w:sz="4" w:space="0" w:color="auto"/>
              <w:bottom w:val="single" w:sz="4" w:space="0" w:color="auto"/>
              <w:right w:val="single" w:sz="4" w:space="0" w:color="auto"/>
            </w:tcBorders>
            <w:hideMark/>
          </w:tcPr>
          <w:p w14:paraId="5A6E58EC" w14:textId="2A926BAD" w:rsidR="00844A5B" w:rsidRPr="00D868ED" w:rsidRDefault="00367FEC" w:rsidP="00CE5C32">
            <w:pPr>
              <w:bidi w:val="0"/>
              <w:spacing w:after="0" w:line="240" w:lineRule="auto"/>
              <w:jc w:val="both"/>
              <w:rPr>
                <w:rFonts w:asciiTheme="majorBidi" w:hAnsiTheme="majorBidi" w:cstheme="majorBidi"/>
              </w:rPr>
            </w:pPr>
            <m:oMathPara>
              <m:oMath>
                <m:r>
                  <w:rPr>
                    <w:rFonts w:ascii="Cambria Math" w:hAnsi="Cambria Math" w:cstheme="majorBidi"/>
                  </w:rPr>
                  <m:t>gd</m:t>
                </m:r>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d</m:t>
                    </m:r>
                  </m:sub>
                </m:sSub>
              </m:oMath>
            </m:oMathPara>
          </w:p>
        </w:tc>
        <w:tc>
          <w:tcPr>
            <w:tcW w:w="956" w:type="dxa"/>
            <w:tcBorders>
              <w:top w:val="single" w:sz="4" w:space="0" w:color="auto"/>
              <w:left w:val="single" w:sz="4" w:space="0" w:color="auto"/>
              <w:bottom w:val="single" w:sz="4" w:space="0" w:color="auto"/>
              <w:right w:val="single" w:sz="4" w:space="0" w:color="auto"/>
            </w:tcBorders>
            <w:hideMark/>
          </w:tcPr>
          <w:p w14:paraId="56562A07"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0.263</w:t>
            </w:r>
          </w:p>
        </w:tc>
        <w:tc>
          <w:tcPr>
            <w:tcW w:w="956" w:type="dxa"/>
            <w:tcBorders>
              <w:top w:val="single" w:sz="4" w:space="0" w:color="auto"/>
              <w:left w:val="single" w:sz="4" w:space="0" w:color="auto"/>
              <w:bottom w:val="single" w:sz="4" w:space="0" w:color="auto"/>
              <w:right w:val="single" w:sz="4" w:space="0" w:color="auto"/>
            </w:tcBorders>
            <w:hideMark/>
          </w:tcPr>
          <w:p w14:paraId="429735A5"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-0.035</w:t>
            </w:r>
          </w:p>
        </w:tc>
        <w:tc>
          <w:tcPr>
            <w:tcW w:w="956" w:type="dxa"/>
            <w:tcBorders>
              <w:top w:val="single" w:sz="4" w:space="0" w:color="auto"/>
              <w:left w:val="single" w:sz="4" w:space="0" w:color="auto"/>
              <w:bottom w:val="single" w:sz="4" w:space="0" w:color="auto"/>
              <w:right w:val="single" w:sz="4" w:space="0" w:color="auto"/>
            </w:tcBorders>
            <w:hideMark/>
          </w:tcPr>
          <w:p w14:paraId="3DF1D262"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1.000</w:t>
            </w:r>
          </w:p>
        </w:tc>
        <w:tc>
          <w:tcPr>
            <w:tcW w:w="956" w:type="dxa"/>
            <w:tcBorders>
              <w:top w:val="single" w:sz="4" w:space="0" w:color="auto"/>
              <w:left w:val="single" w:sz="4" w:space="0" w:color="auto"/>
              <w:bottom w:val="single" w:sz="4" w:space="0" w:color="auto"/>
              <w:right w:val="single" w:sz="4" w:space="0" w:color="auto"/>
            </w:tcBorders>
            <w:hideMark/>
          </w:tcPr>
          <w:p w14:paraId="0120D278"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-0.079</w:t>
            </w:r>
          </w:p>
        </w:tc>
      </w:tr>
      <w:tr w:rsidR="00C921E2" w:rsidRPr="00D868ED" w14:paraId="0AB65423" w14:textId="77777777" w:rsidTr="00991E06">
        <w:tc>
          <w:tcPr>
            <w:tcW w:w="936" w:type="dxa"/>
            <w:tcBorders>
              <w:top w:val="single" w:sz="4" w:space="0" w:color="auto"/>
              <w:left w:val="single" w:sz="4" w:space="0" w:color="auto"/>
              <w:bottom w:val="single" w:sz="4" w:space="0" w:color="auto"/>
              <w:right w:val="single" w:sz="4" w:space="0" w:color="auto"/>
            </w:tcBorders>
            <w:hideMark/>
          </w:tcPr>
          <w:p w14:paraId="51709D05" w14:textId="1A56B13A" w:rsidR="00844A5B" w:rsidRPr="00D868ED" w:rsidRDefault="00367FEC" w:rsidP="00CE5C32">
            <w:pPr>
              <w:bidi w:val="0"/>
              <w:spacing w:after="0" w:line="240" w:lineRule="auto"/>
              <w:jc w:val="both"/>
              <w:rPr>
                <w:rFonts w:asciiTheme="majorBidi" w:hAnsiTheme="majorBidi" w:cstheme="majorBidi"/>
              </w:rPr>
            </w:pPr>
            <m:oMathPara>
              <m:oMath>
                <m:r>
                  <w:rPr>
                    <w:rFonts w:ascii="Cambria Math" w:hAnsi="Cambria Math" w:cstheme="majorBidi"/>
                  </w:rPr>
                  <m:t>distw</m:t>
                </m:r>
              </m:oMath>
            </m:oMathPara>
          </w:p>
        </w:tc>
        <w:tc>
          <w:tcPr>
            <w:tcW w:w="956" w:type="dxa"/>
            <w:tcBorders>
              <w:top w:val="single" w:sz="4" w:space="0" w:color="auto"/>
              <w:left w:val="single" w:sz="4" w:space="0" w:color="auto"/>
              <w:bottom w:val="single" w:sz="4" w:space="0" w:color="auto"/>
              <w:right w:val="single" w:sz="4" w:space="0" w:color="auto"/>
            </w:tcBorders>
            <w:hideMark/>
          </w:tcPr>
          <w:p w14:paraId="68449DA2"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-0.180</w:t>
            </w:r>
          </w:p>
        </w:tc>
        <w:tc>
          <w:tcPr>
            <w:tcW w:w="956" w:type="dxa"/>
            <w:tcBorders>
              <w:top w:val="single" w:sz="4" w:space="0" w:color="auto"/>
              <w:left w:val="single" w:sz="4" w:space="0" w:color="auto"/>
              <w:bottom w:val="single" w:sz="4" w:space="0" w:color="auto"/>
              <w:right w:val="single" w:sz="4" w:space="0" w:color="auto"/>
            </w:tcBorders>
            <w:hideMark/>
          </w:tcPr>
          <w:p w14:paraId="2B60415F"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-0.079</w:t>
            </w:r>
          </w:p>
        </w:tc>
        <w:tc>
          <w:tcPr>
            <w:tcW w:w="956" w:type="dxa"/>
            <w:tcBorders>
              <w:top w:val="single" w:sz="4" w:space="0" w:color="auto"/>
              <w:left w:val="single" w:sz="4" w:space="0" w:color="auto"/>
              <w:bottom w:val="single" w:sz="4" w:space="0" w:color="auto"/>
              <w:right w:val="single" w:sz="4" w:space="0" w:color="auto"/>
            </w:tcBorders>
            <w:hideMark/>
          </w:tcPr>
          <w:p w14:paraId="26B8941C"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-0.079</w:t>
            </w:r>
          </w:p>
        </w:tc>
        <w:tc>
          <w:tcPr>
            <w:tcW w:w="956" w:type="dxa"/>
            <w:tcBorders>
              <w:top w:val="single" w:sz="4" w:space="0" w:color="auto"/>
              <w:left w:val="single" w:sz="4" w:space="0" w:color="auto"/>
              <w:bottom w:val="single" w:sz="4" w:space="0" w:color="auto"/>
              <w:right w:val="single" w:sz="4" w:space="0" w:color="auto"/>
            </w:tcBorders>
            <w:hideMark/>
          </w:tcPr>
          <w:p w14:paraId="1216AB4D" w14:textId="77777777" w:rsidR="00844A5B" w:rsidRPr="00D868ED" w:rsidRDefault="00844A5B" w:rsidP="00CE5C32">
            <w:pPr>
              <w:bidi w:val="0"/>
              <w:spacing w:after="0" w:line="240" w:lineRule="auto"/>
              <w:jc w:val="both"/>
              <w:rPr>
                <w:rFonts w:asciiTheme="majorBidi" w:hAnsiTheme="majorBidi" w:cstheme="majorBidi"/>
              </w:rPr>
            </w:pPr>
            <w:r w:rsidRPr="00D868ED">
              <w:rPr>
                <w:rFonts w:asciiTheme="majorBidi" w:hAnsiTheme="majorBidi" w:cstheme="majorBidi"/>
              </w:rPr>
              <w:t>1.000</w:t>
            </w:r>
          </w:p>
        </w:tc>
      </w:tr>
    </w:tbl>
    <w:p w14:paraId="4989204E" w14:textId="6AF0F910" w:rsidR="00844A5B" w:rsidRPr="00D868ED" w:rsidRDefault="00844A5B" w:rsidP="00CE5C32">
      <w:pPr>
        <w:bidi w:val="0"/>
        <w:spacing w:before="240" w:after="120" w:line="360" w:lineRule="auto"/>
        <w:jc w:val="both"/>
        <w:rPr>
          <w:rFonts w:asciiTheme="majorBidi" w:hAnsiTheme="majorBidi" w:cstheme="majorBidi"/>
          <w:b/>
          <w:bCs/>
        </w:rPr>
      </w:pPr>
      <w:bookmarkStart w:id="12" w:name="correlation-structure"/>
      <w:bookmarkEnd w:id="11"/>
      <w:bookmarkEnd w:id="12"/>
      <w:r w:rsidRPr="00D868ED">
        <w:rPr>
          <w:rFonts w:asciiTheme="majorBidi" w:hAnsiTheme="majorBidi" w:cstheme="majorBidi"/>
          <w:b/>
          <w:bCs/>
        </w:rPr>
        <w:t>3.</w:t>
      </w:r>
      <w:r w:rsidR="001D1034" w:rsidRPr="00D868ED">
        <w:rPr>
          <w:rFonts w:asciiTheme="majorBidi" w:hAnsiTheme="majorBidi" w:cstheme="majorBidi"/>
          <w:b/>
          <w:bCs/>
        </w:rPr>
        <w:t>5</w:t>
      </w:r>
      <w:r w:rsidRPr="00D868ED">
        <w:rPr>
          <w:rFonts w:asciiTheme="majorBidi" w:hAnsiTheme="majorBidi" w:cstheme="majorBidi"/>
          <w:b/>
          <w:bCs/>
        </w:rPr>
        <w:t xml:space="preserve"> Visual evidence</w:t>
      </w:r>
    </w:p>
    <w:p w14:paraId="2CA91B57" w14:textId="483A583E" w:rsidR="00844A5B" w:rsidRPr="00D868ED" w:rsidRDefault="000A66B0" w:rsidP="00CE5C32">
      <w:pPr>
        <w:bidi w:val="0"/>
        <w:spacing w:after="120" w:line="288" w:lineRule="auto"/>
        <w:contextualSpacing/>
        <w:jc w:val="both"/>
        <w:rPr>
          <w:rFonts w:asciiTheme="majorBidi" w:hAnsiTheme="majorBidi" w:cstheme="majorBidi"/>
        </w:rPr>
      </w:pPr>
      <w:r w:rsidRPr="00D868ED">
        <w:rPr>
          <w:rFonts w:asciiTheme="majorBidi" w:hAnsiTheme="majorBidi" w:cstheme="majorBidi"/>
        </w:rPr>
        <w:fldChar w:fldCharType="begin"/>
      </w:r>
      <w:r w:rsidRPr="00D868ED">
        <w:rPr>
          <w:rFonts w:asciiTheme="majorBidi" w:hAnsiTheme="majorBidi" w:cstheme="majorBidi"/>
        </w:rPr>
        <w:instrText xml:space="preserve"> REF _Ref224730671 \h </w:instrText>
      </w:r>
      <w:r w:rsidR="008D7CCD" w:rsidRPr="00D868ED">
        <w:rPr>
          <w:rFonts w:asciiTheme="majorBidi" w:hAnsiTheme="majorBidi" w:cstheme="majorBidi"/>
        </w:rPr>
        <w:instrText xml:space="preserve"> \* MERGEFORMAT </w:instrText>
      </w:r>
      <w:r w:rsidRPr="00D868ED">
        <w:rPr>
          <w:rFonts w:asciiTheme="majorBidi" w:hAnsiTheme="majorBidi" w:cstheme="majorBidi"/>
        </w:rPr>
      </w:r>
      <w:r w:rsidRPr="00D868ED">
        <w:rPr>
          <w:rFonts w:asciiTheme="majorBidi" w:hAnsiTheme="majorBidi" w:cstheme="majorBidi"/>
        </w:rPr>
        <w:fldChar w:fldCharType="separate"/>
      </w:r>
      <w:r w:rsidR="00EC28FA" w:rsidRPr="00D868ED">
        <w:rPr>
          <w:rFonts w:asciiTheme="majorBidi" w:hAnsiTheme="majorBidi" w:cstheme="majorBidi"/>
        </w:rPr>
        <w:t xml:space="preserve">Figure </w:t>
      </w:r>
      <w:r w:rsidR="00EC28FA" w:rsidRPr="00D868ED">
        <w:rPr>
          <w:rFonts w:asciiTheme="majorBidi" w:hAnsiTheme="majorBidi" w:cstheme="majorBidi"/>
          <w:noProof/>
        </w:rPr>
        <w:t>1</w:t>
      </w:r>
      <w:r w:rsidRPr="00D868ED">
        <w:rPr>
          <w:rFonts w:asciiTheme="majorBidi" w:hAnsiTheme="majorBidi" w:cstheme="majorBidi"/>
        </w:rPr>
        <w:fldChar w:fldCharType="end"/>
      </w:r>
      <w:r w:rsidRPr="00D868ED">
        <w:rPr>
          <w:rFonts w:asciiTheme="majorBidi" w:hAnsiTheme="majorBidi" w:cstheme="majorBidi"/>
        </w:rPr>
        <w:t xml:space="preserve"> </w:t>
      </w:r>
      <w:r w:rsidR="00844A5B" w:rsidRPr="00D868ED">
        <w:rPr>
          <w:rFonts w:asciiTheme="majorBidi" w:hAnsiTheme="majorBidi" w:cstheme="majorBidi"/>
        </w:rPr>
        <w:t xml:space="preserve">presents the histogram of </w:t>
      </w:r>
      <m:oMath>
        <m:r>
          <w:rPr>
            <w:rFonts w:ascii="Cambria Math" w:hAnsi="Cambria Math" w:cstheme="majorBidi"/>
          </w:rPr>
          <m:t>log_flow</m:t>
        </m:r>
      </m:oMath>
      <w:r w:rsidR="00844A5B" w:rsidRPr="00D868ED">
        <w:rPr>
          <w:rFonts w:asciiTheme="majorBidi" w:hAnsiTheme="majorBidi" w:cstheme="majorBidi"/>
        </w:rPr>
        <w:t xml:space="preserve">. The distribution is wide and </w:t>
      </w:r>
      <w:r w:rsidR="00D55E11" w:rsidRPr="00D868ED">
        <w:rPr>
          <w:rFonts w:asciiTheme="majorBidi" w:hAnsiTheme="majorBidi" w:cstheme="majorBidi"/>
        </w:rPr>
        <w:t>non-normal</w:t>
      </w:r>
      <w:r w:rsidR="00844A5B" w:rsidRPr="00D868ED">
        <w:rPr>
          <w:rFonts w:asciiTheme="majorBidi" w:hAnsiTheme="majorBidi" w:cstheme="majorBidi"/>
        </w:rPr>
        <w:t xml:space="preserve">, with most observations concentrated in the middle range and a long upper tail. This confirms that bilateral trade flows across </w:t>
      </w:r>
      <w:r w:rsidR="000237DB" w:rsidRPr="00D868ED">
        <w:rPr>
          <w:rFonts w:asciiTheme="majorBidi" w:hAnsiTheme="majorBidi" w:cstheme="majorBidi"/>
        </w:rPr>
        <w:t>post-Soviet</w:t>
      </w:r>
      <w:r w:rsidR="00844A5B" w:rsidRPr="00D868ED">
        <w:rPr>
          <w:rFonts w:asciiTheme="majorBidi" w:hAnsiTheme="majorBidi" w:cstheme="majorBidi"/>
        </w:rPr>
        <w:t xml:space="preserve"> pairs are highly heterogeneous. The skewness in the raw flow distribution is one reason why log transformations are useful for descriptive work, although the estimations later compare both log linear and pseudo maximum likelihood approaches. </w:t>
      </w:r>
    </w:p>
    <w:p w14:paraId="2E11529D" w14:textId="34276414" w:rsidR="005D63B1" w:rsidRPr="00D868ED" w:rsidRDefault="002A4FE2" w:rsidP="00CE5C32">
      <w:pPr>
        <w:bidi w:val="0"/>
        <w:spacing w:after="120" w:line="288" w:lineRule="auto"/>
        <w:contextualSpacing/>
        <w:jc w:val="both"/>
        <w:rPr>
          <w:rFonts w:asciiTheme="majorBidi" w:hAnsiTheme="majorBidi" w:cstheme="majorBidi"/>
        </w:rPr>
      </w:pPr>
      <w:r w:rsidRPr="00D868ED">
        <w:rPr>
          <w:rFonts w:asciiTheme="majorBidi" w:hAnsiTheme="majorBidi" w:cstheme="majorBidi"/>
          <w:noProof/>
        </w:rPr>
        <w:drawing>
          <wp:inline distT="0" distB="0" distL="0" distR="0" wp14:anchorId="28D77BEA" wp14:editId="68A11707">
            <wp:extent cx="5731510" cy="34124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12490"/>
                    </a:xfrm>
                    <a:prstGeom prst="rect">
                      <a:avLst/>
                    </a:prstGeom>
                    <a:noFill/>
                    <a:ln>
                      <a:noFill/>
                    </a:ln>
                  </pic:spPr>
                </pic:pic>
              </a:graphicData>
            </a:graphic>
          </wp:inline>
        </w:drawing>
      </w:r>
    </w:p>
    <w:p w14:paraId="50F0C0F9" w14:textId="21AD00E4" w:rsidR="0086453B" w:rsidRPr="00D868ED" w:rsidRDefault="0086453B" w:rsidP="00CE5C32">
      <w:pPr>
        <w:pStyle w:val="Caption"/>
        <w:bidi w:val="0"/>
        <w:spacing w:after="120" w:line="288" w:lineRule="auto"/>
        <w:contextualSpacing/>
        <w:rPr>
          <w:rFonts w:asciiTheme="majorBidi" w:hAnsiTheme="majorBidi" w:cstheme="majorBidi"/>
          <w:i w:val="0"/>
          <w:iCs w:val="0"/>
          <w:color w:val="auto"/>
          <w:sz w:val="24"/>
          <w:szCs w:val="24"/>
        </w:rPr>
      </w:pPr>
      <w:bookmarkStart w:id="13" w:name="_Ref224730671"/>
      <w:r w:rsidRPr="00D868ED">
        <w:rPr>
          <w:rFonts w:asciiTheme="majorBidi" w:hAnsiTheme="majorBidi" w:cstheme="majorBidi"/>
          <w:i w:val="0"/>
          <w:iCs w:val="0"/>
          <w:color w:val="auto"/>
          <w:sz w:val="24"/>
          <w:szCs w:val="24"/>
        </w:rPr>
        <w:t xml:space="preserve">Figure </w:t>
      </w:r>
      <w:r w:rsidRPr="00D868ED">
        <w:rPr>
          <w:rFonts w:asciiTheme="majorBidi" w:hAnsiTheme="majorBidi" w:cstheme="majorBidi"/>
          <w:i w:val="0"/>
          <w:iCs w:val="0"/>
          <w:color w:val="auto"/>
          <w:sz w:val="24"/>
          <w:szCs w:val="24"/>
        </w:rPr>
        <w:fldChar w:fldCharType="begin"/>
      </w:r>
      <w:r w:rsidRPr="00D868ED">
        <w:rPr>
          <w:rFonts w:asciiTheme="majorBidi" w:hAnsiTheme="majorBidi" w:cstheme="majorBidi"/>
          <w:i w:val="0"/>
          <w:iCs w:val="0"/>
          <w:color w:val="auto"/>
          <w:sz w:val="24"/>
          <w:szCs w:val="24"/>
        </w:rPr>
        <w:instrText xml:space="preserve"> SEQ Figure \* ARABIC </w:instrText>
      </w:r>
      <w:r w:rsidRPr="00D868ED">
        <w:rPr>
          <w:rFonts w:asciiTheme="majorBidi" w:hAnsiTheme="majorBidi" w:cstheme="majorBidi"/>
          <w:i w:val="0"/>
          <w:iCs w:val="0"/>
          <w:color w:val="auto"/>
          <w:sz w:val="24"/>
          <w:szCs w:val="24"/>
        </w:rPr>
        <w:fldChar w:fldCharType="separate"/>
      </w:r>
      <w:r w:rsidR="00EC28FA" w:rsidRPr="00D868ED">
        <w:rPr>
          <w:rFonts w:asciiTheme="majorBidi" w:hAnsiTheme="majorBidi" w:cstheme="majorBidi"/>
          <w:i w:val="0"/>
          <w:iCs w:val="0"/>
          <w:noProof/>
          <w:color w:val="auto"/>
          <w:sz w:val="24"/>
          <w:szCs w:val="24"/>
        </w:rPr>
        <w:t>1</w:t>
      </w:r>
      <w:r w:rsidRPr="00D868ED">
        <w:rPr>
          <w:rFonts w:asciiTheme="majorBidi" w:hAnsiTheme="majorBidi" w:cstheme="majorBidi"/>
          <w:i w:val="0"/>
          <w:iCs w:val="0"/>
          <w:color w:val="auto"/>
          <w:sz w:val="24"/>
          <w:szCs w:val="24"/>
        </w:rPr>
        <w:fldChar w:fldCharType="end"/>
      </w:r>
      <w:bookmarkEnd w:id="13"/>
      <w:r w:rsidRPr="00D868ED">
        <w:rPr>
          <w:rFonts w:asciiTheme="majorBidi" w:hAnsiTheme="majorBidi" w:cstheme="majorBidi"/>
          <w:i w:val="0"/>
          <w:iCs w:val="0"/>
          <w:color w:val="auto"/>
          <w:sz w:val="24"/>
          <w:szCs w:val="24"/>
        </w:rPr>
        <w:t>. Distribution of Intra Ex-Soviet Bilateral Trade Flows (Log Scale)</w:t>
      </w:r>
    </w:p>
    <w:p w14:paraId="6E8AABA0" w14:textId="2DA46721" w:rsidR="00844A5B" w:rsidRPr="00D868ED" w:rsidRDefault="000A66B0" w:rsidP="00CE5C32">
      <w:pPr>
        <w:bidi w:val="0"/>
        <w:spacing w:after="120" w:line="288" w:lineRule="auto"/>
        <w:contextualSpacing/>
        <w:jc w:val="both"/>
        <w:rPr>
          <w:rFonts w:asciiTheme="majorBidi" w:hAnsiTheme="majorBidi" w:cstheme="majorBidi"/>
        </w:rPr>
      </w:pPr>
      <w:r w:rsidRPr="00D868ED">
        <w:rPr>
          <w:rFonts w:asciiTheme="majorBidi" w:hAnsiTheme="majorBidi" w:cstheme="majorBidi"/>
        </w:rPr>
        <w:fldChar w:fldCharType="begin"/>
      </w:r>
      <w:r w:rsidRPr="00D868ED">
        <w:rPr>
          <w:rFonts w:asciiTheme="majorBidi" w:hAnsiTheme="majorBidi" w:cstheme="majorBidi"/>
        </w:rPr>
        <w:instrText xml:space="preserve"> REF _Ref224730648 \h </w:instrText>
      </w:r>
      <w:r w:rsidR="008D7CCD" w:rsidRPr="00D868ED">
        <w:rPr>
          <w:rFonts w:asciiTheme="majorBidi" w:hAnsiTheme="majorBidi" w:cstheme="majorBidi"/>
        </w:rPr>
        <w:instrText xml:space="preserve"> \* MERGEFORMAT </w:instrText>
      </w:r>
      <w:r w:rsidRPr="00D868ED">
        <w:rPr>
          <w:rFonts w:asciiTheme="majorBidi" w:hAnsiTheme="majorBidi" w:cstheme="majorBidi"/>
        </w:rPr>
      </w:r>
      <w:r w:rsidRPr="00D868ED">
        <w:rPr>
          <w:rFonts w:asciiTheme="majorBidi" w:hAnsiTheme="majorBidi" w:cstheme="majorBidi"/>
        </w:rPr>
        <w:fldChar w:fldCharType="separate"/>
      </w:r>
      <w:r w:rsidR="00EC28FA" w:rsidRPr="00D868ED">
        <w:rPr>
          <w:rFonts w:asciiTheme="majorBidi" w:hAnsiTheme="majorBidi" w:cstheme="majorBidi"/>
        </w:rPr>
        <w:t xml:space="preserve">Figure </w:t>
      </w:r>
      <w:r w:rsidR="00EC28FA" w:rsidRPr="00D868ED">
        <w:rPr>
          <w:rFonts w:asciiTheme="majorBidi" w:hAnsiTheme="majorBidi" w:cstheme="majorBidi"/>
          <w:noProof/>
        </w:rPr>
        <w:t>2</w:t>
      </w:r>
      <w:r w:rsidRPr="00D868ED">
        <w:rPr>
          <w:rFonts w:asciiTheme="majorBidi" w:hAnsiTheme="majorBidi" w:cstheme="majorBidi"/>
        </w:rPr>
        <w:fldChar w:fldCharType="end"/>
      </w:r>
      <w:r w:rsidRPr="00D868ED">
        <w:rPr>
          <w:rFonts w:asciiTheme="majorBidi" w:hAnsiTheme="majorBidi" w:cstheme="majorBidi"/>
        </w:rPr>
        <w:t xml:space="preserve"> </w:t>
      </w:r>
      <w:r w:rsidR="00844A5B" w:rsidRPr="00D868ED">
        <w:rPr>
          <w:rFonts w:asciiTheme="majorBidi" w:hAnsiTheme="majorBidi" w:cstheme="majorBidi"/>
        </w:rPr>
        <w:t xml:space="preserve">shows total exports by country in </w:t>
      </w:r>
      <w:r w:rsidR="00357F35" w:rsidRPr="00D868ED">
        <w:rPr>
          <w:rFonts w:asciiTheme="majorBidi" w:hAnsiTheme="majorBidi" w:cstheme="majorBidi"/>
        </w:rPr>
        <w:t>2020</w:t>
      </w:r>
      <w:r w:rsidR="00844A5B" w:rsidRPr="00D868ED">
        <w:rPr>
          <w:rFonts w:asciiTheme="majorBidi" w:hAnsiTheme="majorBidi" w:cstheme="majorBidi"/>
        </w:rPr>
        <w:t xml:space="preserve">. Russia dominates </w:t>
      </w:r>
      <w:r w:rsidR="007A70DE" w:rsidRPr="00D868ED">
        <w:rPr>
          <w:rFonts w:asciiTheme="majorBidi" w:hAnsiTheme="majorBidi" w:cstheme="majorBidi"/>
        </w:rPr>
        <w:t>intra-regional</w:t>
      </w:r>
      <w:r w:rsidR="00844A5B" w:rsidRPr="00D868ED">
        <w:rPr>
          <w:rFonts w:asciiTheme="majorBidi" w:hAnsiTheme="majorBidi" w:cstheme="majorBidi"/>
        </w:rPr>
        <w:t xml:space="preserve"> exports by a very large margin. Belarus and Lithuania form a second tier, followed by Kazakhstan and Ukraine. Most other countries account for much smaller trade volumes. This export ranking already suggests that economic size and market centrality are likely to matter strongly in the gravity estimations. </w:t>
      </w:r>
    </w:p>
    <w:p w14:paraId="77D954EC" w14:textId="64DE47B2" w:rsidR="008574B2" w:rsidRPr="00D868ED" w:rsidRDefault="008574B2" w:rsidP="00CE5C32">
      <w:pPr>
        <w:bidi w:val="0"/>
        <w:spacing w:after="120" w:line="288" w:lineRule="auto"/>
        <w:contextualSpacing/>
        <w:jc w:val="both"/>
        <w:rPr>
          <w:rFonts w:asciiTheme="majorBidi" w:hAnsiTheme="majorBidi" w:cstheme="majorBidi"/>
        </w:rPr>
      </w:pPr>
      <w:r w:rsidRPr="00D868ED">
        <w:rPr>
          <w:rFonts w:asciiTheme="majorBidi" w:hAnsiTheme="majorBidi" w:cstheme="majorBidi"/>
          <w:noProof/>
        </w:rPr>
        <w:drawing>
          <wp:inline distT="0" distB="0" distL="0" distR="0" wp14:anchorId="23DF69D6" wp14:editId="38AC8001">
            <wp:extent cx="5731510" cy="34124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12490"/>
                    </a:xfrm>
                    <a:prstGeom prst="rect">
                      <a:avLst/>
                    </a:prstGeom>
                    <a:noFill/>
                    <a:ln>
                      <a:noFill/>
                    </a:ln>
                  </pic:spPr>
                </pic:pic>
              </a:graphicData>
            </a:graphic>
          </wp:inline>
        </w:drawing>
      </w:r>
    </w:p>
    <w:p w14:paraId="48FCE900" w14:textId="58F7B770" w:rsidR="0086453B" w:rsidRPr="00D868ED" w:rsidRDefault="0086453B" w:rsidP="00CE5C32">
      <w:pPr>
        <w:pStyle w:val="Caption"/>
        <w:bidi w:val="0"/>
        <w:spacing w:after="120" w:line="288" w:lineRule="auto"/>
        <w:contextualSpacing/>
        <w:rPr>
          <w:rFonts w:asciiTheme="majorBidi" w:hAnsiTheme="majorBidi" w:cstheme="majorBidi"/>
          <w:i w:val="0"/>
          <w:iCs w:val="0"/>
          <w:color w:val="auto"/>
          <w:sz w:val="24"/>
          <w:szCs w:val="24"/>
        </w:rPr>
      </w:pPr>
      <w:bookmarkStart w:id="14" w:name="_Ref224730648"/>
      <w:r w:rsidRPr="00D868ED">
        <w:rPr>
          <w:rFonts w:asciiTheme="majorBidi" w:hAnsiTheme="majorBidi" w:cstheme="majorBidi"/>
          <w:i w:val="0"/>
          <w:iCs w:val="0"/>
          <w:color w:val="auto"/>
          <w:sz w:val="24"/>
          <w:szCs w:val="24"/>
        </w:rPr>
        <w:t xml:space="preserve">Figure </w:t>
      </w:r>
      <w:r w:rsidRPr="00D868ED">
        <w:rPr>
          <w:rFonts w:asciiTheme="majorBidi" w:hAnsiTheme="majorBidi" w:cstheme="majorBidi"/>
          <w:i w:val="0"/>
          <w:iCs w:val="0"/>
          <w:color w:val="auto"/>
          <w:sz w:val="24"/>
          <w:szCs w:val="24"/>
        </w:rPr>
        <w:fldChar w:fldCharType="begin"/>
      </w:r>
      <w:r w:rsidRPr="00D868ED">
        <w:rPr>
          <w:rFonts w:asciiTheme="majorBidi" w:hAnsiTheme="majorBidi" w:cstheme="majorBidi"/>
          <w:i w:val="0"/>
          <w:iCs w:val="0"/>
          <w:color w:val="auto"/>
          <w:sz w:val="24"/>
          <w:szCs w:val="24"/>
        </w:rPr>
        <w:instrText xml:space="preserve"> SEQ Figure \* ARABIC </w:instrText>
      </w:r>
      <w:r w:rsidRPr="00D868ED">
        <w:rPr>
          <w:rFonts w:asciiTheme="majorBidi" w:hAnsiTheme="majorBidi" w:cstheme="majorBidi"/>
          <w:i w:val="0"/>
          <w:iCs w:val="0"/>
          <w:color w:val="auto"/>
          <w:sz w:val="24"/>
          <w:szCs w:val="24"/>
        </w:rPr>
        <w:fldChar w:fldCharType="separate"/>
      </w:r>
      <w:r w:rsidR="00EC28FA" w:rsidRPr="00D868ED">
        <w:rPr>
          <w:rFonts w:asciiTheme="majorBidi" w:hAnsiTheme="majorBidi" w:cstheme="majorBidi"/>
          <w:i w:val="0"/>
          <w:iCs w:val="0"/>
          <w:noProof/>
          <w:color w:val="auto"/>
          <w:sz w:val="24"/>
          <w:szCs w:val="24"/>
        </w:rPr>
        <w:t>2</w:t>
      </w:r>
      <w:r w:rsidRPr="00D868ED">
        <w:rPr>
          <w:rFonts w:asciiTheme="majorBidi" w:hAnsiTheme="majorBidi" w:cstheme="majorBidi"/>
          <w:i w:val="0"/>
          <w:iCs w:val="0"/>
          <w:color w:val="auto"/>
          <w:sz w:val="24"/>
          <w:szCs w:val="24"/>
        </w:rPr>
        <w:fldChar w:fldCharType="end"/>
      </w:r>
      <w:bookmarkEnd w:id="14"/>
      <w:r w:rsidRPr="00D868ED">
        <w:rPr>
          <w:rFonts w:asciiTheme="majorBidi" w:hAnsiTheme="majorBidi" w:cstheme="majorBidi"/>
          <w:i w:val="0"/>
          <w:iCs w:val="0"/>
          <w:color w:val="auto"/>
          <w:sz w:val="24"/>
          <w:szCs w:val="24"/>
        </w:rPr>
        <w:t>. Total Export</w:t>
      </w:r>
      <w:r w:rsidR="00FD226F" w:rsidRPr="00D868ED">
        <w:rPr>
          <w:rFonts w:asciiTheme="majorBidi" w:hAnsiTheme="majorBidi" w:cstheme="majorBidi"/>
          <w:i w:val="0"/>
          <w:iCs w:val="0"/>
          <w:color w:val="auto"/>
          <w:sz w:val="24"/>
          <w:szCs w:val="24"/>
        </w:rPr>
        <w:t xml:space="preserve"> Value</w:t>
      </w:r>
      <w:r w:rsidRPr="00D868ED">
        <w:rPr>
          <w:rFonts w:asciiTheme="majorBidi" w:hAnsiTheme="majorBidi" w:cstheme="majorBidi"/>
          <w:i w:val="0"/>
          <w:iCs w:val="0"/>
          <w:color w:val="auto"/>
          <w:sz w:val="24"/>
          <w:szCs w:val="24"/>
        </w:rPr>
        <w:t>s by Ex</w:t>
      </w:r>
      <w:r w:rsidR="00583DFA">
        <w:rPr>
          <w:rFonts w:asciiTheme="majorBidi" w:hAnsiTheme="majorBidi" w:cstheme="majorBidi"/>
          <w:i w:val="0"/>
          <w:iCs w:val="0"/>
          <w:color w:val="auto"/>
          <w:sz w:val="24"/>
          <w:szCs w:val="24"/>
        </w:rPr>
        <w:t>-</w:t>
      </w:r>
      <w:r w:rsidRPr="00D868ED">
        <w:rPr>
          <w:rFonts w:asciiTheme="majorBidi" w:hAnsiTheme="majorBidi" w:cstheme="majorBidi"/>
          <w:i w:val="0"/>
          <w:iCs w:val="0"/>
          <w:color w:val="auto"/>
          <w:sz w:val="24"/>
          <w:szCs w:val="24"/>
        </w:rPr>
        <w:t>Soviet Countries (2020)</w:t>
      </w:r>
    </w:p>
    <w:p w14:paraId="58E6FCDA" w14:textId="6A741C9A" w:rsidR="00844A5B" w:rsidRPr="00D868ED" w:rsidRDefault="006D3F84" w:rsidP="00CE5C32">
      <w:pPr>
        <w:bidi w:val="0"/>
        <w:spacing w:after="120" w:line="288" w:lineRule="auto"/>
        <w:contextualSpacing/>
        <w:jc w:val="both"/>
        <w:rPr>
          <w:rFonts w:asciiTheme="majorBidi" w:hAnsiTheme="majorBidi" w:cstheme="majorBidi"/>
        </w:rPr>
      </w:pPr>
      <w:r w:rsidRPr="00D868ED">
        <w:rPr>
          <w:rFonts w:asciiTheme="majorBidi" w:hAnsiTheme="majorBidi" w:cstheme="majorBidi"/>
        </w:rPr>
        <w:fldChar w:fldCharType="begin"/>
      </w:r>
      <w:r w:rsidRPr="00D868ED">
        <w:rPr>
          <w:rFonts w:asciiTheme="majorBidi" w:hAnsiTheme="majorBidi" w:cstheme="majorBidi"/>
        </w:rPr>
        <w:instrText xml:space="preserve"> REF _Ref224730690 \h </w:instrText>
      </w:r>
      <w:r w:rsidR="00E51E09" w:rsidRPr="00D868ED">
        <w:rPr>
          <w:rFonts w:asciiTheme="majorBidi" w:hAnsiTheme="majorBidi" w:cstheme="majorBidi"/>
        </w:rPr>
        <w:instrText xml:space="preserve"> \* MERGEFORMAT </w:instrText>
      </w:r>
      <w:r w:rsidRPr="00D868ED">
        <w:rPr>
          <w:rFonts w:asciiTheme="majorBidi" w:hAnsiTheme="majorBidi" w:cstheme="majorBidi"/>
        </w:rPr>
      </w:r>
      <w:r w:rsidRPr="00D868ED">
        <w:rPr>
          <w:rFonts w:asciiTheme="majorBidi" w:hAnsiTheme="majorBidi" w:cstheme="majorBidi"/>
        </w:rPr>
        <w:fldChar w:fldCharType="separate"/>
      </w:r>
      <w:r w:rsidR="00EC28FA" w:rsidRPr="00D868ED">
        <w:rPr>
          <w:rFonts w:asciiTheme="majorBidi" w:hAnsiTheme="majorBidi" w:cstheme="majorBidi"/>
        </w:rPr>
        <w:t xml:space="preserve">Figure </w:t>
      </w:r>
      <w:r w:rsidR="00EC28FA" w:rsidRPr="00D868ED">
        <w:rPr>
          <w:rFonts w:asciiTheme="majorBidi" w:hAnsiTheme="majorBidi" w:cstheme="majorBidi"/>
          <w:noProof/>
        </w:rPr>
        <w:t>3</w:t>
      </w:r>
      <w:r w:rsidRPr="00D868ED">
        <w:rPr>
          <w:rFonts w:asciiTheme="majorBidi" w:hAnsiTheme="majorBidi" w:cstheme="majorBidi"/>
        </w:rPr>
        <w:fldChar w:fldCharType="end"/>
      </w:r>
      <w:r w:rsidRPr="00D868ED">
        <w:rPr>
          <w:rFonts w:asciiTheme="majorBidi" w:hAnsiTheme="majorBidi" w:cstheme="majorBidi"/>
        </w:rPr>
        <w:t xml:space="preserve"> </w:t>
      </w:r>
      <w:r w:rsidR="000237DB" w:rsidRPr="00D868ED">
        <w:rPr>
          <w:rFonts w:asciiTheme="majorBidi" w:hAnsiTheme="majorBidi" w:cstheme="majorBidi"/>
        </w:rPr>
        <w:t xml:space="preserve">shows the </w:t>
      </w:r>
      <w:r w:rsidR="00844A5B" w:rsidRPr="00D868ED">
        <w:rPr>
          <w:rFonts w:asciiTheme="majorBidi" w:hAnsiTheme="majorBidi" w:cstheme="majorBidi"/>
        </w:rPr>
        <w:t>pairwise log scatter matrix</w:t>
      </w:r>
      <w:r w:rsidR="000237DB" w:rsidRPr="00D868ED">
        <w:rPr>
          <w:rFonts w:asciiTheme="majorBidi" w:hAnsiTheme="majorBidi" w:cstheme="majorBidi"/>
        </w:rPr>
        <w:t xml:space="preserve"> of the m</w:t>
      </w:r>
      <w:r w:rsidR="00BF0E0E" w:rsidRPr="00D868ED">
        <w:rPr>
          <w:rFonts w:asciiTheme="majorBidi" w:hAnsiTheme="majorBidi" w:cstheme="majorBidi"/>
        </w:rPr>
        <w:t>e</w:t>
      </w:r>
      <w:r w:rsidR="000237DB" w:rsidRPr="00D868ED">
        <w:rPr>
          <w:rFonts w:asciiTheme="majorBidi" w:hAnsiTheme="majorBidi" w:cstheme="majorBidi"/>
        </w:rPr>
        <w:t xml:space="preserve">an log-transformed variables. </w:t>
      </w:r>
      <w:r w:rsidR="00C45A8B" w:rsidRPr="00D868ED">
        <w:rPr>
          <w:rFonts w:asciiTheme="majorBidi" w:hAnsiTheme="majorBidi" w:cstheme="majorBidi"/>
        </w:rPr>
        <w:t>It shows that</w:t>
      </w:r>
      <w:r w:rsidR="00844A5B" w:rsidRPr="00D868ED">
        <w:rPr>
          <w:rFonts w:asciiTheme="majorBidi" w:hAnsiTheme="majorBidi" w:cstheme="majorBidi"/>
        </w:rPr>
        <w:t xml:space="preserve"> </w:t>
      </w:r>
      <m:oMath>
        <m:r>
          <w:rPr>
            <w:rFonts w:ascii="Cambria Math" w:hAnsi="Cambria Math" w:cstheme="majorBidi"/>
          </w:rPr>
          <m:t>log_flow</m:t>
        </m:r>
      </m:oMath>
      <w:r w:rsidR="00844A5B" w:rsidRPr="00D868ED">
        <w:rPr>
          <w:rFonts w:asciiTheme="majorBidi" w:hAnsiTheme="majorBidi" w:cstheme="majorBidi"/>
        </w:rPr>
        <w:t xml:space="preserve"> is positively associated with both </w:t>
      </w:r>
      <m:oMath>
        <m:r>
          <w:rPr>
            <w:rFonts w:ascii="Cambria Math" w:hAnsi="Cambria Math" w:cstheme="majorBidi"/>
          </w:rPr>
          <m:t>log_gdp_o</m:t>
        </m:r>
      </m:oMath>
      <w:r w:rsidR="00844A5B" w:rsidRPr="00D868ED">
        <w:rPr>
          <w:rFonts w:asciiTheme="majorBidi" w:hAnsiTheme="majorBidi" w:cstheme="majorBidi"/>
        </w:rPr>
        <w:t xml:space="preserve"> and </w:t>
      </w:r>
      <m:oMath>
        <m:r>
          <w:rPr>
            <w:rFonts w:ascii="Cambria Math" w:hAnsi="Cambria Math" w:cstheme="majorBidi"/>
          </w:rPr>
          <m:t>log_gdp_d</m:t>
        </m:r>
      </m:oMath>
      <w:r w:rsidR="00844A5B" w:rsidRPr="00D868ED">
        <w:rPr>
          <w:rFonts w:asciiTheme="majorBidi" w:hAnsiTheme="majorBidi" w:cstheme="majorBidi"/>
        </w:rPr>
        <w:t xml:space="preserve">, while its relationship with </w:t>
      </w:r>
      <m:oMath>
        <m:r>
          <w:rPr>
            <w:rFonts w:ascii="Cambria Math" w:hAnsi="Cambria Math" w:cstheme="majorBidi"/>
          </w:rPr>
          <m:t>log_distw</m:t>
        </m:r>
      </m:oMath>
      <w:r w:rsidR="00844A5B" w:rsidRPr="00D868ED">
        <w:rPr>
          <w:rFonts w:asciiTheme="majorBidi" w:hAnsiTheme="majorBidi" w:cstheme="majorBidi"/>
        </w:rPr>
        <w:t xml:space="preserve"> is negative. These visual patterns are fully consistent with the expected signs from the baseline gravity model and provide preliminary support for the econometric analysis that follows. </w:t>
      </w:r>
    </w:p>
    <w:p w14:paraId="36C0ADC4" w14:textId="185F7B21" w:rsidR="00583AA8" w:rsidRPr="00D868ED" w:rsidRDefault="00583AA8" w:rsidP="00CE5C32">
      <w:pPr>
        <w:bidi w:val="0"/>
        <w:spacing w:after="120" w:line="288" w:lineRule="auto"/>
        <w:contextualSpacing/>
        <w:jc w:val="both"/>
        <w:rPr>
          <w:rFonts w:asciiTheme="majorBidi" w:hAnsiTheme="majorBidi" w:cstheme="majorBidi"/>
        </w:rPr>
      </w:pPr>
      <w:r w:rsidRPr="00D868ED">
        <w:rPr>
          <w:rFonts w:asciiTheme="majorBidi" w:hAnsiTheme="majorBidi" w:cstheme="majorBidi"/>
          <w:noProof/>
        </w:rPr>
        <w:drawing>
          <wp:inline distT="0" distB="0" distL="0" distR="0" wp14:anchorId="292BF514" wp14:editId="3BFD578F">
            <wp:extent cx="5731510" cy="34124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12490"/>
                    </a:xfrm>
                    <a:prstGeom prst="rect">
                      <a:avLst/>
                    </a:prstGeom>
                    <a:noFill/>
                    <a:ln>
                      <a:noFill/>
                    </a:ln>
                  </pic:spPr>
                </pic:pic>
              </a:graphicData>
            </a:graphic>
          </wp:inline>
        </w:drawing>
      </w:r>
    </w:p>
    <w:p w14:paraId="791F31F5" w14:textId="7A8B72AD" w:rsidR="00130817" w:rsidRPr="00D868ED" w:rsidRDefault="00130817" w:rsidP="00CE5C32">
      <w:pPr>
        <w:pStyle w:val="Caption"/>
        <w:bidi w:val="0"/>
        <w:spacing w:after="120" w:line="288" w:lineRule="auto"/>
        <w:contextualSpacing/>
        <w:rPr>
          <w:rFonts w:asciiTheme="majorBidi" w:hAnsiTheme="majorBidi" w:cstheme="majorBidi"/>
          <w:i w:val="0"/>
          <w:iCs w:val="0"/>
          <w:color w:val="auto"/>
          <w:sz w:val="24"/>
          <w:szCs w:val="24"/>
        </w:rPr>
      </w:pPr>
      <w:bookmarkStart w:id="15" w:name="_Ref224730690"/>
      <w:r w:rsidRPr="00D868ED">
        <w:rPr>
          <w:rFonts w:asciiTheme="majorBidi" w:hAnsiTheme="majorBidi" w:cstheme="majorBidi"/>
          <w:i w:val="0"/>
          <w:iCs w:val="0"/>
          <w:color w:val="auto"/>
          <w:sz w:val="24"/>
          <w:szCs w:val="24"/>
        </w:rPr>
        <w:t xml:space="preserve">Figure </w:t>
      </w:r>
      <w:r w:rsidRPr="00D868ED">
        <w:rPr>
          <w:rFonts w:asciiTheme="majorBidi" w:hAnsiTheme="majorBidi" w:cstheme="majorBidi"/>
          <w:i w:val="0"/>
          <w:iCs w:val="0"/>
          <w:color w:val="auto"/>
          <w:sz w:val="24"/>
          <w:szCs w:val="24"/>
        </w:rPr>
        <w:fldChar w:fldCharType="begin"/>
      </w:r>
      <w:r w:rsidRPr="00D868ED">
        <w:rPr>
          <w:rFonts w:asciiTheme="majorBidi" w:hAnsiTheme="majorBidi" w:cstheme="majorBidi"/>
          <w:i w:val="0"/>
          <w:iCs w:val="0"/>
          <w:color w:val="auto"/>
          <w:sz w:val="24"/>
          <w:szCs w:val="24"/>
        </w:rPr>
        <w:instrText xml:space="preserve"> SEQ Figure \* ARABIC </w:instrText>
      </w:r>
      <w:r w:rsidRPr="00D868ED">
        <w:rPr>
          <w:rFonts w:asciiTheme="majorBidi" w:hAnsiTheme="majorBidi" w:cstheme="majorBidi"/>
          <w:i w:val="0"/>
          <w:iCs w:val="0"/>
          <w:color w:val="auto"/>
          <w:sz w:val="24"/>
          <w:szCs w:val="24"/>
        </w:rPr>
        <w:fldChar w:fldCharType="separate"/>
      </w:r>
      <w:r w:rsidR="00EC28FA" w:rsidRPr="00D868ED">
        <w:rPr>
          <w:rFonts w:asciiTheme="majorBidi" w:hAnsiTheme="majorBidi" w:cstheme="majorBidi"/>
          <w:i w:val="0"/>
          <w:iCs w:val="0"/>
          <w:noProof/>
          <w:color w:val="auto"/>
          <w:sz w:val="24"/>
          <w:szCs w:val="24"/>
        </w:rPr>
        <w:t>3</w:t>
      </w:r>
      <w:r w:rsidRPr="00D868ED">
        <w:rPr>
          <w:rFonts w:asciiTheme="majorBidi" w:hAnsiTheme="majorBidi" w:cstheme="majorBidi"/>
          <w:i w:val="0"/>
          <w:iCs w:val="0"/>
          <w:color w:val="auto"/>
          <w:sz w:val="24"/>
          <w:szCs w:val="24"/>
        </w:rPr>
        <w:fldChar w:fldCharType="end"/>
      </w:r>
      <w:bookmarkEnd w:id="15"/>
      <w:r w:rsidRPr="00D868ED">
        <w:rPr>
          <w:rFonts w:asciiTheme="majorBidi" w:hAnsiTheme="majorBidi" w:cstheme="majorBidi"/>
          <w:i w:val="0"/>
          <w:iCs w:val="0"/>
          <w:color w:val="auto"/>
          <w:sz w:val="24"/>
          <w:szCs w:val="24"/>
        </w:rPr>
        <w:t>. Pairwise Log Relationships</w:t>
      </w:r>
    </w:p>
    <w:p w14:paraId="3BB2B732" w14:textId="1D26F083" w:rsidR="00EC28FA" w:rsidRPr="00D868ED" w:rsidRDefault="00232A9B" w:rsidP="00CE5C32">
      <w:pPr>
        <w:pStyle w:val="Caption"/>
        <w:bidi w:val="0"/>
        <w:spacing w:after="120" w:line="288" w:lineRule="auto"/>
        <w:contextualSpacing/>
        <w:rPr>
          <w:rFonts w:asciiTheme="majorBidi" w:hAnsiTheme="majorBidi" w:cstheme="majorBidi"/>
          <w:i w:val="0"/>
          <w:iCs w:val="0"/>
          <w:color w:val="auto"/>
          <w:sz w:val="24"/>
          <w:szCs w:val="24"/>
        </w:rPr>
      </w:pPr>
      <w:r w:rsidRPr="00D868ED">
        <w:rPr>
          <w:rFonts w:asciiTheme="majorBidi" w:hAnsiTheme="majorBidi" w:cstheme="majorBidi"/>
          <w:b/>
          <w:bCs/>
        </w:rPr>
        <w:fldChar w:fldCharType="begin"/>
      </w:r>
      <w:r w:rsidRPr="00D868ED">
        <w:rPr>
          <w:rFonts w:asciiTheme="majorBidi" w:hAnsiTheme="majorBidi" w:cstheme="majorBidi"/>
        </w:rPr>
        <w:instrText xml:space="preserve"> REF _Ref224730711 \h </w:instrText>
      </w:r>
      <w:r w:rsidRPr="00D868ED">
        <w:rPr>
          <w:rFonts w:asciiTheme="majorBidi" w:hAnsiTheme="majorBidi" w:cstheme="majorBidi"/>
          <w:b/>
          <w:bCs/>
        </w:rPr>
        <w:instrText xml:space="preserve"> \* MERGEFORMAT </w:instrText>
      </w:r>
      <w:r w:rsidRPr="00D868ED">
        <w:rPr>
          <w:rFonts w:asciiTheme="majorBidi" w:hAnsiTheme="majorBidi" w:cstheme="majorBidi"/>
          <w:b/>
          <w:bCs/>
        </w:rPr>
      </w:r>
      <w:r w:rsidRPr="00D868ED">
        <w:rPr>
          <w:rFonts w:asciiTheme="majorBidi" w:hAnsiTheme="majorBidi" w:cstheme="majorBidi"/>
          <w:b/>
          <w:bCs/>
        </w:rPr>
        <w:fldChar w:fldCharType="separate"/>
      </w:r>
    </w:p>
    <w:p w14:paraId="58E14ECB" w14:textId="64C8A2A8" w:rsidR="00232A9B" w:rsidRPr="00D868ED" w:rsidRDefault="00EC28FA" w:rsidP="00CE5C32">
      <w:pPr>
        <w:bidi w:val="0"/>
        <w:spacing w:after="120" w:line="288" w:lineRule="auto"/>
        <w:jc w:val="both"/>
        <w:rPr>
          <w:rFonts w:asciiTheme="majorBidi" w:hAnsiTheme="majorBidi" w:cstheme="majorBidi"/>
        </w:rPr>
      </w:pPr>
      <w:r w:rsidRPr="00D868ED">
        <w:rPr>
          <w:rFonts w:asciiTheme="majorBidi" w:hAnsiTheme="majorBidi" w:cstheme="majorBidi"/>
          <w:noProof/>
        </w:rPr>
        <w:t>Figure</w:t>
      </w:r>
      <w:r w:rsidRPr="00D868ED">
        <w:rPr>
          <w:rFonts w:asciiTheme="majorBidi" w:hAnsiTheme="majorBidi" w:cstheme="majorBidi"/>
        </w:rPr>
        <w:t xml:space="preserve"> </w:t>
      </w:r>
      <w:r w:rsidRPr="00D868ED">
        <w:rPr>
          <w:rFonts w:asciiTheme="majorBidi" w:hAnsiTheme="majorBidi" w:cstheme="majorBidi"/>
          <w:noProof/>
        </w:rPr>
        <w:t>4</w:t>
      </w:r>
      <w:r w:rsidR="00232A9B" w:rsidRPr="00D868ED">
        <w:rPr>
          <w:rFonts w:asciiTheme="majorBidi" w:hAnsiTheme="majorBidi" w:cstheme="majorBidi"/>
          <w:b/>
          <w:bCs/>
        </w:rPr>
        <w:fldChar w:fldCharType="end"/>
      </w:r>
      <w:r w:rsidR="00232A9B" w:rsidRPr="00D868ED">
        <w:rPr>
          <w:rFonts w:asciiTheme="majorBidi" w:hAnsiTheme="majorBidi" w:cstheme="majorBidi"/>
          <w:b/>
          <w:bCs/>
        </w:rPr>
        <w:t xml:space="preserve"> </w:t>
      </w:r>
      <w:r w:rsidR="00232A9B" w:rsidRPr="00D868ED">
        <w:rPr>
          <w:rFonts w:asciiTheme="majorBidi" w:hAnsiTheme="majorBidi" w:cstheme="majorBidi"/>
        </w:rPr>
        <w:t>presents a network visualization of bilateral trade relationships among post-Soviet countries in the final year of the sample (2020). Nodes represent countries, while edges indicate the presence of positive bilateral trade flows. The figure is intended for descriptive illustration only and does not form part of the econometric analysis. It highlights the dense interconnectedness of regional trade relationships and the central role of larger economies such as Russia in the intra–post-Soviet trade network.</w:t>
      </w:r>
    </w:p>
    <w:p w14:paraId="57190CFD" w14:textId="5ED69D01" w:rsidR="00BE1742" w:rsidRPr="00D868ED" w:rsidRDefault="00786F91" w:rsidP="00CE5C32">
      <w:pPr>
        <w:pStyle w:val="Caption"/>
        <w:bidi w:val="0"/>
        <w:spacing w:after="120" w:line="288" w:lineRule="auto"/>
        <w:contextualSpacing/>
        <w:rPr>
          <w:rFonts w:asciiTheme="majorBidi" w:hAnsiTheme="majorBidi" w:cstheme="majorBidi"/>
          <w:i w:val="0"/>
          <w:iCs w:val="0"/>
          <w:color w:val="auto"/>
          <w:sz w:val="24"/>
          <w:szCs w:val="24"/>
        </w:rPr>
      </w:pPr>
      <w:bookmarkStart w:id="16" w:name="_Ref224730711"/>
      <w:r w:rsidRPr="00D868ED">
        <w:rPr>
          <w:noProof/>
        </w:rPr>
        <w:drawing>
          <wp:inline distT="0" distB="0" distL="0" distR="0" wp14:anchorId="1120764A" wp14:editId="590817C4">
            <wp:extent cx="5638800" cy="35452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1">
                      <a:extLst>
                        <a:ext uri="{28A0092B-C50C-407E-A947-70E740481C1C}">
                          <a14:useLocalDpi xmlns:a14="http://schemas.microsoft.com/office/drawing/2010/main" val="0"/>
                        </a:ext>
                      </a:extLst>
                    </a:blip>
                    <a:srcRect l="7976" r="6769"/>
                    <a:stretch/>
                  </pic:blipFill>
                  <pic:spPr bwMode="auto">
                    <a:xfrm>
                      <a:off x="0" y="0"/>
                      <a:ext cx="5647787" cy="3550876"/>
                    </a:xfrm>
                    <a:prstGeom prst="rect">
                      <a:avLst/>
                    </a:prstGeom>
                    <a:noFill/>
                    <a:ln>
                      <a:noFill/>
                    </a:ln>
                    <a:extLst>
                      <a:ext uri="{53640926-AAD7-44D8-BBD7-CCE9431645EC}">
                        <a14:shadowObscured xmlns:a14="http://schemas.microsoft.com/office/drawing/2010/main"/>
                      </a:ext>
                    </a:extLst>
                  </pic:spPr>
                </pic:pic>
              </a:graphicData>
            </a:graphic>
          </wp:inline>
        </w:drawing>
      </w:r>
    </w:p>
    <w:p w14:paraId="5FC81B8F" w14:textId="269A9F13" w:rsidR="008A08CF" w:rsidRPr="00D868ED" w:rsidRDefault="00C921E2" w:rsidP="00CE5C32">
      <w:pPr>
        <w:pStyle w:val="Caption"/>
        <w:bidi w:val="0"/>
        <w:spacing w:after="120" w:line="288" w:lineRule="auto"/>
        <w:contextualSpacing/>
        <w:rPr>
          <w:rFonts w:asciiTheme="majorBidi" w:hAnsiTheme="majorBidi" w:cstheme="majorBidi"/>
        </w:rPr>
      </w:pPr>
      <w:r w:rsidRPr="00D868ED">
        <w:rPr>
          <w:rFonts w:asciiTheme="majorBidi" w:hAnsiTheme="majorBidi" w:cstheme="majorBidi"/>
          <w:i w:val="0"/>
          <w:iCs w:val="0"/>
          <w:color w:val="auto"/>
          <w:sz w:val="24"/>
          <w:szCs w:val="24"/>
        </w:rPr>
        <w:t xml:space="preserve">Figure </w:t>
      </w:r>
      <w:r w:rsidRPr="00D868ED">
        <w:rPr>
          <w:rFonts w:asciiTheme="majorBidi" w:hAnsiTheme="majorBidi" w:cstheme="majorBidi"/>
          <w:i w:val="0"/>
          <w:iCs w:val="0"/>
          <w:color w:val="auto"/>
          <w:sz w:val="24"/>
          <w:szCs w:val="24"/>
        </w:rPr>
        <w:fldChar w:fldCharType="begin"/>
      </w:r>
      <w:r w:rsidRPr="00D868ED">
        <w:rPr>
          <w:rFonts w:asciiTheme="majorBidi" w:hAnsiTheme="majorBidi" w:cstheme="majorBidi"/>
          <w:i w:val="0"/>
          <w:iCs w:val="0"/>
          <w:color w:val="auto"/>
          <w:sz w:val="24"/>
          <w:szCs w:val="24"/>
        </w:rPr>
        <w:instrText xml:space="preserve"> SEQ Figure \* ARABIC </w:instrText>
      </w:r>
      <w:r w:rsidRPr="00D868ED">
        <w:rPr>
          <w:rFonts w:asciiTheme="majorBidi" w:hAnsiTheme="majorBidi" w:cstheme="majorBidi"/>
          <w:i w:val="0"/>
          <w:iCs w:val="0"/>
          <w:color w:val="auto"/>
          <w:sz w:val="24"/>
          <w:szCs w:val="24"/>
        </w:rPr>
        <w:fldChar w:fldCharType="separate"/>
      </w:r>
      <w:r w:rsidR="00EC28FA" w:rsidRPr="00D868ED">
        <w:rPr>
          <w:rFonts w:asciiTheme="majorBidi" w:hAnsiTheme="majorBidi" w:cstheme="majorBidi"/>
          <w:i w:val="0"/>
          <w:iCs w:val="0"/>
          <w:noProof/>
          <w:color w:val="auto"/>
          <w:sz w:val="24"/>
          <w:szCs w:val="24"/>
        </w:rPr>
        <w:t>4</w:t>
      </w:r>
      <w:r w:rsidRPr="00D868ED">
        <w:rPr>
          <w:rFonts w:asciiTheme="majorBidi" w:hAnsiTheme="majorBidi" w:cstheme="majorBidi"/>
          <w:i w:val="0"/>
          <w:iCs w:val="0"/>
          <w:color w:val="auto"/>
          <w:sz w:val="24"/>
          <w:szCs w:val="24"/>
        </w:rPr>
        <w:fldChar w:fldCharType="end"/>
      </w:r>
      <w:bookmarkEnd w:id="16"/>
      <w:r w:rsidR="0026242D" w:rsidRPr="00D868ED">
        <w:rPr>
          <w:rFonts w:asciiTheme="majorBidi" w:hAnsiTheme="majorBidi" w:cstheme="majorBidi"/>
          <w:i w:val="0"/>
          <w:iCs w:val="0"/>
          <w:color w:val="auto"/>
          <w:sz w:val="24"/>
          <w:szCs w:val="24"/>
        </w:rPr>
        <w:t>.</w:t>
      </w:r>
      <w:r w:rsidRPr="00D868ED">
        <w:rPr>
          <w:rFonts w:asciiTheme="majorBidi" w:hAnsiTheme="majorBidi" w:cstheme="majorBidi"/>
          <w:i w:val="0"/>
          <w:iCs w:val="0"/>
          <w:color w:val="auto"/>
          <w:sz w:val="24"/>
          <w:szCs w:val="24"/>
        </w:rPr>
        <w:t xml:space="preserve"> Intra–Post-Soviet Trade Network (20</w:t>
      </w:r>
      <w:r w:rsidR="00B06D94" w:rsidRPr="00D868ED">
        <w:rPr>
          <w:rFonts w:asciiTheme="majorBidi" w:hAnsiTheme="majorBidi" w:cstheme="majorBidi"/>
          <w:i w:val="0"/>
          <w:iCs w:val="0"/>
          <w:color w:val="auto"/>
          <w:sz w:val="24"/>
          <w:szCs w:val="24"/>
        </w:rPr>
        <w:t>20</w:t>
      </w:r>
      <w:r w:rsidRPr="00D868ED">
        <w:rPr>
          <w:rFonts w:asciiTheme="majorBidi" w:hAnsiTheme="majorBidi" w:cstheme="majorBidi"/>
          <w:i w:val="0"/>
          <w:iCs w:val="0"/>
          <w:color w:val="auto"/>
          <w:sz w:val="24"/>
          <w:szCs w:val="24"/>
        </w:rPr>
        <w:t>)</w:t>
      </w:r>
    </w:p>
    <w:p w14:paraId="24C83453" w14:textId="749217B0" w:rsidR="00394F24" w:rsidRPr="00D868ED" w:rsidRDefault="00394F24" w:rsidP="00CE5C32">
      <w:pPr>
        <w:bidi w:val="0"/>
        <w:spacing w:after="120" w:line="288" w:lineRule="auto"/>
        <w:jc w:val="both"/>
        <w:rPr>
          <w:rFonts w:asciiTheme="majorBidi" w:hAnsiTheme="majorBidi" w:cstheme="majorBidi"/>
          <w:b/>
          <w:bCs/>
        </w:rPr>
      </w:pPr>
      <w:r w:rsidRPr="00D868ED">
        <w:rPr>
          <w:rFonts w:asciiTheme="majorBidi" w:hAnsiTheme="majorBidi" w:cstheme="majorBidi"/>
          <w:b/>
          <w:bCs/>
        </w:rPr>
        <w:t>4. Methodology</w:t>
      </w:r>
    </w:p>
    <w:p w14:paraId="75C8F95D" w14:textId="023C580D" w:rsidR="008A08CF" w:rsidRPr="00D868ED" w:rsidRDefault="008A08CF" w:rsidP="00CE5C32">
      <w:pPr>
        <w:bidi w:val="0"/>
        <w:spacing w:after="120" w:line="288" w:lineRule="auto"/>
        <w:jc w:val="both"/>
        <w:rPr>
          <w:rFonts w:asciiTheme="majorBidi" w:hAnsiTheme="majorBidi" w:cstheme="majorBidi"/>
          <w:b/>
          <w:bCs/>
        </w:rPr>
      </w:pPr>
      <w:r w:rsidRPr="00D868ED">
        <w:rPr>
          <w:rFonts w:asciiTheme="majorBidi" w:hAnsiTheme="majorBidi" w:cstheme="majorBidi"/>
          <w:b/>
          <w:bCs/>
        </w:rPr>
        <w:t xml:space="preserve">4.1 </w:t>
      </w:r>
      <w:r w:rsidR="00E066AC" w:rsidRPr="00D868ED">
        <w:rPr>
          <w:rFonts w:asciiTheme="majorBidi" w:hAnsiTheme="majorBidi" w:cstheme="majorBidi"/>
          <w:b/>
          <w:bCs/>
        </w:rPr>
        <w:t>Gravity Framework</w:t>
      </w:r>
    </w:p>
    <w:p w14:paraId="06F2BACC" w14:textId="77777777" w:rsidR="00A44867" w:rsidRPr="00D868ED" w:rsidRDefault="00E066AC" w:rsidP="00CE5C32">
      <w:pPr>
        <w:bidi w:val="0"/>
        <w:spacing w:after="120" w:line="288" w:lineRule="auto"/>
        <w:contextualSpacing/>
        <w:rPr>
          <w:rFonts w:ascii="Times New Roman" w:hAnsi="Times New Roman"/>
          <w:kern w:val="0"/>
          <w14:ligatures w14:val="none"/>
        </w:rPr>
      </w:pPr>
      <w:bookmarkStart w:id="17" w:name="gravity-framework"/>
      <w:r w:rsidRPr="00D868ED">
        <w:rPr>
          <w:rFonts w:ascii="Times New Roman" w:hAnsi="Times New Roman"/>
          <w:kern w:val="0"/>
          <w14:ligatures w14:val="none"/>
        </w:rPr>
        <w:t xml:space="preserve">The empirical analysis is based on the gravity model of trade, which relates bilateral trade flows to economic size and bilateral trade costs. In its structural form, bilateral exports from country </w:t>
      </w:r>
      <m:oMath>
        <m:r>
          <w:rPr>
            <w:rFonts w:ascii="Cambria Math" w:hAnsi="Cambria Math"/>
            <w:kern w:val="0"/>
            <w14:ligatures w14:val="none"/>
          </w:rPr>
          <m:t>i</m:t>
        </m:r>
      </m:oMath>
      <w:r w:rsidRPr="00D868ED">
        <w:rPr>
          <w:rFonts w:ascii="Times New Roman" w:hAnsi="Times New Roman"/>
          <w:kern w:val="0"/>
          <w14:ligatures w14:val="none"/>
        </w:rPr>
        <w:t xml:space="preserve"> to country </w:t>
      </w:r>
      <m:oMath>
        <m:r>
          <w:rPr>
            <w:rFonts w:ascii="Cambria Math" w:hAnsi="Cambria Math"/>
            <w:kern w:val="0"/>
            <w14:ligatures w14:val="none"/>
          </w:rPr>
          <m:t>j</m:t>
        </m:r>
      </m:oMath>
      <w:r w:rsidRPr="00D868ED">
        <w:rPr>
          <w:rFonts w:ascii="Times New Roman" w:hAnsi="Times New Roman"/>
          <w:kern w:val="0"/>
          <w14:ligatures w14:val="none"/>
        </w:rPr>
        <w:t xml:space="preserve"> in year </w:t>
      </w:r>
      <m:oMath>
        <m:r>
          <w:rPr>
            <w:rFonts w:ascii="Cambria Math" w:hAnsi="Cambria Math"/>
            <w:kern w:val="0"/>
            <w14:ligatures w14:val="none"/>
          </w:rPr>
          <m:t>t</m:t>
        </m:r>
      </m:oMath>
      <w:r w:rsidRPr="00D868ED">
        <w:rPr>
          <w:rFonts w:ascii="Times New Roman" w:hAnsi="Times New Roman"/>
          <w:kern w:val="0"/>
          <w14:ligatures w14:val="none"/>
        </w:rPr>
        <w:t xml:space="preserve"> can be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921"/>
      </w:tblGrid>
      <w:tr w:rsidR="00A44867" w:rsidRPr="00D868ED" w14:paraId="6D15C23E" w14:textId="77777777" w:rsidTr="0055426C">
        <w:tc>
          <w:tcPr>
            <w:tcW w:w="8095" w:type="dxa"/>
            <w:vAlign w:val="center"/>
          </w:tcPr>
          <w:p w14:paraId="6CCA681C" w14:textId="5799B80B" w:rsidR="00A44867" w:rsidRPr="00D868ED" w:rsidRDefault="009E1D22" w:rsidP="00CE5C32">
            <w:pPr>
              <w:bidi w:val="0"/>
              <w:spacing w:before="120" w:after="120"/>
              <w:jc w:val="center"/>
              <w:rPr>
                <w:rFonts w:ascii="Times New Roman" w:hAnsi="Times New Roman"/>
                <w:kern w:val="0"/>
                <w14:ligatures w14:val="none"/>
              </w:rPr>
            </w:pPr>
            <m:oMathPara>
              <m:oMath>
                <m:sSub>
                  <m:sSubPr>
                    <m:ctrlPr>
                      <w:rPr>
                        <w:rFonts w:ascii="Cambria Math" w:hAnsi="Cambria Math"/>
                        <w:kern w:val="0"/>
                        <w14:ligatures w14:val="none"/>
                      </w:rPr>
                    </m:ctrlPr>
                  </m:sSubPr>
                  <m:e>
                    <m:r>
                      <w:rPr>
                        <w:rFonts w:ascii="Cambria Math" w:hAnsi="Cambria Math"/>
                        <w:kern w:val="0"/>
                        <w14:ligatures w14:val="none"/>
                      </w:rPr>
                      <m:t>X</m:t>
                    </m:r>
                  </m:e>
                  <m:sub>
                    <m:r>
                      <w:rPr>
                        <w:rFonts w:ascii="Cambria Math" w:hAnsi="Cambria Math"/>
                        <w:kern w:val="0"/>
                        <w14:ligatures w14:val="none"/>
                      </w:rPr>
                      <m:t>ijt</m:t>
                    </m:r>
                  </m:sub>
                </m:sSub>
                <m:r>
                  <m:rPr>
                    <m:sty m:val="p"/>
                  </m:rPr>
                  <w:rPr>
                    <w:rFonts w:ascii="Cambria Math" w:hAnsi="Cambria Math"/>
                    <w:kern w:val="0"/>
                    <w14:ligatures w14:val="none"/>
                  </w:rPr>
                  <m:t>=</m:t>
                </m:r>
                <m:f>
                  <m:fPr>
                    <m:ctrlPr>
                      <w:rPr>
                        <w:rFonts w:ascii="Cambria Math" w:hAnsi="Cambria Math"/>
                        <w:kern w:val="0"/>
                        <w14:ligatures w14:val="none"/>
                      </w:rPr>
                    </m:ctrlPr>
                  </m:fPr>
                  <m:num>
                    <m:sSub>
                      <m:sSubPr>
                        <m:ctrlPr>
                          <w:rPr>
                            <w:rFonts w:ascii="Cambria Math" w:hAnsi="Cambria Math"/>
                            <w:kern w:val="0"/>
                            <w14:ligatures w14:val="none"/>
                          </w:rPr>
                        </m:ctrlPr>
                      </m:sSubPr>
                      <m:e>
                        <m:r>
                          <w:rPr>
                            <w:rFonts w:ascii="Cambria Math" w:hAnsi="Cambria Math"/>
                            <w:kern w:val="0"/>
                            <w14:ligatures w14:val="none"/>
                          </w:rPr>
                          <m:t>Y</m:t>
                        </m:r>
                      </m:e>
                      <m:sub>
                        <m:r>
                          <w:rPr>
                            <w:rFonts w:ascii="Cambria Math" w:hAnsi="Cambria Math"/>
                            <w:kern w:val="0"/>
                            <w14:ligatures w14:val="none"/>
                          </w:rPr>
                          <m:t>it</m:t>
                        </m:r>
                      </m:sub>
                    </m:sSub>
                    <m:sSub>
                      <m:sSubPr>
                        <m:ctrlPr>
                          <w:rPr>
                            <w:rFonts w:ascii="Cambria Math" w:hAnsi="Cambria Math"/>
                            <w:kern w:val="0"/>
                            <w14:ligatures w14:val="none"/>
                          </w:rPr>
                        </m:ctrlPr>
                      </m:sSubPr>
                      <m:e>
                        <m:r>
                          <w:rPr>
                            <w:rFonts w:ascii="Cambria Math" w:hAnsi="Cambria Math"/>
                            <w:kern w:val="0"/>
                            <w14:ligatures w14:val="none"/>
                          </w:rPr>
                          <m:t>E</m:t>
                        </m:r>
                      </m:e>
                      <m:sub>
                        <m:r>
                          <w:rPr>
                            <w:rFonts w:ascii="Cambria Math" w:hAnsi="Cambria Math"/>
                            <w:kern w:val="0"/>
                            <w14:ligatures w14:val="none"/>
                          </w:rPr>
                          <m:t>jt</m:t>
                        </m:r>
                      </m:sub>
                    </m:sSub>
                  </m:num>
                  <m:den>
                    <m:sSub>
                      <m:sSubPr>
                        <m:ctrlPr>
                          <w:rPr>
                            <w:rFonts w:ascii="Cambria Math" w:hAnsi="Cambria Math"/>
                            <w:kern w:val="0"/>
                            <w14:ligatures w14:val="none"/>
                          </w:rPr>
                        </m:ctrlPr>
                      </m:sSubPr>
                      <m:e>
                        <m:r>
                          <w:rPr>
                            <w:rFonts w:ascii="Cambria Math" w:hAnsi="Cambria Math"/>
                            <w:kern w:val="0"/>
                            <w14:ligatures w14:val="none"/>
                          </w:rPr>
                          <m:t>Y</m:t>
                        </m:r>
                      </m:e>
                      <m:sub>
                        <m:r>
                          <w:rPr>
                            <w:rFonts w:ascii="Cambria Math" w:hAnsi="Cambria Math"/>
                            <w:kern w:val="0"/>
                            <w14:ligatures w14:val="none"/>
                          </w:rPr>
                          <m:t>t</m:t>
                        </m:r>
                      </m:sub>
                    </m:sSub>
                  </m:den>
                </m:f>
                <m:sSup>
                  <m:sSupPr>
                    <m:ctrlPr>
                      <w:rPr>
                        <w:rFonts w:ascii="Cambria Math" w:hAnsi="Cambria Math"/>
                        <w:kern w:val="0"/>
                        <w14:ligatures w14:val="none"/>
                      </w:rPr>
                    </m:ctrlPr>
                  </m:sSupPr>
                  <m:e>
                    <m:d>
                      <m:dPr>
                        <m:ctrlPr>
                          <w:rPr>
                            <w:rFonts w:ascii="Cambria Math" w:hAnsi="Cambria Math"/>
                            <w:kern w:val="0"/>
                            <w14:ligatures w14:val="none"/>
                          </w:rPr>
                        </m:ctrlPr>
                      </m:dPr>
                      <m:e>
                        <m:f>
                          <m:fPr>
                            <m:ctrlPr>
                              <w:rPr>
                                <w:rFonts w:ascii="Cambria Math" w:hAnsi="Cambria Math"/>
                                <w:kern w:val="0"/>
                                <w14:ligatures w14:val="none"/>
                              </w:rPr>
                            </m:ctrlPr>
                          </m:fPr>
                          <m:num>
                            <m:sSub>
                              <m:sSubPr>
                                <m:ctrlPr>
                                  <w:rPr>
                                    <w:rFonts w:ascii="Cambria Math" w:hAnsi="Cambria Math"/>
                                    <w:kern w:val="0"/>
                                    <w14:ligatures w14:val="none"/>
                                  </w:rPr>
                                </m:ctrlPr>
                              </m:sSubPr>
                              <m:e>
                                <m:r>
                                  <w:rPr>
                                    <w:rFonts w:ascii="Cambria Math" w:hAnsi="Cambria Math"/>
                                    <w:kern w:val="0"/>
                                    <w14:ligatures w14:val="none"/>
                                  </w:rPr>
                                  <m:t>t</m:t>
                                </m:r>
                              </m:e>
                              <m:sub>
                                <m:r>
                                  <w:rPr>
                                    <w:rFonts w:ascii="Cambria Math" w:hAnsi="Cambria Math"/>
                                    <w:kern w:val="0"/>
                                    <w14:ligatures w14:val="none"/>
                                  </w:rPr>
                                  <m:t>ijt</m:t>
                                </m:r>
                              </m:sub>
                            </m:sSub>
                          </m:num>
                          <m:den>
                            <m:sSub>
                              <m:sSubPr>
                                <m:ctrlPr>
                                  <w:rPr>
                                    <w:rFonts w:ascii="Cambria Math" w:hAnsi="Cambria Math"/>
                                    <w:kern w:val="0"/>
                                    <w14:ligatures w14:val="none"/>
                                  </w:rPr>
                                </m:ctrlPr>
                              </m:sSubPr>
                              <m:e>
                                <m:r>
                                  <m:rPr>
                                    <m:sty m:val="p"/>
                                  </m:rPr>
                                  <w:rPr>
                                    <w:rFonts w:ascii="Cambria Math" w:hAnsi="Cambria Math"/>
                                    <w:kern w:val="0"/>
                                    <w14:ligatures w14:val="none"/>
                                  </w:rPr>
                                  <m:t>Π</m:t>
                                </m:r>
                              </m:e>
                              <m:sub>
                                <m:r>
                                  <w:rPr>
                                    <w:rFonts w:ascii="Cambria Math" w:hAnsi="Cambria Math"/>
                                    <w:kern w:val="0"/>
                                    <w14:ligatures w14:val="none"/>
                                  </w:rPr>
                                  <m:t>it</m:t>
                                </m:r>
                              </m:sub>
                            </m:sSub>
                            <m:sSub>
                              <m:sSubPr>
                                <m:ctrlPr>
                                  <w:rPr>
                                    <w:rFonts w:ascii="Cambria Math" w:hAnsi="Cambria Math"/>
                                    <w:kern w:val="0"/>
                                    <w14:ligatures w14:val="none"/>
                                  </w:rPr>
                                </m:ctrlPr>
                              </m:sSubPr>
                              <m:e>
                                <m:r>
                                  <w:rPr>
                                    <w:rFonts w:ascii="Cambria Math" w:hAnsi="Cambria Math"/>
                                    <w:kern w:val="0"/>
                                    <w14:ligatures w14:val="none"/>
                                  </w:rPr>
                                  <m:t>P</m:t>
                                </m:r>
                              </m:e>
                              <m:sub>
                                <m:r>
                                  <w:rPr>
                                    <w:rFonts w:ascii="Cambria Math" w:hAnsi="Cambria Math"/>
                                    <w:kern w:val="0"/>
                                    <w14:ligatures w14:val="none"/>
                                  </w:rPr>
                                  <m:t>jt</m:t>
                                </m:r>
                              </m:sub>
                            </m:sSub>
                          </m:den>
                        </m:f>
                      </m:e>
                    </m:d>
                  </m:e>
                  <m:sup>
                    <m:r>
                      <w:rPr>
                        <w:rFonts w:ascii="Cambria Math" w:hAnsi="Cambria Math"/>
                        <w:kern w:val="0"/>
                        <w14:ligatures w14:val="none"/>
                      </w:rPr>
                      <m:t>1</m:t>
                    </m:r>
                    <m:r>
                      <m:rPr>
                        <m:sty m:val="p"/>
                      </m:rPr>
                      <w:rPr>
                        <w:rFonts w:ascii="Cambria Math" w:hAnsi="Cambria Math"/>
                        <w:kern w:val="0"/>
                        <w14:ligatures w14:val="none"/>
                      </w:rPr>
                      <m:t>-</m:t>
                    </m:r>
                    <m:r>
                      <w:rPr>
                        <w:rFonts w:ascii="Cambria Math" w:hAnsi="Cambria Math"/>
                        <w:kern w:val="0"/>
                        <w14:ligatures w14:val="none"/>
                      </w:rPr>
                      <m:t>σ</m:t>
                    </m:r>
                  </m:sup>
                </m:sSup>
              </m:oMath>
            </m:oMathPara>
          </w:p>
        </w:tc>
        <w:tc>
          <w:tcPr>
            <w:tcW w:w="921" w:type="dxa"/>
            <w:vAlign w:val="center"/>
          </w:tcPr>
          <w:p w14:paraId="2C08EA6A" w14:textId="1A0E7CA1" w:rsidR="00A44867" w:rsidRPr="00D868ED" w:rsidRDefault="00DE18CC" w:rsidP="00CE5C32">
            <w:pPr>
              <w:bidi w:val="0"/>
              <w:spacing w:before="120" w:after="120"/>
              <w:jc w:val="center"/>
              <w:rPr>
                <w:rFonts w:asciiTheme="majorBidi" w:hAnsiTheme="majorBidi" w:cstheme="majorBidi"/>
                <w:kern w:val="0"/>
                <w14:ligatures w14:val="none"/>
              </w:rPr>
            </w:pPr>
            <w:r w:rsidRPr="00D868ED">
              <w:rPr>
                <w:rFonts w:asciiTheme="majorBidi" w:hAnsiTheme="majorBidi" w:cstheme="majorBidi"/>
              </w:rPr>
              <w:t>(</w:t>
            </w:r>
            <w:r w:rsidRPr="00D868ED">
              <w:rPr>
                <w:rFonts w:asciiTheme="majorBidi" w:hAnsiTheme="majorBidi" w:cstheme="majorBidi"/>
              </w:rPr>
              <w:fldChar w:fldCharType="begin"/>
            </w:r>
            <w:r w:rsidRPr="00D868ED">
              <w:rPr>
                <w:rFonts w:asciiTheme="majorBidi" w:hAnsiTheme="majorBidi" w:cstheme="majorBidi"/>
              </w:rPr>
              <w:instrText xml:space="preserve"> SEQ Equation \* ARABIC </w:instrText>
            </w:r>
            <w:r w:rsidRPr="00D868ED">
              <w:rPr>
                <w:rFonts w:asciiTheme="majorBidi" w:hAnsiTheme="majorBidi" w:cstheme="majorBidi"/>
              </w:rPr>
              <w:fldChar w:fldCharType="separate"/>
            </w:r>
            <w:r w:rsidR="00EC28FA" w:rsidRPr="00D868ED">
              <w:rPr>
                <w:rFonts w:asciiTheme="majorBidi" w:hAnsiTheme="majorBidi" w:cstheme="majorBidi"/>
                <w:noProof/>
              </w:rPr>
              <w:t>1</w:t>
            </w:r>
            <w:r w:rsidRPr="00D868ED">
              <w:rPr>
                <w:rFonts w:asciiTheme="majorBidi" w:hAnsiTheme="majorBidi" w:cstheme="majorBidi"/>
              </w:rPr>
              <w:fldChar w:fldCharType="end"/>
            </w:r>
            <w:r w:rsidRPr="00D868ED">
              <w:rPr>
                <w:rFonts w:asciiTheme="majorBidi" w:hAnsiTheme="majorBidi" w:cstheme="majorBidi"/>
              </w:rPr>
              <w:t>)</w:t>
            </w:r>
          </w:p>
        </w:tc>
      </w:tr>
    </w:tbl>
    <w:p w14:paraId="4F01EA00" w14:textId="77777777" w:rsidR="00E066AC" w:rsidRPr="00D868ED" w:rsidRDefault="00E066AC" w:rsidP="00CE5C32">
      <w:pPr>
        <w:bidi w:val="0"/>
        <w:spacing w:after="120" w:line="288" w:lineRule="auto"/>
        <w:jc w:val="both"/>
        <w:rPr>
          <w:rFonts w:ascii="Times New Roman" w:hAnsi="Times New Roman"/>
          <w:kern w:val="0"/>
          <w14:ligatures w14:val="none"/>
        </w:rPr>
      </w:pPr>
      <w:r w:rsidRPr="00D868ED">
        <w:rPr>
          <w:rFonts w:ascii="Times New Roman" w:hAnsi="Times New Roman"/>
          <w:kern w:val="0"/>
          <w14:ligatures w14:val="none"/>
        </w:rPr>
        <w:t xml:space="preserve">where </w:t>
      </w:r>
      <m:oMath>
        <m:sSub>
          <m:sSubPr>
            <m:ctrlPr>
              <w:rPr>
                <w:rFonts w:ascii="Cambria Math" w:hAnsi="Cambria Math"/>
                <w:kern w:val="0"/>
                <w14:ligatures w14:val="none"/>
              </w:rPr>
            </m:ctrlPr>
          </m:sSubPr>
          <m:e>
            <m:r>
              <w:rPr>
                <w:rFonts w:ascii="Cambria Math" w:hAnsi="Cambria Math"/>
                <w:kern w:val="0"/>
                <w14:ligatures w14:val="none"/>
              </w:rPr>
              <m:t>X</m:t>
            </m:r>
          </m:e>
          <m:sub>
            <m:r>
              <w:rPr>
                <w:rFonts w:ascii="Cambria Math" w:hAnsi="Cambria Math"/>
                <w:kern w:val="0"/>
                <w14:ligatures w14:val="none"/>
              </w:rPr>
              <m:t>ijt</m:t>
            </m:r>
          </m:sub>
        </m:sSub>
      </m:oMath>
      <w:r w:rsidRPr="00D868ED">
        <w:rPr>
          <w:rFonts w:ascii="Times New Roman" w:hAnsi="Times New Roman"/>
          <w:kern w:val="0"/>
          <w14:ligatures w14:val="none"/>
        </w:rPr>
        <w:t xml:space="preserve"> denotes exports from </w:t>
      </w:r>
      <m:oMath>
        <m:r>
          <w:rPr>
            <w:rFonts w:ascii="Cambria Math" w:hAnsi="Cambria Math"/>
            <w:kern w:val="0"/>
            <w14:ligatures w14:val="none"/>
          </w:rPr>
          <m:t>i</m:t>
        </m:r>
      </m:oMath>
      <w:r w:rsidRPr="00D868ED">
        <w:rPr>
          <w:rFonts w:ascii="Times New Roman" w:hAnsi="Times New Roman"/>
          <w:kern w:val="0"/>
          <w14:ligatures w14:val="none"/>
        </w:rPr>
        <w:t xml:space="preserve"> to </w:t>
      </w:r>
      <m:oMath>
        <m:r>
          <w:rPr>
            <w:rFonts w:ascii="Cambria Math" w:hAnsi="Cambria Math"/>
            <w:kern w:val="0"/>
            <w14:ligatures w14:val="none"/>
          </w:rPr>
          <m:t>j</m:t>
        </m:r>
      </m:oMath>
      <w:r w:rsidRPr="00D868ED">
        <w:rPr>
          <w:rFonts w:ascii="Times New Roman" w:hAnsi="Times New Roman"/>
          <w:kern w:val="0"/>
          <w14:ligatures w14:val="none"/>
        </w:rPr>
        <w:t xml:space="preserve">, </w:t>
      </w:r>
      <m:oMath>
        <m:sSub>
          <m:sSubPr>
            <m:ctrlPr>
              <w:rPr>
                <w:rFonts w:ascii="Cambria Math" w:hAnsi="Cambria Math"/>
                <w:kern w:val="0"/>
                <w14:ligatures w14:val="none"/>
              </w:rPr>
            </m:ctrlPr>
          </m:sSubPr>
          <m:e>
            <m:r>
              <w:rPr>
                <w:rFonts w:ascii="Cambria Math" w:hAnsi="Cambria Math"/>
                <w:kern w:val="0"/>
                <w14:ligatures w14:val="none"/>
              </w:rPr>
              <m:t>Y</m:t>
            </m:r>
          </m:e>
          <m:sub>
            <m:r>
              <w:rPr>
                <w:rFonts w:ascii="Cambria Math" w:hAnsi="Cambria Math"/>
                <w:kern w:val="0"/>
                <w14:ligatures w14:val="none"/>
              </w:rPr>
              <m:t>it</m:t>
            </m:r>
          </m:sub>
        </m:sSub>
      </m:oMath>
      <w:r w:rsidRPr="00D868ED">
        <w:rPr>
          <w:rFonts w:ascii="Times New Roman" w:hAnsi="Times New Roman"/>
          <w:kern w:val="0"/>
          <w14:ligatures w14:val="none"/>
        </w:rPr>
        <w:t xml:space="preserve"> is exporter output, </w:t>
      </w:r>
      <m:oMath>
        <m:sSub>
          <m:sSubPr>
            <m:ctrlPr>
              <w:rPr>
                <w:rFonts w:ascii="Cambria Math" w:hAnsi="Cambria Math"/>
                <w:kern w:val="0"/>
                <w14:ligatures w14:val="none"/>
              </w:rPr>
            </m:ctrlPr>
          </m:sSubPr>
          <m:e>
            <m:r>
              <w:rPr>
                <w:rFonts w:ascii="Cambria Math" w:hAnsi="Cambria Math"/>
                <w:kern w:val="0"/>
                <w14:ligatures w14:val="none"/>
              </w:rPr>
              <m:t>E</m:t>
            </m:r>
          </m:e>
          <m:sub>
            <m:r>
              <w:rPr>
                <w:rFonts w:ascii="Cambria Math" w:hAnsi="Cambria Math"/>
                <w:kern w:val="0"/>
                <w14:ligatures w14:val="none"/>
              </w:rPr>
              <m:t>jt</m:t>
            </m:r>
          </m:sub>
        </m:sSub>
      </m:oMath>
      <w:r w:rsidRPr="00D868ED">
        <w:rPr>
          <w:rFonts w:ascii="Times New Roman" w:hAnsi="Times New Roman"/>
          <w:kern w:val="0"/>
          <w14:ligatures w14:val="none"/>
        </w:rPr>
        <w:t xml:space="preserve"> is importer expenditure, and </w:t>
      </w:r>
      <m:oMath>
        <m:sSub>
          <m:sSubPr>
            <m:ctrlPr>
              <w:rPr>
                <w:rFonts w:ascii="Cambria Math" w:hAnsi="Cambria Math"/>
                <w:kern w:val="0"/>
                <w14:ligatures w14:val="none"/>
              </w:rPr>
            </m:ctrlPr>
          </m:sSubPr>
          <m:e>
            <m:r>
              <m:rPr>
                <m:sty m:val="p"/>
              </m:rPr>
              <w:rPr>
                <w:rFonts w:ascii="Cambria Math" w:hAnsi="Cambria Math"/>
                <w:kern w:val="0"/>
                <w14:ligatures w14:val="none"/>
              </w:rPr>
              <m:t>Π</m:t>
            </m:r>
          </m:e>
          <m:sub>
            <m:r>
              <w:rPr>
                <w:rFonts w:ascii="Cambria Math" w:hAnsi="Cambria Math"/>
                <w:kern w:val="0"/>
                <w14:ligatures w14:val="none"/>
              </w:rPr>
              <m:t>it</m:t>
            </m:r>
          </m:sub>
        </m:sSub>
      </m:oMath>
      <w:r w:rsidRPr="00D868ED">
        <w:rPr>
          <w:rFonts w:ascii="Times New Roman" w:hAnsi="Times New Roman"/>
          <w:kern w:val="0"/>
          <w14:ligatures w14:val="none"/>
        </w:rPr>
        <w:t xml:space="preserve"> and </w:t>
      </w:r>
      <m:oMath>
        <m:sSub>
          <m:sSubPr>
            <m:ctrlPr>
              <w:rPr>
                <w:rFonts w:ascii="Cambria Math" w:hAnsi="Cambria Math"/>
                <w:kern w:val="0"/>
                <w14:ligatures w14:val="none"/>
              </w:rPr>
            </m:ctrlPr>
          </m:sSubPr>
          <m:e>
            <m:r>
              <w:rPr>
                <w:rFonts w:ascii="Cambria Math" w:hAnsi="Cambria Math"/>
                <w:kern w:val="0"/>
                <w14:ligatures w14:val="none"/>
              </w:rPr>
              <m:t>P</m:t>
            </m:r>
          </m:e>
          <m:sub>
            <m:r>
              <w:rPr>
                <w:rFonts w:ascii="Cambria Math" w:hAnsi="Cambria Math"/>
                <w:kern w:val="0"/>
                <w14:ligatures w14:val="none"/>
              </w:rPr>
              <m:t>jt</m:t>
            </m:r>
          </m:sub>
        </m:sSub>
      </m:oMath>
      <w:r w:rsidRPr="00D868ED">
        <w:rPr>
          <w:rFonts w:ascii="Times New Roman" w:hAnsi="Times New Roman"/>
          <w:kern w:val="0"/>
          <w14:ligatures w14:val="none"/>
        </w:rPr>
        <w:t xml:space="preserve"> capture multilateral resistance. This formulation implies that bilateral trade depends not only on direct bilateral trade costs but also on each country’s relative position in the global trading system.</w:t>
      </w:r>
    </w:p>
    <w:p w14:paraId="5146FDF1" w14:textId="0EE36467" w:rsidR="001C6A5F" w:rsidRPr="00D868ED" w:rsidRDefault="00E066AC" w:rsidP="00CE5C32">
      <w:pPr>
        <w:bidi w:val="0"/>
        <w:spacing w:after="120" w:line="288" w:lineRule="auto"/>
        <w:jc w:val="both"/>
        <w:rPr>
          <w:rFonts w:asciiTheme="majorBidi" w:hAnsiTheme="majorBidi" w:cstheme="majorBidi"/>
          <w:b/>
          <w:bCs/>
        </w:rPr>
      </w:pPr>
      <w:r w:rsidRPr="00D868ED">
        <w:rPr>
          <w:rFonts w:ascii="Times New Roman" w:hAnsi="Times New Roman"/>
          <w:kern w:val="0"/>
          <w14:ligatures w14:val="none"/>
        </w:rPr>
        <w:t>Guided by this framework, bilateral trade among post-Soviet economies is modeled as a function of economic size, geographic trade costs, and institutional alignment. Given the heterogeneity of the region in terms of market size, geography, and integration strategies, the gravity model provides a consistent and flexible empirical structure.</w:t>
      </w:r>
      <w:r w:rsidR="006165B9" w:rsidRPr="00D868ED">
        <w:rPr>
          <w:rFonts w:ascii="Times New Roman" w:hAnsi="Times New Roman"/>
          <w:kern w:val="0"/>
          <w14:ligatures w14:val="none"/>
        </w:rPr>
        <w:t xml:space="preserve"> </w:t>
      </w:r>
      <w:r w:rsidR="001C6A5F" w:rsidRPr="00D868ED">
        <w:rPr>
          <w:rFonts w:ascii="Times New Roman" w:hAnsi="Times New Roman"/>
          <w:kern w:val="0"/>
          <w14:ligatures w14:val="none"/>
        </w:rPr>
        <w:t>The empirical strategy in this study is intentionally comparative rather than strictly causal. The use of multiple estimators, including fixed-effects OLS, normalized gravity, PPML, and GPML, is designed to evaluate the stability of estimated relationships under alternative assumptions regarding scale, variance, and functional form. Accordingly, the results are interpreted as robust conditional associations rather than causal effects. This approach is particularly appropriate in the post-Soviet context, where institutional variables such as WTO, EU, and EAEU participation are closely intertwined with broader economic and political transitions.</w:t>
      </w:r>
    </w:p>
    <w:p w14:paraId="5873063A" w14:textId="07A8F0B8" w:rsidR="00CC5B37" w:rsidRPr="00D868ED" w:rsidRDefault="00CC5B37" w:rsidP="00CE5C32">
      <w:pPr>
        <w:bidi w:val="0"/>
        <w:spacing w:after="120" w:line="288" w:lineRule="auto"/>
        <w:jc w:val="both"/>
        <w:rPr>
          <w:rFonts w:asciiTheme="majorBidi" w:hAnsiTheme="majorBidi" w:cstheme="majorBidi"/>
          <w:b/>
          <w:bCs/>
        </w:rPr>
      </w:pPr>
      <w:r w:rsidRPr="00D868ED">
        <w:rPr>
          <w:rFonts w:asciiTheme="majorBidi" w:hAnsiTheme="majorBidi" w:cstheme="majorBidi"/>
          <w:b/>
          <w:bCs/>
        </w:rPr>
        <w:t>4.</w:t>
      </w:r>
      <w:r w:rsidR="00A25497" w:rsidRPr="00D868ED">
        <w:rPr>
          <w:rFonts w:asciiTheme="majorBidi" w:hAnsiTheme="majorBidi" w:cstheme="majorBidi"/>
          <w:b/>
          <w:bCs/>
        </w:rPr>
        <w:t>2</w:t>
      </w:r>
      <w:r w:rsidRPr="00D868ED">
        <w:rPr>
          <w:rFonts w:asciiTheme="majorBidi" w:hAnsiTheme="majorBidi" w:cstheme="majorBidi"/>
          <w:b/>
          <w:bCs/>
        </w:rPr>
        <w:t xml:space="preserve"> Baseline Empirical Specifications</w:t>
      </w:r>
    </w:p>
    <w:p w14:paraId="0443C61A" w14:textId="77777777" w:rsidR="00E066AC" w:rsidRPr="00D868ED" w:rsidRDefault="00E066AC" w:rsidP="00CE5C32">
      <w:pPr>
        <w:bidi w:val="0"/>
        <w:spacing w:after="120" w:line="288" w:lineRule="auto"/>
        <w:rPr>
          <w:rFonts w:ascii="Times New Roman" w:hAnsi="Times New Roman"/>
          <w:kern w:val="0"/>
          <w14:ligatures w14:val="none"/>
        </w:rPr>
      </w:pPr>
      <w:bookmarkStart w:id="18" w:name="baseline-empirical-specifications"/>
      <w:bookmarkEnd w:id="17"/>
      <w:r w:rsidRPr="00D868ED">
        <w:rPr>
          <w:rFonts w:ascii="Times New Roman" w:hAnsi="Times New Roman"/>
          <w:kern w:val="0"/>
          <w14:ligatures w14:val="none"/>
        </w:rPr>
        <w:t>The first specification follows the conventional log-linear gravity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921"/>
      </w:tblGrid>
      <w:tr w:rsidR="004C1B6D" w:rsidRPr="00D868ED" w14:paraId="213363A7" w14:textId="77777777" w:rsidTr="00162214">
        <w:tc>
          <w:tcPr>
            <w:tcW w:w="8095" w:type="dxa"/>
            <w:vAlign w:val="center"/>
          </w:tcPr>
          <w:p w14:paraId="78CE8379" w14:textId="25CBE56B" w:rsidR="004C1B6D" w:rsidRPr="00D868ED" w:rsidRDefault="004C1B6D" w:rsidP="00CE5C32">
            <w:pPr>
              <w:bidi w:val="0"/>
              <w:spacing w:before="120" w:after="120"/>
              <w:jc w:val="center"/>
              <w:rPr>
                <w:rFonts w:ascii="Times New Roman" w:hAnsi="Times New Roman"/>
                <w:kern w:val="0"/>
                <w14:ligatures w14:val="none"/>
              </w:rPr>
            </w:pPr>
            <m:oMathPara>
              <m:oMath>
                <m:r>
                  <m:rPr>
                    <m:sty m:val="p"/>
                  </m:rPr>
                  <w:rPr>
                    <w:rFonts w:ascii="Cambria Math" w:hAnsi="Cambria Math"/>
                    <w:kern w:val="0"/>
                    <w14:ligatures w14:val="none"/>
                  </w:rPr>
                  <m:t>ln(</m:t>
                </m:r>
                <m:r>
                  <w:rPr>
                    <w:rFonts w:ascii="Cambria Math" w:hAnsi="Cambria Math"/>
                    <w:kern w:val="0"/>
                    <w14:ligatures w14:val="none"/>
                  </w:rPr>
                  <m:t>flo</m:t>
                </m:r>
                <m:sSub>
                  <m:sSubPr>
                    <m:ctrlPr>
                      <w:rPr>
                        <w:rFonts w:ascii="Cambria Math" w:hAnsi="Cambria Math"/>
                        <w:kern w:val="0"/>
                        <w14:ligatures w14:val="none"/>
                      </w:rPr>
                    </m:ctrlPr>
                  </m:sSubPr>
                  <m:e>
                    <m:r>
                      <w:rPr>
                        <w:rFonts w:ascii="Cambria Math" w:hAnsi="Cambria Math"/>
                        <w:kern w:val="0"/>
                        <w14:ligatures w14:val="none"/>
                      </w:rPr>
                      <m:t>w</m:t>
                    </m:r>
                  </m:e>
                  <m:sub>
                    <m:r>
                      <w:rPr>
                        <w:rFonts w:ascii="Cambria Math" w:hAnsi="Cambria Math"/>
                        <w:kern w:val="0"/>
                        <w14:ligatures w14:val="none"/>
                      </w:rPr>
                      <m:t>ijt</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β</m:t>
                    </m:r>
                  </m:e>
                  <m:sub>
                    <m:r>
                      <w:rPr>
                        <w:rFonts w:ascii="Cambria Math" w:hAnsi="Cambria Math"/>
                        <w:kern w:val="0"/>
                        <w14:ligatures w14:val="none"/>
                      </w:rPr>
                      <m:t>0</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β</m:t>
                    </m:r>
                  </m:e>
                  <m:sub>
                    <m:r>
                      <w:rPr>
                        <w:rFonts w:ascii="Cambria Math" w:hAnsi="Cambria Math"/>
                        <w:kern w:val="0"/>
                        <w14:ligatures w14:val="none"/>
                      </w:rPr>
                      <m:t>1</m:t>
                    </m:r>
                  </m:sub>
                </m:sSub>
                <m:r>
                  <m:rPr>
                    <m:sty m:val="p"/>
                  </m:rPr>
                  <w:rPr>
                    <w:rFonts w:ascii="Cambria Math" w:hAnsi="Cambria Math"/>
                    <w:kern w:val="0"/>
                    <w14:ligatures w14:val="none"/>
                  </w:rPr>
                  <m:t>ln(</m:t>
                </m:r>
                <m:r>
                  <w:rPr>
                    <w:rFonts w:ascii="Cambria Math" w:hAnsi="Cambria Math"/>
                    <w:kern w:val="0"/>
                    <w14:ligatures w14:val="none"/>
                  </w:rPr>
                  <m:t>gd</m:t>
                </m:r>
                <m:sSub>
                  <m:sSubPr>
                    <m:ctrlPr>
                      <w:rPr>
                        <w:rFonts w:ascii="Cambria Math" w:hAnsi="Cambria Math"/>
                        <w:kern w:val="0"/>
                        <w14:ligatures w14:val="none"/>
                      </w:rPr>
                    </m:ctrlPr>
                  </m:sSubPr>
                  <m:e>
                    <m:r>
                      <w:rPr>
                        <w:rFonts w:ascii="Cambria Math" w:hAnsi="Cambria Math"/>
                        <w:kern w:val="0"/>
                        <w14:ligatures w14:val="none"/>
                      </w:rPr>
                      <m:t>p</m:t>
                    </m:r>
                  </m:e>
                  <m:sub>
                    <m:r>
                      <w:rPr>
                        <w:rFonts w:ascii="Cambria Math" w:hAnsi="Cambria Math"/>
                        <w:kern w:val="0"/>
                        <w14:ligatures w14:val="none"/>
                      </w:rPr>
                      <m:t>o</m:t>
                    </m:r>
                    <m:r>
                      <m:rPr>
                        <m:sty m:val="p"/>
                      </m:rPr>
                      <w:rPr>
                        <w:rFonts w:ascii="Cambria Math" w:hAnsi="Cambria Math"/>
                        <w:kern w:val="0"/>
                        <w14:ligatures w14:val="none"/>
                      </w:rPr>
                      <m:t>,</m:t>
                    </m:r>
                    <m:r>
                      <w:rPr>
                        <w:rFonts w:ascii="Cambria Math" w:hAnsi="Cambria Math"/>
                        <w:kern w:val="0"/>
                        <w14:ligatures w14:val="none"/>
                      </w:rPr>
                      <m:t>it</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β</m:t>
                    </m:r>
                  </m:e>
                  <m:sub>
                    <m:r>
                      <w:rPr>
                        <w:rFonts w:ascii="Cambria Math" w:hAnsi="Cambria Math"/>
                        <w:kern w:val="0"/>
                        <w14:ligatures w14:val="none"/>
                      </w:rPr>
                      <m:t>2</m:t>
                    </m:r>
                  </m:sub>
                </m:sSub>
                <m:r>
                  <m:rPr>
                    <m:sty m:val="p"/>
                  </m:rPr>
                  <w:rPr>
                    <w:rFonts w:ascii="Cambria Math" w:hAnsi="Cambria Math"/>
                    <w:kern w:val="0"/>
                    <w14:ligatures w14:val="none"/>
                  </w:rPr>
                  <m:t>ln(</m:t>
                </m:r>
                <m:r>
                  <w:rPr>
                    <w:rFonts w:ascii="Cambria Math" w:hAnsi="Cambria Math"/>
                    <w:kern w:val="0"/>
                    <w14:ligatures w14:val="none"/>
                  </w:rPr>
                  <m:t>gd</m:t>
                </m:r>
                <m:sSub>
                  <m:sSubPr>
                    <m:ctrlPr>
                      <w:rPr>
                        <w:rFonts w:ascii="Cambria Math" w:hAnsi="Cambria Math"/>
                        <w:kern w:val="0"/>
                        <w14:ligatures w14:val="none"/>
                      </w:rPr>
                    </m:ctrlPr>
                  </m:sSubPr>
                  <m:e>
                    <m:r>
                      <w:rPr>
                        <w:rFonts w:ascii="Cambria Math" w:hAnsi="Cambria Math"/>
                        <w:kern w:val="0"/>
                        <w14:ligatures w14:val="none"/>
                      </w:rPr>
                      <m:t>p</m:t>
                    </m:r>
                  </m:e>
                  <m:sub>
                    <m:r>
                      <w:rPr>
                        <w:rFonts w:ascii="Cambria Math" w:hAnsi="Cambria Math"/>
                        <w:kern w:val="0"/>
                        <w14:ligatures w14:val="none"/>
                      </w:rPr>
                      <m:t>d</m:t>
                    </m:r>
                    <m:r>
                      <m:rPr>
                        <m:sty m:val="p"/>
                      </m:rPr>
                      <w:rPr>
                        <w:rFonts w:ascii="Cambria Math" w:hAnsi="Cambria Math"/>
                        <w:kern w:val="0"/>
                        <w14:ligatures w14:val="none"/>
                      </w:rPr>
                      <m:t>,</m:t>
                    </m:r>
                    <m:r>
                      <w:rPr>
                        <w:rFonts w:ascii="Cambria Math" w:hAnsi="Cambria Math"/>
                        <w:kern w:val="0"/>
                        <w14:ligatures w14:val="none"/>
                      </w:rPr>
                      <m:t>jt</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β</m:t>
                    </m:r>
                  </m:e>
                  <m:sub>
                    <m:r>
                      <w:rPr>
                        <w:rFonts w:ascii="Cambria Math" w:hAnsi="Cambria Math"/>
                        <w:kern w:val="0"/>
                        <w14:ligatures w14:val="none"/>
                      </w:rPr>
                      <m:t>3</m:t>
                    </m:r>
                  </m:sub>
                </m:sSub>
                <m:r>
                  <m:rPr>
                    <m:sty m:val="p"/>
                  </m:rPr>
                  <w:rPr>
                    <w:rFonts w:ascii="Cambria Math" w:hAnsi="Cambria Math"/>
                    <w:kern w:val="0"/>
                    <w14:ligatures w14:val="none"/>
                  </w:rPr>
                  <m:t>ln(</m:t>
                </m:r>
                <m:r>
                  <w:rPr>
                    <w:rFonts w:ascii="Cambria Math" w:hAnsi="Cambria Math"/>
                    <w:kern w:val="0"/>
                    <w14:ligatures w14:val="none"/>
                  </w:rPr>
                  <m:t>dist</m:t>
                </m:r>
                <m:sSub>
                  <m:sSubPr>
                    <m:ctrlPr>
                      <w:rPr>
                        <w:rFonts w:ascii="Cambria Math" w:hAnsi="Cambria Math"/>
                        <w:kern w:val="0"/>
                        <w14:ligatures w14:val="none"/>
                      </w:rPr>
                    </m:ctrlPr>
                  </m:sSubPr>
                  <m:e>
                    <m:r>
                      <w:rPr>
                        <w:rFonts w:ascii="Cambria Math" w:hAnsi="Cambria Math"/>
                        <w:kern w:val="0"/>
                        <w14:ligatures w14:val="none"/>
                      </w:rPr>
                      <m:t>w</m:t>
                    </m:r>
                  </m:e>
                  <m:sub>
                    <m:r>
                      <w:rPr>
                        <w:rFonts w:ascii="Cambria Math" w:hAnsi="Cambria Math"/>
                        <w:kern w:val="0"/>
                        <w14:ligatures w14:val="none"/>
                      </w:rPr>
                      <m:t>ij</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δ</m:t>
                    </m:r>
                  </m:e>
                  <m:sub>
                    <m:r>
                      <w:rPr>
                        <w:rFonts w:ascii="Cambria Math" w:hAnsi="Cambria Math"/>
                        <w:kern w:val="0"/>
                        <w14:ligatures w14:val="none"/>
                      </w:rPr>
                      <m:t>1</m:t>
                    </m:r>
                  </m:sub>
                </m:sSub>
                <m:r>
                  <w:rPr>
                    <w:rFonts w:ascii="Cambria Math" w:hAnsi="Cambria Math"/>
                    <w:kern w:val="0"/>
                    <w14:ligatures w14:val="none"/>
                  </w:rPr>
                  <m:t>comlang</m:t>
                </m:r>
                <m:r>
                  <m:rPr>
                    <m:sty m:val="p"/>
                  </m:rPr>
                  <w:rPr>
                    <w:rFonts w:ascii="Cambria Math" w:hAnsi="Cambria Math"/>
                    <w:kern w:val="0"/>
                    <w14:ligatures w14:val="none"/>
                  </w:rPr>
                  <m:t>_</m:t>
                </m:r>
                <m:r>
                  <w:rPr>
                    <w:rFonts w:ascii="Cambria Math" w:hAnsi="Cambria Math"/>
                    <w:kern w:val="0"/>
                    <w14:ligatures w14:val="none"/>
                  </w:rPr>
                  <m:t>of</m:t>
                </m:r>
                <m:sSub>
                  <m:sSubPr>
                    <m:ctrlPr>
                      <w:rPr>
                        <w:rFonts w:ascii="Cambria Math" w:hAnsi="Cambria Math"/>
                        <w:kern w:val="0"/>
                        <w14:ligatures w14:val="none"/>
                      </w:rPr>
                    </m:ctrlPr>
                  </m:sSubPr>
                  <m:e>
                    <m:r>
                      <w:rPr>
                        <w:rFonts w:ascii="Cambria Math" w:hAnsi="Cambria Math"/>
                        <w:kern w:val="0"/>
                        <w14:ligatures w14:val="none"/>
                      </w:rPr>
                      <m:t>f</m:t>
                    </m:r>
                  </m:e>
                  <m:sub>
                    <m:r>
                      <w:rPr>
                        <w:rFonts w:ascii="Cambria Math" w:hAnsi="Cambria Math"/>
                        <w:kern w:val="0"/>
                        <w14:ligatures w14:val="none"/>
                      </w:rPr>
                      <m:t>ij</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δ</m:t>
                    </m:r>
                  </m:e>
                  <m:sub>
                    <m:r>
                      <w:rPr>
                        <w:rFonts w:ascii="Cambria Math" w:hAnsi="Cambria Math"/>
                        <w:kern w:val="0"/>
                        <w14:ligatures w14:val="none"/>
                      </w:rPr>
                      <m:t>2</m:t>
                    </m:r>
                  </m:sub>
                </m:sSub>
                <m:r>
                  <w:rPr>
                    <w:rFonts w:ascii="Cambria Math" w:hAnsi="Cambria Math"/>
                    <w:kern w:val="0"/>
                    <w14:ligatures w14:val="none"/>
                  </w:rPr>
                  <m:t>conti</m:t>
                </m:r>
                <m:sSub>
                  <m:sSubPr>
                    <m:ctrlPr>
                      <w:rPr>
                        <w:rFonts w:ascii="Cambria Math" w:hAnsi="Cambria Math"/>
                        <w:kern w:val="0"/>
                        <w14:ligatures w14:val="none"/>
                      </w:rPr>
                    </m:ctrlPr>
                  </m:sSubPr>
                  <m:e>
                    <m:r>
                      <w:rPr>
                        <w:rFonts w:ascii="Cambria Math" w:hAnsi="Cambria Math"/>
                        <w:kern w:val="0"/>
                        <w14:ligatures w14:val="none"/>
                      </w:rPr>
                      <m:t>g</m:t>
                    </m:r>
                  </m:e>
                  <m:sub>
                    <m:r>
                      <w:rPr>
                        <w:rFonts w:ascii="Cambria Math" w:hAnsi="Cambria Math"/>
                        <w:kern w:val="0"/>
                        <w14:ligatures w14:val="none"/>
                      </w:rPr>
                      <m:t>ij</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δ</m:t>
                    </m:r>
                  </m:e>
                  <m:sub>
                    <m:r>
                      <w:rPr>
                        <w:rFonts w:ascii="Cambria Math" w:hAnsi="Cambria Math"/>
                        <w:kern w:val="0"/>
                        <w14:ligatures w14:val="none"/>
                      </w:rPr>
                      <m:t>3</m:t>
                    </m:r>
                  </m:sub>
                </m:sSub>
                <m:r>
                  <w:rPr>
                    <w:rFonts w:ascii="Cambria Math" w:hAnsi="Cambria Math"/>
                    <w:kern w:val="0"/>
                    <w14:ligatures w14:val="none"/>
                  </w:rPr>
                  <m:t>wto</m:t>
                </m:r>
                <m:r>
                  <m:rPr>
                    <m:sty m:val="p"/>
                  </m:rPr>
                  <w:rPr>
                    <w:rFonts w:ascii="Cambria Math" w:hAnsi="Cambria Math"/>
                    <w:kern w:val="0"/>
                    <w14:ligatures w14:val="none"/>
                  </w:rPr>
                  <m:t>_</m:t>
                </m:r>
                <m:r>
                  <w:rPr>
                    <w:rFonts w:ascii="Cambria Math" w:hAnsi="Cambria Math"/>
                    <w:kern w:val="0"/>
                    <w14:ligatures w14:val="none"/>
                  </w:rPr>
                  <m:t>join</m:t>
                </m:r>
                <m:sSub>
                  <m:sSubPr>
                    <m:ctrlPr>
                      <w:rPr>
                        <w:rFonts w:ascii="Cambria Math" w:hAnsi="Cambria Math"/>
                        <w:kern w:val="0"/>
                        <w14:ligatures w14:val="none"/>
                      </w:rPr>
                    </m:ctrlPr>
                  </m:sSubPr>
                  <m:e>
                    <m:r>
                      <w:rPr>
                        <w:rFonts w:ascii="Cambria Math" w:hAnsi="Cambria Math"/>
                        <w:kern w:val="0"/>
                        <w14:ligatures w14:val="none"/>
                      </w:rPr>
                      <m:t>t</m:t>
                    </m:r>
                  </m:e>
                  <m:sub>
                    <m:r>
                      <w:rPr>
                        <w:rFonts w:ascii="Cambria Math" w:hAnsi="Cambria Math"/>
                        <w:kern w:val="0"/>
                        <w14:ligatures w14:val="none"/>
                      </w:rPr>
                      <m:t>ijt</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δ</m:t>
                    </m:r>
                  </m:e>
                  <m:sub>
                    <m:r>
                      <w:rPr>
                        <w:rFonts w:ascii="Cambria Math" w:hAnsi="Cambria Math"/>
                        <w:kern w:val="0"/>
                        <w14:ligatures w14:val="none"/>
                      </w:rPr>
                      <m:t>4</m:t>
                    </m:r>
                  </m:sub>
                </m:sSub>
                <m:r>
                  <w:rPr>
                    <w:rFonts w:ascii="Cambria Math" w:hAnsi="Cambria Math"/>
                    <w:kern w:val="0"/>
                    <w14:ligatures w14:val="none"/>
                  </w:rPr>
                  <m:t>EU</m:t>
                </m:r>
                <m:r>
                  <m:rPr>
                    <m:sty m:val="p"/>
                  </m:rPr>
                  <w:rPr>
                    <w:rFonts w:ascii="Cambria Math" w:hAnsi="Cambria Math"/>
                    <w:kern w:val="0"/>
                    <w14:ligatures w14:val="none"/>
                  </w:rPr>
                  <m:t>_</m:t>
                </m:r>
                <m:r>
                  <w:rPr>
                    <w:rFonts w:ascii="Cambria Math" w:hAnsi="Cambria Math"/>
                    <w:kern w:val="0"/>
                    <w14:ligatures w14:val="none"/>
                  </w:rPr>
                  <m:t>join</m:t>
                </m:r>
                <m:sSub>
                  <m:sSubPr>
                    <m:ctrlPr>
                      <w:rPr>
                        <w:rFonts w:ascii="Cambria Math" w:hAnsi="Cambria Math"/>
                        <w:kern w:val="0"/>
                        <w14:ligatures w14:val="none"/>
                      </w:rPr>
                    </m:ctrlPr>
                  </m:sSubPr>
                  <m:e>
                    <m:r>
                      <w:rPr>
                        <w:rFonts w:ascii="Cambria Math" w:hAnsi="Cambria Math"/>
                        <w:kern w:val="0"/>
                        <w14:ligatures w14:val="none"/>
                      </w:rPr>
                      <m:t>t</m:t>
                    </m:r>
                  </m:e>
                  <m:sub>
                    <m:r>
                      <w:rPr>
                        <w:rFonts w:ascii="Cambria Math" w:hAnsi="Cambria Math"/>
                        <w:kern w:val="0"/>
                        <w14:ligatures w14:val="none"/>
                      </w:rPr>
                      <m:t>ijt</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δ</m:t>
                    </m:r>
                  </m:e>
                  <m:sub>
                    <m:r>
                      <w:rPr>
                        <w:rFonts w:ascii="Cambria Math" w:hAnsi="Cambria Math"/>
                        <w:kern w:val="0"/>
                        <w14:ligatures w14:val="none"/>
                      </w:rPr>
                      <m:t>5</m:t>
                    </m:r>
                  </m:sub>
                </m:sSub>
                <m:r>
                  <w:rPr>
                    <w:rFonts w:ascii="Cambria Math" w:hAnsi="Cambria Math"/>
                    <w:kern w:val="0"/>
                    <w14:ligatures w14:val="none"/>
                  </w:rPr>
                  <m:t>EAEU</m:t>
                </m:r>
                <m:r>
                  <m:rPr>
                    <m:sty m:val="p"/>
                  </m:rPr>
                  <w:rPr>
                    <w:rFonts w:ascii="Cambria Math" w:hAnsi="Cambria Math"/>
                    <w:kern w:val="0"/>
                    <w14:ligatures w14:val="none"/>
                  </w:rPr>
                  <m:t>_</m:t>
                </m:r>
                <m:r>
                  <w:rPr>
                    <w:rFonts w:ascii="Cambria Math" w:hAnsi="Cambria Math"/>
                    <w:kern w:val="0"/>
                    <w14:ligatures w14:val="none"/>
                  </w:rPr>
                  <m:t>join</m:t>
                </m:r>
                <m:sSub>
                  <m:sSubPr>
                    <m:ctrlPr>
                      <w:rPr>
                        <w:rFonts w:ascii="Cambria Math" w:hAnsi="Cambria Math"/>
                        <w:kern w:val="0"/>
                        <w14:ligatures w14:val="none"/>
                      </w:rPr>
                    </m:ctrlPr>
                  </m:sSubPr>
                  <m:e>
                    <m:r>
                      <w:rPr>
                        <w:rFonts w:ascii="Cambria Math" w:hAnsi="Cambria Math"/>
                        <w:kern w:val="0"/>
                        <w14:ligatures w14:val="none"/>
                      </w:rPr>
                      <m:t>t</m:t>
                    </m:r>
                  </m:e>
                  <m:sub>
                    <m:r>
                      <w:rPr>
                        <w:rFonts w:ascii="Cambria Math" w:hAnsi="Cambria Math"/>
                        <w:kern w:val="0"/>
                        <w14:ligatures w14:val="none"/>
                      </w:rPr>
                      <m:t>ijt</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ε</m:t>
                    </m:r>
                  </m:e>
                  <m:sub>
                    <m:r>
                      <w:rPr>
                        <w:rFonts w:ascii="Cambria Math" w:hAnsi="Cambria Math"/>
                        <w:kern w:val="0"/>
                        <w14:ligatures w14:val="none"/>
                      </w:rPr>
                      <m:t>ijt</m:t>
                    </m:r>
                  </m:sub>
                </m:sSub>
              </m:oMath>
            </m:oMathPara>
          </w:p>
        </w:tc>
        <w:tc>
          <w:tcPr>
            <w:tcW w:w="921" w:type="dxa"/>
            <w:vAlign w:val="center"/>
          </w:tcPr>
          <w:p w14:paraId="2596B1E5" w14:textId="7315E95C" w:rsidR="004C1B6D" w:rsidRPr="00D868ED" w:rsidRDefault="004C1B6D" w:rsidP="00CE5C32">
            <w:pPr>
              <w:bidi w:val="0"/>
              <w:spacing w:before="120" w:after="120"/>
              <w:jc w:val="center"/>
              <w:rPr>
                <w:rFonts w:asciiTheme="majorBidi" w:hAnsiTheme="majorBidi" w:cstheme="majorBidi"/>
                <w:kern w:val="0"/>
                <w14:ligatures w14:val="none"/>
              </w:rPr>
            </w:pPr>
            <w:r w:rsidRPr="00D868ED">
              <w:rPr>
                <w:rFonts w:asciiTheme="majorBidi" w:hAnsiTheme="majorBidi" w:cstheme="majorBidi"/>
              </w:rPr>
              <w:t>(</w:t>
            </w:r>
            <w:r w:rsidRPr="00D868ED">
              <w:rPr>
                <w:rFonts w:asciiTheme="majorBidi" w:hAnsiTheme="majorBidi" w:cstheme="majorBidi"/>
              </w:rPr>
              <w:fldChar w:fldCharType="begin"/>
            </w:r>
            <w:r w:rsidRPr="00D868ED">
              <w:rPr>
                <w:rFonts w:asciiTheme="majorBidi" w:hAnsiTheme="majorBidi" w:cstheme="majorBidi"/>
              </w:rPr>
              <w:instrText xml:space="preserve"> SEQ Equation \* ARABIC </w:instrText>
            </w:r>
            <w:r w:rsidRPr="00D868ED">
              <w:rPr>
                <w:rFonts w:asciiTheme="majorBidi" w:hAnsiTheme="majorBidi" w:cstheme="majorBidi"/>
              </w:rPr>
              <w:fldChar w:fldCharType="separate"/>
            </w:r>
            <w:r w:rsidR="00EC28FA" w:rsidRPr="00D868ED">
              <w:rPr>
                <w:rFonts w:asciiTheme="majorBidi" w:hAnsiTheme="majorBidi" w:cstheme="majorBidi"/>
                <w:noProof/>
              </w:rPr>
              <w:t>2</w:t>
            </w:r>
            <w:r w:rsidRPr="00D868ED">
              <w:rPr>
                <w:rFonts w:asciiTheme="majorBidi" w:hAnsiTheme="majorBidi" w:cstheme="majorBidi"/>
              </w:rPr>
              <w:fldChar w:fldCharType="end"/>
            </w:r>
            <w:r w:rsidRPr="00D868ED">
              <w:rPr>
                <w:rFonts w:asciiTheme="majorBidi" w:hAnsiTheme="majorBidi" w:cstheme="majorBidi"/>
              </w:rPr>
              <w:t>)</w:t>
            </w:r>
          </w:p>
        </w:tc>
      </w:tr>
    </w:tbl>
    <w:p w14:paraId="050EC7AF" w14:textId="77777777" w:rsidR="00E066AC" w:rsidRPr="00D868ED" w:rsidRDefault="00E066AC" w:rsidP="00CE5C32">
      <w:pPr>
        <w:bidi w:val="0"/>
        <w:spacing w:after="120" w:line="288" w:lineRule="auto"/>
        <w:rPr>
          <w:rFonts w:ascii="Times New Roman" w:hAnsi="Times New Roman"/>
          <w:kern w:val="0"/>
          <w14:ligatures w14:val="none"/>
        </w:rPr>
      </w:pPr>
      <w:r w:rsidRPr="00D868ED">
        <w:rPr>
          <w:rFonts w:ascii="Times New Roman" w:hAnsi="Times New Roman"/>
          <w:kern w:val="0"/>
          <w14:ligatures w14:val="none"/>
        </w:rPr>
        <w:t>This specification directly captures the role of economic size alongside bilateral trade costs and institutional variables.</w:t>
      </w:r>
    </w:p>
    <w:p w14:paraId="230F35CE" w14:textId="77777777" w:rsidR="00E066AC" w:rsidRPr="00D868ED" w:rsidRDefault="00E066AC" w:rsidP="00CE5C32">
      <w:pPr>
        <w:bidi w:val="0"/>
        <w:spacing w:after="120" w:line="288" w:lineRule="auto"/>
        <w:rPr>
          <w:rFonts w:ascii="Times New Roman" w:hAnsi="Times New Roman"/>
          <w:kern w:val="0"/>
          <w14:ligatures w14:val="none"/>
        </w:rPr>
      </w:pPr>
      <w:r w:rsidRPr="00D868ED">
        <w:rPr>
          <w:rFonts w:ascii="Times New Roman" w:hAnsi="Times New Roman"/>
          <w:kern w:val="0"/>
          <w14:ligatures w14:val="none"/>
        </w:rPr>
        <w:t>A second specification introduces exporter and importer fixed effects: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921"/>
      </w:tblGrid>
      <w:tr w:rsidR="004C1B6D" w:rsidRPr="00D868ED" w14:paraId="64E9F045" w14:textId="77777777" w:rsidTr="009B0783">
        <w:tc>
          <w:tcPr>
            <w:tcW w:w="8095" w:type="dxa"/>
            <w:vAlign w:val="center"/>
          </w:tcPr>
          <w:p w14:paraId="40D30A81" w14:textId="522F2BD0" w:rsidR="004C1B6D" w:rsidRPr="00D868ED" w:rsidRDefault="004C1B6D" w:rsidP="00CE5C32">
            <w:pPr>
              <w:bidi w:val="0"/>
              <w:spacing w:before="120" w:after="120" w:line="288" w:lineRule="auto"/>
              <w:jc w:val="center"/>
              <w:rPr>
                <w:rFonts w:ascii="Times New Roman" w:hAnsi="Times New Roman"/>
                <w:kern w:val="0"/>
                <w14:ligatures w14:val="none"/>
              </w:rPr>
            </w:pPr>
            <m:oMathPara>
              <m:oMath>
                <m:r>
                  <m:rPr>
                    <m:sty m:val="p"/>
                  </m:rPr>
                  <w:rPr>
                    <w:rFonts w:ascii="Cambria Math" w:hAnsi="Cambria Math"/>
                    <w:kern w:val="0"/>
                    <w14:ligatures w14:val="none"/>
                  </w:rPr>
                  <m:t>ln(</m:t>
                </m:r>
                <m:r>
                  <w:rPr>
                    <w:rFonts w:ascii="Cambria Math" w:hAnsi="Cambria Math"/>
                    <w:kern w:val="0"/>
                    <w14:ligatures w14:val="none"/>
                  </w:rPr>
                  <m:t>flo</m:t>
                </m:r>
                <m:sSub>
                  <m:sSubPr>
                    <m:ctrlPr>
                      <w:rPr>
                        <w:rFonts w:ascii="Cambria Math" w:hAnsi="Cambria Math"/>
                        <w:kern w:val="0"/>
                        <w14:ligatures w14:val="none"/>
                      </w:rPr>
                    </m:ctrlPr>
                  </m:sSubPr>
                  <m:e>
                    <m:r>
                      <w:rPr>
                        <w:rFonts w:ascii="Cambria Math" w:hAnsi="Cambria Math"/>
                        <w:kern w:val="0"/>
                        <w14:ligatures w14:val="none"/>
                      </w:rPr>
                      <m:t>w</m:t>
                    </m:r>
                  </m:e>
                  <m:sub>
                    <m:r>
                      <w:rPr>
                        <w:rFonts w:ascii="Cambria Math" w:hAnsi="Cambria Math"/>
                        <w:kern w:val="0"/>
                        <w14:ligatures w14:val="none"/>
                      </w:rPr>
                      <m:t>ijt</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α</m:t>
                    </m:r>
                  </m:e>
                  <m:sub>
                    <m:r>
                      <w:rPr>
                        <w:rFonts w:ascii="Cambria Math" w:hAnsi="Cambria Math"/>
                        <w:kern w:val="0"/>
                        <w14:ligatures w14:val="none"/>
                      </w:rPr>
                      <m:t>0</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α</m:t>
                    </m:r>
                  </m:e>
                  <m:sub>
                    <m:r>
                      <w:rPr>
                        <w:rFonts w:ascii="Cambria Math" w:hAnsi="Cambria Math"/>
                        <w:kern w:val="0"/>
                        <w14:ligatures w14:val="none"/>
                      </w:rPr>
                      <m:t>1</m:t>
                    </m:r>
                  </m:sub>
                </m:sSub>
                <m:r>
                  <m:rPr>
                    <m:sty m:val="p"/>
                  </m:rPr>
                  <w:rPr>
                    <w:rFonts w:ascii="Cambria Math" w:hAnsi="Cambria Math"/>
                    <w:kern w:val="0"/>
                    <w14:ligatures w14:val="none"/>
                  </w:rPr>
                  <m:t>ln(</m:t>
                </m:r>
                <m:r>
                  <w:rPr>
                    <w:rFonts w:ascii="Cambria Math" w:hAnsi="Cambria Math"/>
                    <w:kern w:val="0"/>
                    <w14:ligatures w14:val="none"/>
                  </w:rPr>
                  <m:t>dist</m:t>
                </m:r>
                <m:sSub>
                  <m:sSubPr>
                    <m:ctrlPr>
                      <w:rPr>
                        <w:rFonts w:ascii="Cambria Math" w:hAnsi="Cambria Math"/>
                        <w:kern w:val="0"/>
                        <w14:ligatures w14:val="none"/>
                      </w:rPr>
                    </m:ctrlPr>
                  </m:sSubPr>
                  <m:e>
                    <m:r>
                      <w:rPr>
                        <w:rFonts w:ascii="Cambria Math" w:hAnsi="Cambria Math"/>
                        <w:kern w:val="0"/>
                        <w14:ligatures w14:val="none"/>
                      </w:rPr>
                      <m:t>w</m:t>
                    </m:r>
                  </m:e>
                  <m:sub>
                    <m:r>
                      <w:rPr>
                        <w:rFonts w:ascii="Cambria Math" w:hAnsi="Cambria Math"/>
                        <w:kern w:val="0"/>
                        <w14:ligatures w14:val="none"/>
                      </w:rPr>
                      <m:t>ij</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θ</m:t>
                    </m:r>
                  </m:e>
                  <m:sub>
                    <m:r>
                      <w:rPr>
                        <w:rFonts w:ascii="Cambria Math" w:hAnsi="Cambria Math"/>
                        <w:kern w:val="0"/>
                        <w14:ligatures w14:val="none"/>
                      </w:rPr>
                      <m:t>1</m:t>
                    </m:r>
                  </m:sub>
                </m:sSub>
                <m:r>
                  <w:rPr>
                    <w:rFonts w:ascii="Cambria Math" w:hAnsi="Cambria Math"/>
                    <w:kern w:val="0"/>
                    <w14:ligatures w14:val="none"/>
                  </w:rPr>
                  <m:t>comlang</m:t>
                </m:r>
                <m:r>
                  <m:rPr>
                    <m:sty m:val="p"/>
                  </m:rPr>
                  <w:rPr>
                    <w:rFonts w:ascii="Cambria Math" w:hAnsi="Cambria Math"/>
                    <w:kern w:val="0"/>
                    <w14:ligatures w14:val="none"/>
                  </w:rPr>
                  <m:t>_</m:t>
                </m:r>
                <m:r>
                  <w:rPr>
                    <w:rFonts w:ascii="Cambria Math" w:hAnsi="Cambria Math"/>
                    <w:kern w:val="0"/>
                    <w14:ligatures w14:val="none"/>
                  </w:rPr>
                  <m:t>of</m:t>
                </m:r>
                <m:sSub>
                  <m:sSubPr>
                    <m:ctrlPr>
                      <w:rPr>
                        <w:rFonts w:ascii="Cambria Math" w:hAnsi="Cambria Math"/>
                        <w:kern w:val="0"/>
                        <w14:ligatures w14:val="none"/>
                      </w:rPr>
                    </m:ctrlPr>
                  </m:sSubPr>
                  <m:e>
                    <m:r>
                      <w:rPr>
                        <w:rFonts w:ascii="Cambria Math" w:hAnsi="Cambria Math"/>
                        <w:kern w:val="0"/>
                        <w14:ligatures w14:val="none"/>
                      </w:rPr>
                      <m:t>f</m:t>
                    </m:r>
                  </m:e>
                  <m:sub>
                    <m:r>
                      <w:rPr>
                        <w:rFonts w:ascii="Cambria Math" w:hAnsi="Cambria Math"/>
                        <w:kern w:val="0"/>
                        <w14:ligatures w14:val="none"/>
                      </w:rPr>
                      <m:t>ij</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θ</m:t>
                    </m:r>
                  </m:e>
                  <m:sub>
                    <m:r>
                      <w:rPr>
                        <w:rFonts w:ascii="Cambria Math" w:hAnsi="Cambria Math"/>
                        <w:kern w:val="0"/>
                        <w14:ligatures w14:val="none"/>
                      </w:rPr>
                      <m:t>2</m:t>
                    </m:r>
                  </m:sub>
                </m:sSub>
                <m:r>
                  <w:rPr>
                    <w:rFonts w:ascii="Cambria Math" w:hAnsi="Cambria Math"/>
                    <w:kern w:val="0"/>
                    <w14:ligatures w14:val="none"/>
                  </w:rPr>
                  <m:t>conti</m:t>
                </m:r>
                <m:sSub>
                  <m:sSubPr>
                    <m:ctrlPr>
                      <w:rPr>
                        <w:rFonts w:ascii="Cambria Math" w:hAnsi="Cambria Math"/>
                        <w:kern w:val="0"/>
                        <w14:ligatures w14:val="none"/>
                      </w:rPr>
                    </m:ctrlPr>
                  </m:sSubPr>
                  <m:e>
                    <m:r>
                      <w:rPr>
                        <w:rFonts w:ascii="Cambria Math" w:hAnsi="Cambria Math"/>
                        <w:kern w:val="0"/>
                        <w14:ligatures w14:val="none"/>
                      </w:rPr>
                      <m:t>g</m:t>
                    </m:r>
                  </m:e>
                  <m:sub>
                    <m:r>
                      <w:rPr>
                        <w:rFonts w:ascii="Cambria Math" w:hAnsi="Cambria Math"/>
                        <w:kern w:val="0"/>
                        <w14:ligatures w14:val="none"/>
                      </w:rPr>
                      <m:t>ij</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θ</m:t>
                    </m:r>
                  </m:e>
                  <m:sub>
                    <m:r>
                      <w:rPr>
                        <w:rFonts w:ascii="Cambria Math" w:hAnsi="Cambria Math"/>
                        <w:kern w:val="0"/>
                        <w14:ligatures w14:val="none"/>
                      </w:rPr>
                      <m:t>3</m:t>
                    </m:r>
                  </m:sub>
                </m:sSub>
                <m:r>
                  <w:rPr>
                    <w:rFonts w:ascii="Cambria Math" w:hAnsi="Cambria Math"/>
                    <w:kern w:val="0"/>
                    <w14:ligatures w14:val="none"/>
                  </w:rPr>
                  <m:t>wto</m:t>
                </m:r>
                <m:r>
                  <m:rPr>
                    <m:sty m:val="p"/>
                  </m:rPr>
                  <w:rPr>
                    <w:rFonts w:ascii="Cambria Math" w:hAnsi="Cambria Math"/>
                    <w:kern w:val="0"/>
                    <w14:ligatures w14:val="none"/>
                  </w:rPr>
                  <m:t>_</m:t>
                </m:r>
                <m:r>
                  <w:rPr>
                    <w:rFonts w:ascii="Cambria Math" w:hAnsi="Cambria Math"/>
                    <w:kern w:val="0"/>
                    <w14:ligatures w14:val="none"/>
                  </w:rPr>
                  <m:t>join</m:t>
                </m:r>
                <m:sSub>
                  <m:sSubPr>
                    <m:ctrlPr>
                      <w:rPr>
                        <w:rFonts w:ascii="Cambria Math" w:hAnsi="Cambria Math"/>
                        <w:kern w:val="0"/>
                        <w14:ligatures w14:val="none"/>
                      </w:rPr>
                    </m:ctrlPr>
                  </m:sSubPr>
                  <m:e>
                    <m:r>
                      <w:rPr>
                        <w:rFonts w:ascii="Cambria Math" w:hAnsi="Cambria Math"/>
                        <w:kern w:val="0"/>
                        <w14:ligatures w14:val="none"/>
                      </w:rPr>
                      <m:t>t</m:t>
                    </m:r>
                  </m:e>
                  <m:sub>
                    <m:r>
                      <w:rPr>
                        <w:rFonts w:ascii="Cambria Math" w:hAnsi="Cambria Math"/>
                        <w:kern w:val="0"/>
                        <w14:ligatures w14:val="none"/>
                      </w:rPr>
                      <m:t>ijt</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θ</m:t>
                    </m:r>
                  </m:e>
                  <m:sub>
                    <m:r>
                      <w:rPr>
                        <w:rFonts w:ascii="Cambria Math" w:hAnsi="Cambria Math"/>
                        <w:kern w:val="0"/>
                        <w14:ligatures w14:val="none"/>
                      </w:rPr>
                      <m:t>4</m:t>
                    </m:r>
                  </m:sub>
                </m:sSub>
                <m:r>
                  <w:rPr>
                    <w:rFonts w:ascii="Cambria Math" w:hAnsi="Cambria Math"/>
                    <w:kern w:val="0"/>
                    <w14:ligatures w14:val="none"/>
                  </w:rPr>
                  <m:t>EU</m:t>
                </m:r>
                <m:r>
                  <m:rPr>
                    <m:sty m:val="p"/>
                  </m:rPr>
                  <w:rPr>
                    <w:rFonts w:ascii="Cambria Math" w:hAnsi="Cambria Math"/>
                    <w:kern w:val="0"/>
                    <w14:ligatures w14:val="none"/>
                  </w:rPr>
                  <m:t>_</m:t>
                </m:r>
                <m:r>
                  <w:rPr>
                    <w:rFonts w:ascii="Cambria Math" w:hAnsi="Cambria Math"/>
                    <w:kern w:val="0"/>
                    <w14:ligatures w14:val="none"/>
                  </w:rPr>
                  <m:t>join</m:t>
                </m:r>
                <m:sSub>
                  <m:sSubPr>
                    <m:ctrlPr>
                      <w:rPr>
                        <w:rFonts w:ascii="Cambria Math" w:hAnsi="Cambria Math"/>
                        <w:kern w:val="0"/>
                        <w14:ligatures w14:val="none"/>
                      </w:rPr>
                    </m:ctrlPr>
                  </m:sSubPr>
                  <m:e>
                    <m:r>
                      <w:rPr>
                        <w:rFonts w:ascii="Cambria Math" w:hAnsi="Cambria Math"/>
                        <w:kern w:val="0"/>
                        <w14:ligatures w14:val="none"/>
                      </w:rPr>
                      <m:t>t</m:t>
                    </m:r>
                  </m:e>
                  <m:sub>
                    <m:r>
                      <w:rPr>
                        <w:rFonts w:ascii="Cambria Math" w:hAnsi="Cambria Math"/>
                        <w:kern w:val="0"/>
                        <w14:ligatures w14:val="none"/>
                      </w:rPr>
                      <m:t>ijt</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θ</m:t>
                    </m:r>
                  </m:e>
                  <m:sub>
                    <m:r>
                      <w:rPr>
                        <w:rFonts w:ascii="Cambria Math" w:hAnsi="Cambria Math"/>
                        <w:kern w:val="0"/>
                        <w14:ligatures w14:val="none"/>
                      </w:rPr>
                      <m:t>5</m:t>
                    </m:r>
                  </m:sub>
                </m:sSub>
                <m:r>
                  <w:rPr>
                    <w:rFonts w:ascii="Cambria Math" w:hAnsi="Cambria Math"/>
                    <w:kern w:val="0"/>
                    <w14:ligatures w14:val="none"/>
                  </w:rPr>
                  <m:t>EAEU</m:t>
                </m:r>
                <m:r>
                  <m:rPr>
                    <m:sty m:val="p"/>
                  </m:rPr>
                  <w:rPr>
                    <w:rFonts w:ascii="Cambria Math" w:hAnsi="Cambria Math"/>
                    <w:kern w:val="0"/>
                    <w14:ligatures w14:val="none"/>
                  </w:rPr>
                  <m:t>_</m:t>
                </m:r>
                <m:r>
                  <w:rPr>
                    <w:rFonts w:ascii="Cambria Math" w:hAnsi="Cambria Math"/>
                    <w:kern w:val="0"/>
                    <w14:ligatures w14:val="none"/>
                  </w:rPr>
                  <m:t>join</m:t>
                </m:r>
                <m:sSub>
                  <m:sSubPr>
                    <m:ctrlPr>
                      <w:rPr>
                        <w:rFonts w:ascii="Cambria Math" w:hAnsi="Cambria Math"/>
                        <w:kern w:val="0"/>
                        <w14:ligatures w14:val="none"/>
                      </w:rPr>
                    </m:ctrlPr>
                  </m:sSubPr>
                  <m:e>
                    <m:r>
                      <w:rPr>
                        <w:rFonts w:ascii="Cambria Math" w:hAnsi="Cambria Math"/>
                        <w:kern w:val="0"/>
                        <w14:ligatures w14:val="none"/>
                      </w:rPr>
                      <m:t>t</m:t>
                    </m:r>
                  </m:e>
                  <m:sub>
                    <m:r>
                      <w:rPr>
                        <w:rFonts w:ascii="Cambria Math" w:hAnsi="Cambria Math"/>
                        <w:kern w:val="0"/>
                        <w14:ligatures w14:val="none"/>
                      </w:rPr>
                      <m:t>ijt</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μ</m:t>
                    </m:r>
                  </m:e>
                  <m:sub>
                    <m:r>
                      <w:rPr>
                        <w:rFonts w:ascii="Cambria Math" w:hAnsi="Cambria Math"/>
                        <w:kern w:val="0"/>
                        <w14:ligatures w14:val="none"/>
                      </w:rPr>
                      <m:t>i</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ν</m:t>
                    </m:r>
                  </m:e>
                  <m:sub>
                    <m:r>
                      <w:rPr>
                        <w:rFonts w:ascii="Cambria Math" w:hAnsi="Cambria Math"/>
                        <w:kern w:val="0"/>
                        <w14:ligatures w14:val="none"/>
                      </w:rPr>
                      <m:t>j</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ε</m:t>
                    </m:r>
                  </m:e>
                  <m:sub>
                    <m:r>
                      <w:rPr>
                        <w:rFonts w:ascii="Cambria Math" w:hAnsi="Cambria Math"/>
                        <w:kern w:val="0"/>
                        <w14:ligatures w14:val="none"/>
                      </w:rPr>
                      <m:t>ijt</m:t>
                    </m:r>
                  </m:sub>
                </m:sSub>
              </m:oMath>
            </m:oMathPara>
          </w:p>
        </w:tc>
        <w:tc>
          <w:tcPr>
            <w:tcW w:w="921" w:type="dxa"/>
            <w:vAlign w:val="center"/>
          </w:tcPr>
          <w:p w14:paraId="7B46C469" w14:textId="26C37D83" w:rsidR="004C1B6D" w:rsidRPr="00D868ED" w:rsidRDefault="004C1B6D" w:rsidP="00CE5C32">
            <w:pPr>
              <w:bidi w:val="0"/>
              <w:spacing w:before="120" w:after="120"/>
              <w:jc w:val="center"/>
              <w:rPr>
                <w:rFonts w:asciiTheme="majorBidi" w:hAnsiTheme="majorBidi" w:cstheme="majorBidi"/>
                <w:kern w:val="0"/>
                <w14:ligatures w14:val="none"/>
              </w:rPr>
            </w:pPr>
            <w:r w:rsidRPr="00D868ED">
              <w:rPr>
                <w:rFonts w:asciiTheme="majorBidi" w:hAnsiTheme="majorBidi" w:cstheme="majorBidi"/>
              </w:rPr>
              <w:t>(</w:t>
            </w:r>
            <w:r w:rsidRPr="00D868ED">
              <w:rPr>
                <w:rFonts w:asciiTheme="majorBidi" w:hAnsiTheme="majorBidi" w:cstheme="majorBidi"/>
              </w:rPr>
              <w:fldChar w:fldCharType="begin"/>
            </w:r>
            <w:r w:rsidRPr="00D868ED">
              <w:rPr>
                <w:rFonts w:asciiTheme="majorBidi" w:hAnsiTheme="majorBidi" w:cstheme="majorBidi"/>
              </w:rPr>
              <w:instrText xml:space="preserve"> SEQ Equation \* ARABIC </w:instrText>
            </w:r>
            <w:r w:rsidRPr="00D868ED">
              <w:rPr>
                <w:rFonts w:asciiTheme="majorBidi" w:hAnsiTheme="majorBidi" w:cstheme="majorBidi"/>
              </w:rPr>
              <w:fldChar w:fldCharType="separate"/>
            </w:r>
            <w:r w:rsidR="00EC28FA" w:rsidRPr="00D868ED">
              <w:rPr>
                <w:rFonts w:asciiTheme="majorBidi" w:hAnsiTheme="majorBidi" w:cstheme="majorBidi"/>
                <w:noProof/>
              </w:rPr>
              <w:t>3</w:t>
            </w:r>
            <w:r w:rsidRPr="00D868ED">
              <w:rPr>
                <w:rFonts w:asciiTheme="majorBidi" w:hAnsiTheme="majorBidi" w:cstheme="majorBidi"/>
              </w:rPr>
              <w:fldChar w:fldCharType="end"/>
            </w:r>
            <w:r w:rsidRPr="00D868ED">
              <w:rPr>
                <w:rFonts w:asciiTheme="majorBidi" w:hAnsiTheme="majorBidi" w:cstheme="majorBidi"/>
              </w:rPr>
              <w:t>)</w:t>
            </w:r>
          </w:p>
        </w:tc>
      </w:tr>
    </w:tbl>
    <w:p w14:paraId="3F9BBF5C" w14:textId="77777777" w:rsidR="00E066AC" w:rsidRPr="00D868ED" w:rsidRDefault="00E066AC" w:rsidP="00CE5C32">
      <w:pPr>
        <w:bidi w:val="0"/>
        <w:spacing w:after="120" w:line="288" w:lineRule="auto"/>
        <w:jc w:val="both"/>
        <w:rPr>
          <w:rFonts w:ascii="Times New Roman" w:hAnsi="Times New Roman"/>
          <w:kern w:val="0"/>
          <w14:ligatures w14:val="none"/>
        </w:rPr>
      </w:pPr>
      <w:r w:rsidRPr="00D868ED">
        <w:rPr>
          <w:rFonts w:ascii="Times New Roman" w:hAnsi="Times New Roman"/>
          <w:kern w:val="0"/>
          <w14:ligatures w14:val="none"/>
        </w:rPr>
        <w:t xml:space="preserve">where </w:t>
      </w:r>
      <m:oMath>
        <m:sSub>
          <m:sSubPr>
            <m:ctrlPr>
              <w:rPr>
                <w:rFonts w:ascii="Cambria Math" w:hAnsi="Cambria Math"/>
                <w:kern w:val="0"/>
                <w14:ligatures w14:val="none"/>
              </w:rPr>
            </m:ctrlPr>
          </m:sSubPr>
          <m:e>
            <m:r>
              <w:rPr>
                <w:rFonts w:ascii="Cambria Math" w:hAnsi="Cambria Math"/>
                <w:kern w:val="0"/>
                <w14:ligatures w14:val="none"/>
              </w:rPr>
              <m:t>μ</m:t>
            </m:r>
          </m:e>
          <m:sub>
            <m:r>
              <w:rPr>
                <w:rFonts w:ascii="Cambria Math" w:hAnsi="Cambria Math"/>
                <w:kern w:val="0"/>
                <w14:ligatures w14:val="none"/>
              </w:rPr>
              <m:t>i</m:t>
            </m:r>
          </m:sub>
        </m:sSub>
      </m:oMath>
      <w:r w:rsidRPr="00D868ED">
        <w:rPr>
          <w:rFonts w:ascii="Times New Roman" w:hAnsi="Times New Roman"/>
          <w:kern w:val="0"/>
          <w14:ligatures w14:val="none"/>
        </w:rPr>
        <w:t xml:space="preserve"> and </w:t>
      </w:r>
      <m:oMath>
        <m:sSub>
          <m:sSubPr>
            <m:ctrlPr>
              <w:rPr>
                <w:rFonts w:ascii="Cambria Math" w:hAnsi="Cambria Math"/>
                <w:kern w:val="0"/>
                <w14:ligatures w14:val="none"/>
              </w:rPr>
            </m:ctrlPr>
          </m:sSubPr>
          <m:e>
            <m:r>
              <w:rPr>
                <w:rFonts w:ascii="Cambria Math" w:hAnsi="Cambria Math"/>
                <w:kern w:val="0"/>
                <w14:ligatures w14:val="none"/>
              </w:rPr>
              <m:t>ν</m:t>
            </m:r>
          </m:e>
          <m:sub>
            <m:r>
              <w:rPr>
                <w:rFonts w:ascii="Cambria Math" w:hAnsi="Cambria Math"/>
                <w:kern w:val="0"/>
                <w14:ligatures w14:val="none"/>
              </w:rPr>
              <m:t>j</m:t>
            </m:r>
          </m:sub>
        </m:sSub>
      </m:oMath>
      <w:r w:rsidRPr="00D868ED">
        <w:rPr>
          <w:rFonts w:ascii="Times New Roman" w:hAnsi="Times New Roman"/>
          <w:kern w:val="0"/>
          <w14:ligatures w14:val="none"/>
        </w:rPr>
        <w:t xml:space="preserve"> absorb time-invariant exporter and importer characteristics. This specification is closer to the structural gravity framework, as it controls for unobserved heterogeneity related to market size, openness, and general equilibrium effects. The model is estimated using heteroskedasticity-robust standard errors.</w:t>
      </w:r>
    </w:p>
    <w:p w14:paraId="550915C5" w14:textId="77777777" w:rsidR="00E066AC" w:rsidRPr="00D868ED" w:rsidRDefault="00E066AC" w:rsidP="00CE5C32">
      <w:pPr>
        <w:bidi w:val="0"/>
        <w:spacing w:after="120" w:line="288" w:lineRule="auto"/>
        <w:jc w:val="both"/>
        <w:rPr>
          <w:rFonts w:ascii="Times New Roman" w:hAnsi="Times New Roman"/>
          <w:kern w:val="0"/>
          <w14:ligatures w14:val="none"/>
        </w:rPr>
      </w:pPr>
      <w:r w:rsidRPr="00D868ED">
        <w:rPr>
          <w:rFonts w:ascii="Times New Roman" w:hAnsi="Times New Roman"/>
          <w:kern w:val="0"/>
          <w14:ligatures w14:val="none"/>
        </w:rPr>
        <w:t>While these specifications improve consistency with theory, the estimated coefficients should be interpreted as conditional associations rather than strictly causal effects, since institutional participation may be correlated with broader reform processes and trade policies.</w:t>
      </w:r>
    </w:p>
    <w:p w14:paraId="688FAA3A" w14:textId="706F731B" w:rsidR="005A7675" w:rsidRPr="00D868ED" w:rsidRDefault="005A7675" w:rsidP="00CE5C32">
      <w:pPr>
        <w:bidi w:val="0"/>
        <w:spacing w:after="120" w:line="288" w:lineRule="auto"/>
        <w:rPr>
          <w:rFonts w:asciiTheme="majorBidi" w:hAnsiTheme="majorBidi" w:cstheme="majorBidi"/>
          <w:b/>
          <w:bCs/>
        </w:rPr>
      </w:pPr>
      <w:r w:rsidRPr="00D868ED">
        <w:rPr>
          <w:rFonts w:asciiTheme="majorBidi" w:hAnsiTheme="majorBidi" w:cstheme="majorBidi"/>
          <w:b/>
          <w:bCs/>
        </w:rPr>
        <w:t>4.3 Fixed-effects gravity and double-demeaning valid</w:t>
      </w:r>
      <w:bookmarkStart w:id="19" w:name="Xc13d6a25b91475a714d01c500e8f11bba925357"/>
      <w:bookmarkEnd w:id="18"/>
      <w:r w:rsidRPr="00D868ED">
        <w:rPr>
          <w:rFonts w:asciiTheme="majorBidi" w:hAnsiTheme="majorBidi" w:cstheme="majorBidi"/>
          <w:b/>
          <w:bCs/>
        </w:rPr>
        <w:t>ation</w:t>
      </w:r>
    </w:p>
    <w:p w14:paraId="2397049B" w14:textId="77777777" w:rsidR="006B515F" w:rsidRPr="00D868ED" w:rsidRDefault="006B515F" w:rsidP="00CE5C32">
      <w:pPr>
        <w:bidi w:val="0"/>
        <w:spacing w:after="120" w:line="288" w:lineRule="auto"/>
        <w:jc w:val="both"/>
        <w:rPr>
          <w:rFonts w:ascii="Times New Roman" w:hAnsi="Times New Roman"/>
          <w:kern w:val="0"/>
          <w14:ligatures w14:val="none"/>
        </w:rPr>
      </w:pPr>
      <w:r w:rsidRPr="00D868ED">
        <w:rPr>
          <w:rFonts w:ascii="Times New Roman" w:hAnsi="Times New Roman"/>
          <w:kern w:val="0"/>
          <w14:ligatures w14:val="none"/>
        </w:rPr>
        <w:t>To ensure that the fixed-effects results are not driven by implementation details, the analysis is validated using a manual double-demeaning transformation. This procedure provides a transparent check on whether the estimated coefficients are identified from within-sample variation after removing the main exporter and importer components captured by the fixed-effects specification.</w:t>
      </w:r>
    </w:p>
    <w:p w14:paraId="042C8CE3" w14:textId="373912E7" w:rsidR="00E066AC" w:rsidRPr="00D868ED" w:rsidRDefault="00E066AC" w:rsidP="00CE5C32">
      <w:pPr>
        <w:bidi w:val="0"/>
        <w:spacing w:after="120" w:line="288" w:lineRule="auto"/>
        <w:jc w:val="both"/>
        <w:rPr>
          <w:rFonts w:ascii="Times New Roman" w:hAnsi="Times New Roman"/>
          <w:kern w:val="0"/>
          <w14:ligatures w14:val="none"/>
        </w:rPr>
      </w:pPr>
      <w:r w:rsidRPr="00D868ED">
        <w:rPr>
          <w:rFonts w:ascii="Times New Roman" w:hAnsi="Times New Roman"/>
          <w:kern w:val="0"/>
          <w14:ligatures w14:val="none"/>
        </w:rPr>
        <w:t xml:space="preserve">For any variable </w:t>
      </w:r>
      <m:oMath>
        <m:sSub>
          <m:sSubPr>
            <m:ctrlPr>
              <w:rPr>
                <w:rFonts w:ascii="Cambria Math" w:hAnsi="Cambria Math"/>
                <w:kern w:val="0"/>
                <w14:ligatures w14:val="none"/>
              </w:rPr>
            </m:ctrlPr>
          </m:sSubPr>
          <m:e>
            <m:r>
              <w:rPr>
                <w:rFonts w:ascii="Cambria Math" w:hAnsi="Cambria Math"/>
                <w:kern w:val="0"/>
                <w14:ligatures w14:val="none"/>
              </w:rPr>
              <m:t>z</m:t>
            </m:r>
          </m:e>
          <m:sub>
            <m:r>
              <w:rPr>
                <w:rFonts w:ascii="Cambria Math" w:hAnsi="Cambria Math"/>
                <w:kern w:val="0"/>
                <w14:ligatures w14:val="none"/>
              </w:rPr>
              <m:t>ijt</m:t>
            </m:r>
          </m:sub>
        </m:sSub>
      </m:oMath>
      <w:r w:rsidRPr="00D868ED">
        <w:rPr>
          <w:rFonts w:ascii="Times New Roman" w:hAnsi="Times New Roman"/>
          <w:kern w:val="0"/>
          <w14:ligatures w14:val="none"/>
        </w:rPr>
        <w:t>, the transformed value is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921"/>
      </w:tblGrid>
      <w:tr w:rsidR="0051499F" w:rsidRPr="00D868ED" w14:paraId="09D63B50" w14:textId="77777777" w:rsidTr="00162214">
        <w:tc>
          <w:tcPr>
            <w:tcW w:w="8095" w:type="dxa"/>
            <w:vAlign w:val="center"/>
          </w:tcPr>
          <w:p w14:paraId="0518074E" w14:textId="582DC5A6" w:rsidR="0051499F" w:rsidRPr="00D868ED" w:rsidRDefault="009E1D22" w:rsidP="00CE5C32">
            <w:pPr>
              <w:bidi w:val="0"/>
              <w:spacing w:before="120" w:after="120"/>
              <w:jc w:val="center"/>
              <w:rPr>
                <w:rFonts w:ascii="Times New Roman" w:hAnsi="Times New Roman"/>
                <w:kern w:val="0"/>
                <w14:ligatures w14:val="none"/>
              </w:rPr>
            </w:pPr>
            <m:oMathPara>
              <m:oMath>
                <m:sSub>
                  <m:sSubPr>
                    <m:ctrlPr>
                      <w:rPr>
                        <w:rFonts w:ascii="Cambria Math" w:hAnsi="Cambria Math"/>
                        <w:kern w:val="0"/>
                        <w14:ligatures w14:val="none"/>
                      </w:rPr>
                    </m:ctrlPr>
                  </m:sSubPr>
                  <m:e>
                    <m:acc>
                      <m:accPr>
                        <m:chr m:val="̃"/>
                        <m:ctrlPr>
                          <w:rPr>
                            <w:rFonts w:ascii="Cambria Math" w:hAnsi="Cambria Math"/>
                            <w:kern w:val="0"/>
                            <w14:ligatures w14:val="none"/>
                          </w:rPr>
                        </m:ctrlPr>
                      </m:accPr>
                      <m:e>
                        <m:r>
                          <w:rPr>
                            <w:rFonts w:ascii="Cambria Math" w:hAnsi="Cambria Math"/>
                            <w:kern w:val="0"/>
                            <w14:ligatures w14:val="none"/>
                          </w:rPr>
                          <m:t>z</m:t>
                        </m:r>
                      </m:e>
                    </m:acc>
                  </m:e>
                  <m:sub>
                    <m:r>
                      <w:rPr>
                        <w:rFonts w:ascii="Cambria Math" w:hAnsi="Cambria Math"/>
                        <w:kern w:val="0"/>
                        <w14:ligatures w14:val="none"/>
                      </w:rPr>
                      <m:t>ijt</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z</m:t>
                    </m:r>
                  </m:e>
                  <m:sub>
                    <m:r>
                      <w:rPr>
                        <w:rFonts w:ascii="Cambria Math" w:hAnsi="Cambria Math"/>
                        <w:kern w:val="0"/>
                        <w14:ligatures w14:val="none"/>
                      </w:rPr>
                      <m:t>ijt</m:t>
                    </m:r>
                  </m:sub>
                </m:sSub>
                <m:r>
                  <m:rPr>
                    <m:sty m:val="p"/>
                  </m:rPr>
                  <w:rPr>
                    <w:rFonts w:ascii="Cambria Math" w:hAnsi="Cambria Math"/>
                    <w:kern w:val="0"/>
                    <w14:ligatures w14:val="none"/>
                  </w:rPr>
                  <m:t>-</m:t>
                </m:r>
                <m:sSub>
                  <m:sSubPr>
                    <m:ctrlPr>
                      <w:rPr>
                        <w:rFonts w:ascii="Cambria Math" w:hAnsi="Cambria Math"/>
                        <w:kern w:val="0"/>
                        <w14:ligatures w14:val="none"/>
                      </w:rPr>
                    </m:ctrlPr>
                  </m:sSubPr>
                  <m:e>
                    <m:acc>
                      <m:accPr>
                        <m:chr m:val="‾"/>
                        <m:ctrlPr>
                          <w:rPr>
                            <w:rFonts w:ascii="Cambria Math" w:hAnsi="Cambria Math"/>
                            <w:kern w:val="0"/>
                            <w14:ligatures w14:val="none"/>
                          </w:rPr>
                        </m:ctrlPr>
                      </m:accPr>
                      <m:e>
                        <m:r>
                          <w:rPr>
                            <w:rFonts w:ascii="Cambria Math" w:hAnsi="Cambria Math"/>
                            <w:kern w:val="0"/>
                            <w14:ligatures w14:val="none"/>
                          </w:rPr>
                          <m:t>z</m:t>
                        </m:r>
                      </m:e>
                    </m:acc>
                  </m:e>
                  <m:sub>
                    <m:r>
                      <w:rPr>
                        <w:rFonts w:ascii="Cambria Math" w:hAnsi="Cambria Math"/>
                        <w:kern w:val="0"/>
                        <w14:ligatures w14:val="none"/>
                      </w:rPr>
                      <m:t>i</m:t>
                    </m:r>
                    <m:r>
                      <m:rPr>
                        <m:sty m:val="p"/>
                      </m:rPr>
                      <w:rPr>
                        <w:rFonts w:ascii="Cambria Math" w:hAnsi="Cambria Math"/>
                        <w:kern w:val="0"/>
                        <w14:ligatures w14:val="none"/>
                      </w:rPr>
                      <m:t>⋅</m:t>
                    </m:r>
                    <m:r>
                      <w:rPr>
                        <w:rFonts w:ascii="Cambria Math" w:hAnsi="Cambria Math"/>
                        <w:kern w:val="0"/>
                        <w14:ligatures w14:val="none"/>
                      </w:rPr>
                      <m:t>t</m:t>
                    </m:r>
                  </m:sub>
                </m:sSub>
                <m:r>
                  <m:rPr>
                    <m:sty m:val="p"/>
                  </m:rPr>
                  <w:rPr>
                    <w:rFonts w:ascii="Cambria Math" w:hAnsi="Cambria Math"/>
                    <w:kern w:val="0"/>
                    <w14:ligatures w14:val="none"/>
                  </w:rPr>
                  <m:t>-</m:t>
                </m:r>
                <m:sSub>
                  <m:sSubPr>
                    <m:ctrlPr>
                      <w:rPr>
                        <w:rFonts w:ascii="Cambria Math" w:hAnsi="Cambria Math"/>
                        <w:kern w:val="0"/>
                        <w14:ligatures w14:val="none"/>
                      </w:rPr>
                    </m:ctrlPr>
                  </m:sSubPr>
                  <m:e>
                    <m:acc>
                      <m:accPr>
                        <m:chr m:val="‾"/>
                        <m:ctrlPr>
                          <w:rPr>
                            <w:rFonts w:ascii="Cambria Math" w:hAnsi="Cambria Math"/>
                            <w:kern w:val="0"/>
                            <w14:ligatures w14:val="none"/>
                          </w:rPr>
                        </m:ctrlPr>
                      </m:accPr>
                      <m:e>
                        <m:r>
                          <w:rPr>
                            <w:rFonts w:ascii="Cambria Math" w:hAnsi="Cambria Math"/>
                            <w:kern w:val="0"/>
                            <w14:ligatures w14:val="none"/>
                          </w:rPr>
                          <m:t>z</m:t>
                        </m:r>
                      </m:e>
                    </m:acc>
                  </m:e>
                  <m:sub>
                    <m:r>
                      <m:rPr>
                        <m:sty m:val="p"/>
                      </m:rPr>
                      <w:rPr>
                        <w:rFonts w:ascii="Cambria Math" w:hAnsi="Cambria Math"/>
                        <w:kern w:val="0"/>
                        <w14:ligatures w14:val="none"/>
                      </w:rPr>
                      <m:t>⋅</m:t>
                    </m:r>
                    <m:r>
                      <w:rPr>
                        <w:rFonts w:ascii="Cambria Math" w:hAnsi="Cambria Math"/>
                        <w:kern w:val="0"/>
                        <w14:ligatures w14:val="none"/>
                      </w:rPr>
                      <m:t>jt</m:t>
                    </m:r>
                  </m:sub>
                </m:sSub>
                <m:r>
                  <m:rPr>
                    <m:sty m:val="p"/>
                  </m:rPr>
                  <w:rPr>
                    <w:rFonts w:ascii="Cambria Math" w:hAnsi="Cambria Math"/>
                    <w:kern w:val="0"/>
                    <w14:ligatures w14:val="none"/>
                  </w:rPr>
                  <m:t>+</m:t>
                </m:r>
                <m:acc>
                  <m:accPr>
                    <m:chr m:val="‾"/>
                    <m:ctrlPr>
                      <w:rPr>
                        <w:rFonts w:ascii="Cambria Math" w:hAnsi="Cambria Math"/>
                        <w:kern w:val="0"/>
                        <w14:ligatures w14:val="none"/>
                      </w:rPr>
                    </m:ctrlPr>
                  </m:accPr>
                  <m:e>
                    <m:r>
                      <w:rPr>
                        <w:rFonts w:ascii="Cambria Math" w:hAnsi="Cambria Math"/>
                        <w:kern w:val="0"/>
                        <w14:ligatures w14:val="none"/>
                      </w:rPr>
                      <m:t>z</m:t>
                    </m:r>
                  </m:e>
                </m:acc>
              </m:oMath>
            </m:oMathPara>
          </w:p>
        </w:tc>
        <w:tc>
          <w:tcPr>
            <w:tcW w:w="921" w:type="dxa"/>
            <w:vAlign w:val="center"/>
          </w:tcPr>
          <w:p w14:paraId="05DCFCAD" w14:textId="58512F71" w:rsidR="0051499F" w:rsidRPr="00D868ED" w:rsidRDefault="0051499F" w:rsidP="00CE5C32">
            <w:pPr>
              <w:bidi w:val="0"/>
              <w:spacing w:before="120" w:after="120"/>
              <w:jc w:val="center"/>
              <w:rPr>
                <w:rFonts w:asciiTheme="majorBidi" w:hAnsiTheme="majorBidi" w:cstheme="majorBidi"/>
                <w:kern w:val="0"/>
                <w14:ligatures w14:val="none"/>
              </w:rPr>
            </w:pPr>
            <w:r w:rsidRPr="00D868ED">
              <w:rPr>
                <w:rFonts w:asciiTheme="majorBidi" w:hAnsiTheme="majorBidi" w:cstheme="majorBidi"/>
              </w:rPr>
              <w:t>(</w:t>
            </w:r>
            <w:r w:rsidRPr="00D868ED">
              <w:rPr>
                <w:rFonts w:asciiTheme="majorBidi" w:hAnsiTheme="majorBidi" w:cstheme="majorBidi"/>
              </w:rPr>
              <w:fldChar w:fldCharType="begin"/>
            </w:r>
            <w:r w:rsidRPr="00D868ED">
              <w:rPr>
                <w:rFonts w:asciiTheme="majorBidi" w:hAnsiTheme="majorBidi" w:cstheme="majorBidi"/>
              </w:rPr>
              <w:instrText xml:space="preserve"> SEQ Equation \* ARABIC </w:instrText>
            </w:r>
            <w:r w:rsidRPr="00D868ED">
              <w:rPr>
                <w:rFonts w:asciiTheme="majorBidi" w:hAnsiTheme="majorBidi" w:cstheme="majorBidi"/>
              </w:rPr>
              <w:fldChar w:fldCharType="separate"/>
            </w:r>
            <w:r w:rsidR="00EC28FA" w:rsidRPr="00D868ED">
              <w:rPr>
                <w:rFonts w:asciiTheme="majorBidi" w:hAnsiTheme="majorBidi" w:cstheme="majorBidi"/>
                <w:noProof/>
              </w:rPr>
              <w:t>4</w:t>
            </w:r>
            <w:r w:rsidRPr="00D868ED">
              <w:rPr>
                <w:rFonts w:asciiTheme="majorBidi" w:hAnsiTheme="majorBidi" w:cstheme="majorBidi"/>
              </w:rPr>
              <w:fldChar w:fldCharType="end"/>
            </w:r>
            <w:r w:rsidRPr="00D868ED">
              <w:rPr>
                <w:rFonts w:asciiTheme="majorBidi" w:hAnsiTheme="majorBidi" w:cstheme="majorBidi"/>
              </w:rPr>
              <w:t>)</w:t>
            </w:r>
          </w:p>
        </w:tc>
      </w:tr>
    </w:tbl>
    <w:p w14:paraId="58E91BF3" w14:textId="77777777" w:rsidR="007B0ED0" w:rsidRPr="00D868ED" w:rsidRDefault="007B0ED0" w:rsidP="00CE5C32">
      <w:pPr>
        <w:bidi w:val="0"/>
        <w:spacing w:after="120" w:line="288" w:lineRule="auto"/>
        <w:jc w:val="both"/>
        <w:rPr>
          <w:rFonts w:ascii="Times New Roman" w:hAnsi="Times New Roman"/>
          <w:kern w:val="0"/>
          <w14:ligatures w14:val="none"/>
        </w:rPr>
      </w:pPr>
    </w:p>
    <w:p w14:paraId="735038DB" w14:textId="00141410" w:rsidR="007B0ED0" w:rsidRPr="00D868ED" w:rsidRDefault="00191BC5" w:rsidP="00CE5C32">
      <w:pPr>
        <w:bidi w:val="0"/>
        <w:spacing w:after="120" w:line="288" w:lineRule="auto"/>
        <w:jc w:val="both"/>
        <w:rPr>
          <w:rFonts w:ascii="Times New Roman" w:hAnsi="Times New Roman"/>
          <w:kern w:val="0"/>
          <w14:ligatures w14:val="none"/>
        </w:rPr>
      </w:pPr>
      <w:r w:rsidRPr="00D868ED">
        <w:rPr>
          <w:rFonts w:ascii="Times New Roman" w:hAnsi="Times New Roman"/>
          <w:kern w:val="0"/>
          <w14:ligatures w14:val="none"/>
        </w:rPr>
        <w:t xml:space="preserve">where </w:t>
      </w:r>
      <m:oMath>
        <m:sSub>
          <m:sSubPr>
            <m:ctrlPr>
              <w:rPr>
                <w:rFonts w:ascii="Cambria Math" w:hAnsi="Cambria Math"/>
                <w:kern w:val="0"/>
                <w14:ligatures w14:val="none"/>
              </w:rPr>
            </m:ctrlPr>
          </m:sSubPr>
          <m:e>
            <m:acc>
              <m:accPr>
                <m:chr m:val="̃"/>
                <m:ctrlPr>
                  <w:rPr>
                    <w:rFonts w:ascii="Cambria Math" w:hAnsi="Cambria Math"/>
                    <w:kern w:val="0"/>
                    <w14:ligatures w14:val="none"/>
                  </w:rPr>
                </m:ctrlPr>
              </m:accPr>
              <m:e>
                <m:r>
                  <w:rPr>
                    <w:rFonts w:ascii="Cambria Math" w:hAnsi="Cambria Math"/>
                    <w:kern w:val="0"/>
                    <w14:ligatures w14:val="none"/>
                  </w:rPr>
                  <m:t>z</m:t>
                </m:r>
              </m:e>
            </m:acc>
          </m:e>
          <m:sub>
            <m:r>
              <w:rPr>
                <w:rFonts w:ascii="Cambria Math" w:hAnsi="Cambria Math"/>
                <w:kern w:val="0"/>
                <w14:ligatures w14:val="none"/>
              </w:rPr>
              <m:t>i</m:t>
            </m:r>
          </m:sub>
        </m:sSub>
        <m:r>
          <w:rPr>
            <w:rFonts w:ascii="Cambria Math" w:hAnsi="Cambria Math"/>
            <w:kern w:val="0"/>
            <w14:ligatures w14:val="none"/>
          </w:rPr>
          <m:t xml:space="preserve"> </m:t>
        </m:r>
      </m:oMath>
      <w:r w:rsidRPr="00D868ED">
        <w:rPr>
          <w:rFonts w:ascii="Times New Roman" w:hAnsi="Times New Roman"/>
          <w:kern w:val="0"/>
          <w14:ligatures w14:val="none"/>
        </w:rPr>
        <w:t xml:space="preserve">is the exporter-specific mean, </w:t>
      </w:r>
      <m:oMath>
        <m:sSub>
          <m:sSubPr>
            <m:ctrlPr>
              <w:rPr>
                <w:rFonts w:ascii="Cambria Math" w:hAnsi="Cambria Math"/>
                <w:kern w:val="0"/>
                <w14:ligatures w14:val="none"/>
              </w:rPr>
            </m:ctrlPr>
          </m:sSubPr>
          <m:e>
            <m:acc>
              <m:accPr>
                <m:chr m:val="‾"/>
                <m:ctrlPr>
                  <w:rPr>
                    <w:rFonts w:ascii="Cambria Math" w:hAnsi="Cambria Math"/>
                    <w:kern w:val="0"/>
                    <w14:ligatures w14:val="none"/>
                  </w:rPr>
                </m:ctrlPr>
              </m:accPr>
              <m:e>
                <m:r>
                  <w:rPr>
                    <w:rFonts w:ascii="Cambria Math" w:hAnsi="Cambria Math"/>
                    <w:kern w:val="0"/>
                    <w14:ligatures w14:val="none"/>
                  </w:rPr>
                  <m:t>z</m:t>
                </m:r>
              </m:e>
            </m:acc>
          </m:e>
          <m:sub>
            <m:r>
              <m:rPr>
                <m:sty m:val="p"/>
              </m:rPr>
              <w:rPr>
                <w:rFonts w:ascii="Cambria Math" w:hAnsi="Cambria Math"/>
                <w:kern w:val="0"/>
                <w14:ligatures w14:val="none"/>
              </w:rPr>
              <m:t>⋅</m:t>
            </m:r>
            <m:r>
              <w:rPr>
                <w:rFonts w:ascii="Cambria Math" w:hAnsi="Cambria Math"/>
                <w:kern w:val="0"/>
                <w14:ligatures w14:val="none"/>
              </w:rPr>
              <m:t>jt</m:t>
            </m:r>
          </m:sub>
        </m:sSub>
        <m:r>
          <w:rPr>
            <w:rFonts w:ascii="Cambria Math" w:hAnsi="Cambria Math"/>
            <w:kern w:val="0"/>
            <w14:ligatures w14:val="none"/>
          </w:rPr>
          <m:t xml:space="preserve"> </m:t>
        </m:r>
      </m:oMath>
      <w:r w:rsidRPr="00D868ED">
        <w:rPr>
          <w:rFonts w:ascii="Times New Roman" w:hAnsi="Times New Roman"/>
          <w:kern w:val="0"/>
          <w14:ligatures w14:val="none"/>
        </w:rPr>
        <w:t xml:space="preserve">is the importer-specific mean, and </w:t>
      </w:r>
      <m:oMath>
        <m:acc>
          <m:accPr>
            <m:chr m:val="‾"/>
            <m:ctrlPr>
              <w:rPr>
                <w:rFonts w:ascii="Cambria Math" w:hAnsi="Cambria Math"/>
                <w:kern w:val="0"/>
                <w14:ligatures w14:val="none"/>
              </w:rPr>
            </m:ctrlPr>
          </m:accPr>
          <m:e>
            <m:r>
              <w:rPr>
                <w:rFonts w:ascii="Cambria Math" w:hAnsi="Cambria Math"/>
                <w:kern w:val="0"/>
                <w14:ligatures w14:val="none"/>
              </w:rPr>
              <m:t>z</m:t>
            </m:r>
          </m:e>
        </m:acc>
        <m:r>
          <w:rPr>
            <w:rFonts w:ascii="Cambria Math" w:hAnsi="Cambria Math"/>
            <w:kern w:val="0"/>
            <w14:ligatures w14:val="none"/>
          </w:rPr>
          <m:t xml:space="preserve"> </m:t>
        </m:r>
      </m:oMath>
      <w:r w:rsidRPr="00D868ED">
        <w:rPr>
          <w:rFonts w:ascii="Times New Roman" w:hAnsi="Times New Roman"/>
          <w:kern w:val="0"/>
          <w14:ligatures w14:val="none"/>
        </w:rPr>
        <w:t xml:space="preserve">is the overall sample mean.  </w:t>
      </w:r>
      <w:r w:rsidR="007B0ED0" w:rsidRPr="00D868ED">
        <w:rPr>
          <w:rFonts w:ascii="Times New Roman" w:hAnsi="Times New Roman"/>
          <w:kern w:val="0"/>
          <w14:ligatures w14:val="none"/>
        </w:rPr>
        <w:t>Estimating the gravity model using these transformed variables reproduces the within variation captured by the fixed-effects specification. Consistency between the fixed-effects estimation and the manual double-demeaning exercise provides additional confidence that the reported coefficients are not artifacts of software implementation, variable scaling, or mechanical differences in estimation procedure. Rather, the results reflect bilateral variation after controlling for persistent exporter- and importer-specific heterogeneity.</w:t>
      </w:r>
    </w:p>
    <w:p w14:paraId="3AC71B2E" w14:textId="3C3BBB47" w:rsidR="00B04062" w:rsidRPr="00D868ED" w:rsidRDefault="00B04062" w:rsidP="00CE5C32">
      <w:pPr>
        <w:bidi w:val="0"/>
        <w:spacing w:after="120" w:line="288" w:lineRule="auto"/>
        <w:jc w:val="both"/>
        <w:rPr>
          <w:rFonts w:asciiTheme="majorBidi" w:hAnsiTheme="majorBidi" w:cstheme="majorBidi"/>
          <w:b/>
          <w:bCs/>
        </w:rPr>
      </w:pPr>
      <w:r w:rsidRPr="00D868ED">
        <w:rPr>
          <w:rFonts w:asciiTheme="majorBidi" w:hAnsiTheme="majorBidi" w:cstheme="majorBidi"/>
          <w:b/>
          <w:bCs/>
        </w:rPr>
        <w:t>4.4 Normalized Gravity Specification</w:t>
      </w:r>
    </w:p>
    <w:p w14:paraId="03690CCA" w14:textId="77777777" w:rsidR="00E066AC" w:rsidRPr="00D868ED" w:rsidRDefault="00E066AC" w:rsidP="00CE5C32">
      <w:pPr>
        <w:bidi w:val="0"/>
        <w:spacing w:after="120" w:line="288" w:lineRule="auto"/>
        <w:rPr>
          <w:rFonts w:ascii="Times New Roman" w:hAnsi="Times New Roman"/>
          <w:kern w:val="0"/>
          <w14:ligatures w14:val="none"/>
        </w:rPr>
      </w:pPr>
      <w:bookmarkStart w:id="20" w:name="normalized-gravity-specification"/>
      <w:bookmarkEnd w:id="19"/>
      <w:r w:rsidRPr="00D868ED">
        <w:rPr>
          <w:rFonts w:ascii="Times New Roman" w:hAnsi="Times New Roman"/>
          <w:kern w:val="0"/>
          <w14:ligatures w14:val="none"/>
        </w:rPr>
        <w:t>In addition to the standard gravity model, the analysis employs a normalized specification in which bilateral trade is scaled by the product of exporter and importer GDP: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921"/>
      </w:tblGrid>
      <w:tr w:rsidR="0051499F" w:rsidRPr="00D868ED" w14:paraId="72C4A105" w14:textId="77777777" w:rsidTr="00162214">
        <w:tc>
          <w:tcPr>
            <w:tcW w:w="8095" w:type="dxa"/>
            <w:vAlign w:val="center"/>
          </w:tcPr>
          <w:p w14:paraId="5A0499D9" w14:textId="26CEDC91" w:rsidR="0051499F" w:rsidRPr="00D868ED" w:rsidRDefault="007B5BCE" w:rsidP="00CE5C32">
            <w:pPr>
              <w:bidi w:val="0"/>
              <w:spacing w:before="120" w:after="120"/>
              <w:jc w:val="center"/>
              <w:rPr>
                <w:rFonts w:ascii="Times New Roman" w:hAnsi="Times New Roman"/>
                <w:kern w:val="0"/>
                <w14:ligatures w14:val="none"/>
              </w:rPr>
            </w:pPr>
            <m:oMathPara>
              <m:oMath>
                <m:r>
                  <w:rPr>
                    <w:rFonts w:ascii="Cambria Math" w:hAnsi="Cambria Math"/>
                    <w:kern w:val="0"/>
                    <w14:ligatures w14:val="none"/>
                  </w:rPr>
                  <m:t>lflow</m:t>
                </m:r>
                <m:r>
                  <m:rPr>
                    <m:sty m:val="p"/>
                  </m:rPr>
                  <w:rPr>
                    <w:rFonts w:ascii="Cambria Math" w:hAnsi="Cambria Math"/>
                    <w:kern w:val="0"/>
                    <w14:ligatures w14:val="none"/>
                  </w:rPr>
                  <m:t>_</m:t>
                </m:r>
                <m:r>
                  <w:rPr>
                    <w:rFonts w:ascii="Cambria Math" w:hAnsi="Cambria Math"/>
                    <w:kern w:val="0"/>
                    <w14:ligatures w14:val="none"/>
                  </w:rPr>
                  <m:t>bv</m:t>
                </m:r>
                <m:sSub>
                  <m:sSubPr>
                    <m:ctrlPr>
                      <w:rPr>
                        <w:rFonts w:ascii="Cambria Math" w:hAnsi="Cambria Math"/>
                        <w:kern w:val="0"/>
                        <w14:ligatures w14:val="none"/>
                      </w:rPr>
                    </m:ctrlPr>
                  </m:sSubPr>
                  <m:e>
                    <m:r>
                      <w:rPr>
                        <w:rFonts w:ascii="Cambria Math" w:hAnsi="Cambria Math"/>
                        <w:kern w:val="0"/>
                        <w14:ligatures w14:val="none"/>
                      </w:rPr>
                      <m:t>u</m:t>
                    </m:r>
                  </m:e>
                  <m:sub>
                    <m:r>
                      <w:rPr>
                        <w:rFonts w:ascii="Cambria Math" w:hAnsi="Cambria Math"/>
                        <w:kern w:val="0"/>
                        <w14:ligatures w14:val="none"/>
                      </w:rPr>
                      <m:t>ijt</m:t>
                    </m:r>
                  </m:sub>
                </m:sSub>
                <m:r>
                  <m:rPr>
                    <m:sty m:val="p"/>
                  </m:rPr>
                  <w:rPr>
                    <w:rFonts w:ascii="Cambria Math" w:hAnsi="Cambria Math"/>
                    <w:kern w:val="0"/>
                    <w14:ligatures w14:val="none"/>
                  </w:rPr>
                  <m:t>=ln</m:t>
                </m:r>
                <m:d>
                  <m:dPr>
                    <m:ctrlPr>
                      <w:rPr>
                        <w:rFonts w:ascii="Cambria Math" w:hAnsi="Cambria Math"/>
                        <w:kern w:val="0"/>
                        <w14:ligatures w14:val="none"/>
                      </w:rPr>
                    </m:ctrlPr>
                  </m:dPr>
                  <m:e>
                    <m:f>
                      <m:fPr>
                        <m:ctrlPr>
                          <w:rPr>
                            <w:rFonts w:ascii="Cambria Math" w:hAnsi="Cambria Math"/>
                            <w:kern w:val="0"/>
                            <w14:ligatures w14:val="none"/>
                          </w:rPr>
                        </m:ctrlPr>
                      </m:fPr>
                      <m:num>
                        <m:r>
                          <w:rPr>
                            <w:rFonts w:ascii="Cambria Math" w:hAnsi="Cambria Math"/>
                            <w:kern w:val="0"/>
                            <w14:ligatures w14:val="none"/>
                          </w:rPr>
                          <m:t>flo</m:t>
                        </m:r>
                        <m:sSub>
                          <m:sSubPr>
                            <m:ctrlPr>
                              <w:rPr>
                                <w:rFonts w:ascii="Cambria Math" w:hAnsi="Cambria Math"/>
                                <w:kern w:val="0"/>
                                <w14:ligatures w14:val="none"/>
                              </w:rPr>
                            </m:ctrlPr>
                          </m:sSubPr>
                          <m:e>
                            <m:r>
                              <w:rPr>
                                <w:rFonts w:ascii="Cambria Math" w:hAnsi="Cambria Math"/>
                                <w:kern w:val="0"/>
                                <w14:ligatures w14:val="none"/>
                              </w:rPr>
                              <m:t>w</m:t>
                            </m:r>
                          </m:e>
                          <m:sub>
                            <m:r>
                              <w:rPr>
                                <w:rFonts w:ascii="Cambria Math" w:hAnsi="Cambria Math"/>
                                <w:kern w:val="0"/>
                                <w14:ligatures w14:val="none"/>
                              </w:rPr>
                              <m:t>ijt</m:t>
                            </m:r>
                          </m:sub>
                        </m:sSub>
                      </m:num>
                      <m:den>
                        <m:r>
                          <w:rPr>
                            <w:rFonts w:ascii="Cambria Math" w:hAnsi="Cambria Math"/>
                            <w:kern w:val="0"/>
                            <w14:ligatures w14:val="none"/>
                          </w:rPr>
                          <m:t>gd</m:t>
                        </m:r>
                        <m:sSub>
                          <m:sSubPr>
                            <m:ctrlPr>
                              <w:rPr>
                                <w:rFonts w:ascii="Cambria Math" w:hAnsi="Cambria Math"/>
                                <w:kern w:val="0"/>
                                <w14:ligatures w14:val="none"/>
                              </w:rPr>
                            </m:ctrlPr>
                          </m:sSubPr>
                          <m:e>
                            <m:r>
                              <w:rPr>
                                <w:rFonts w:ascii="Cambria Math" w:hAnsi="Cambria Math"/>
                                <w:kern w:val="0"/>
                                <w14:ligatures w14:val="none"/>
                              </w:rPr>
                              <m:t>p</m:t>
                            </m:r>
                          </m:e>
                          <m:sub>
                            <m:r>
                              <w:rPr>
                                <w:rFonts w:ascii="Cambria Math" w:hAnsi="Cambria Math"/>
                                <w:kern w:val="0"/>
                                <w14:ligatures w14:val="none"/>
                              </w:rPr>
                              <m:t>o</m:t>
                            </m:r>
                            <m:r>
                              <m:rPr>
                                <m:sty m:val="p"/>
                              </m:rPr>
                              <w:rPr>
                                <w:rFonts w:ascii="Cambria Math" w:hAnsi="Cambria Math"/>
                                <w:kern w:val="0"/>
                                <w14:ligatures w14:val="none"/>
                              </w:rPr>
                              <m:t>,</m:t>
                            </m:r>
                            <m:r>
                              <w:rPr>
                                <w:rFonts w:ascii="Cambria Math" w:hAnsi="Cambria Math"/>
                                <w:kern w:val="0"/>
                                <w14:ligatures w14:val="none"/>
                              </w:rPr>
                              <m:t>it</m:t>
                            </m:r>
                          </m:sub>
                        </m:sSub>
                        <m:r>
                          <m:rPr>
                            <m:sty m:val="p"/>
                          </m:rPr>
                          <w:rPr>
                            <w:rFonts w:ascii="Cambria Math" w:hAnsi="Cambria Math"/>
                            <w:kern w:val="0"/>
                            <w14:ligatures w14:val="none"/>
                          </w:rPr>
                          <m:t>×</m:t>
                        </m:r>
                        <m:r>
                          <w:rPr>
                            <w:rFonts w:ascii="Cambria Math" w:hAnsi="Cambria Math"/>
                            <w:kern w:val="0"/>
                            <w14:ligatures w14:val="none"/>
                          </w:rPr>
                          <m:t>gd</m:t>
                        </m:r>
                        <m:sSub>
                          <m:sSubPr>
                            <m:ctrlPr>
                              <w:rPr>
                                <w:rFonts w:ascii="Cambria Math" w:hAnsi="Cambria Math"/>
                                <w:kern w:val="0"/>
                                <w14:ligatures w14:val="none"/>
                              </w:rPr>
                            </m:ctrlPr>
                          </m:sSubPr>
                          <m:e>
                            <m:r>
                              <w:rPr>
                                <w:rFonts w:ascii="Cambria Math" w:hAnsi="Cambria Math"/>
                                <w:kern w:val="0"/>
                                <w14:ligatures w14:val="none"/>
                              </w:rPr>
                              <m:t>p</m:t>
                            </m:r>
                          </m:e>
                          <m:sub>
                            <m:r>
                              <w:rPr>
                                <w:rFonts w:ascii="Cambria Math" w:hAnsi="Cambria Math"/>
                                <w:kern w:val="0"/>
                                <w14:ligatures w14:val="none"/>
                              </w:rPr>
                              <m:t>d</m:t>
                            </m:r>
                            <m:r>
                              <m:rPr>
                                <m:sty m:val="p"/>
                              </m:rPr>
                              <w:rPr>
                                <w:rFonts w:ascii="Cambria Math" w:hAnsi="Cambria Math"/>
                                <w:kern w:val="0"/>
                                <w14:ligatures w14:val="none"/>
                              </w:rPr>
                              <m:t>,</m:t>
                            </m:r>
                            <m:r>
                              <w:rPr>
                                <w:rFonts w:ascii="Cambria Math" w:hAnsi="Cambria Math"/>
                                <w:kern w:val="0"/>
                                <w14:ligatures w14:val="none"/>
                              </w:rPr>
                              <m:t>jt</m:t>
                            </m:r>
                          </m:sub>
                        </m:sSub>
                      </m:den>
                    </m:f>
                  </m:e>
                </m:d>
              </m:oMath>
            </m:oMathPara>
          </w:p>
        </w:tc>
        <w:tc>
          <w:tcPr>
            <w:tcW w:w="921" w:type="dxa"/>
            <w:vAlign w:val="center"/>
          </w:tcPr>
          <w:p w14:paraId="7D8F0520" w14:textId="3D2A43D9" w:rsidR="0051499F" w:rsidRPr="00D868ED" w:rsidRDefault="0051499F" w:rsidP="00CE5C32">
            <w:pPr>
              <w:bidi w:val="0"/>
              <w:spacing w:before="120" w:after="120"/>
              <w:jc w:val="center"/>
              <w:rPr>
                <w:rFonts w:asciiTheme="majorBidi" w:hAnsiTheme="majorBidi" w:cstheme="majorBidi"/>
                <w:kern w:val="0"/>
                <w14:ligatures w14:val="none"/>
              </w:rPr>
            </w:pPr>
            <w:r w:rsidRPr="00D868ED">
              <w:rPr>
                <w:rFonts w:asciiTheme="majorBidi" w:hAnsiTheme="majorBidi" w:cstheme="majorBidi"/>
              </w:rPr>
              <w:t>(</w:t>
            </w:r>
            <w:r w:rsidRPr="00D868ED">
              <w:rPr>
                <w:rFonts w:asciiTheme="majorBidi" w:hAnsiTheme="majorBidi" w:cstheme="majorBidi"/>
              </w:rPr>
              <w:fldChar w:fldCharType="begin"/>
            </w:r>
            <w:r w:rsidRPr="00D868ED">
              <w:rPr>
                <w:rFonts w:asciiTheme="majorBidi" w:hAnsiTheme="majorBidi" w:cstheme="majorBidi"/>
              </w:rPr>
              <w:instrText xml:space="preserve"> SEQ Equation \* ARABIC </w:instrText>
            </w:r>
            <w:r w:rsidRPr="00D868ED">
              <w:rPr>
                <w:rFonts w:asciiTheme="majorBidi" w:hAnsiTheme="majorBidi" w:cstheme="majorBidi"/>
              </w:rPr>
              <w:fldChar w:fldCharType="separate"/>
            </w:r>
            <w:r w:rsidR="00EC28FA" w:rsidRPr="00D868ED">
              <w:rPr>
                <w:rFonts w:asciiTheme="majorBidi" w:hAnsiTheme="majorBidi" w:cstheme="majorBidi"/>
                <w:noProof/>
              </w:rPr>
              <w:t>5</w:t>
            </w:r>
            <w:r w:rsidRPr="00D868ED">
              <w:rPr>
                <w:rFonts w:asciiTheme="majorBidi" w:hAnsiTheme="majorBidi" w:cstheme="majorBidi"/>
              </w:rPr>
              <w:fldChar w:fldCharType="end"/>
            </w:r>
            <w:r w:rsidRPr="00D868ED">
              <w:rPr>
                <w:rFonts w:asciiTheme="majorBidi" w:hAnsiTheme="majorBidi" w:cstheme="majorBidi"/>
              </w:rPr>
              <w:t>)</w:t>
            </w:r>
          </w:p>
        </w:tc>
      </w:tr>
    </w:tbl>
    <w:p w14:paraId="0BDBD77C" w14:textId="77777777" w:rsidR="00E066AC" w:rsidRPr="00D868ED" w:rsidRDefault="00E066AC" w:rsidP="00CE5C32">
      <w:pPr>
        <w:bidi w:val="0"/>
        <w:spacing w:after="120" w:line="288" w:lineRule="auto"/>
        <w:rPr>
          <w:rFonts w:ascii="Times New Roman" w:hAnsi="Times New Roman"/>
          <w:kern w:val="0"/>
          <w14:ligatures w14:val="none"/>
        </w:rPr>
      </w:pPr>
      <w:r w:rsidRPr="00D868ED">
        <w:rPr>
          <w:rFonts w:ascii="Times New Roman" w:hAnsi="Times New Roman"/>
          <w:kern w:val="0"/>
          <w14:ligatures w14:val="none"/>
        </w:rPr>
        <w:t>The corresponding estimating equation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921"/>
      </w:tblGrid>
      <w:tr w:rsidR="0051499F" w:rsidRPr="00D868ED" w14:paraId="3B37097E" w14:textId="77777777" w:rsidTr="00162214">
        <w:tc>
          <w:tcPr>
            <w:tcW w:w="8095" w:type="dxa"/>
            <w:vAlign w:val="center"/>
          </w:tcPr>
          <w:p w14:paraId="0840C0F0" w14:textId="36E483BD" w:rsidR="0051499F" w:rsidRPr="00D868ED" w:rsidRDefault="00A8189C" w:rsidP="00CE5C32">
            <w:pPr>
              <w:bidi w:val="0"/>
              <w:spacing w:before="120" w:after="120"/>
              <w:jc w:val="center"/>
              <w:rPr>
                <w:rFonts w:ascii="Times New Roman" w:hAnsi="Times New Roman"/>
                <w:kern w:val="0"/>
                <w14:ligatures w14:val="none"/>
              </w:rPr>
            </w:pPr>
            <m:oMathPara>
              <m:oMath>
                <m:r>
                  <w:rPr>
                    <w:rFonts w:ascii="Cambria Math" w:hAnsi="Cambria Math"/>
                    <w:kern w:val="0"/>
                    <w14:ligatures w14:val="none"/>
                  </w:rPr>
                  <m:t>lflow</m:t>
                </m:r>
                <m:r>
                  <m:rPr>
                    <m:sty m:val="p"/>
                  </m:rPr>
                  <w:rPr>
                    <w:rFonts w:ascii="Cambria Math" w:hAnsi="Cambria Math"/>
                    <w:kern w:val="0"/>
                    <w14:ligatures w14:val="none"/>
                  </w:rPr>
                  <m:t>_</m:t>
                </m:r>
                <m:r>
                  <w:rPr>
                    <w:rFonts w:ascii="Cambria Math" w:hAnsi="Cambria Math"/>
                    <w:kern w:val="0"/>
                    <w14:ligatures w14:val="none"/>
                  </w:rPr>
                  <m:t>bv</m:t>
                </m:r>
                <m:sSub>
                  <m:sSubPr>
                    <m:ctrlPr>
                      <w:rPr>
                        <w:rFonts w:ascii="Cambria Math" w:hAnsi="Cambria Math"/>
                        <w:kern w:val="0"/>
                        <w14:ligatures w14:val="none"/>
                      </w:rPr>
                    </m:ctrlPr>
                  </m:sSubPr>
                  <m:e>
                    <m:r>
                      <w:rPr>
                        <w:rFonts w:ascii="Cambria Math" w:hAnsi="Cambria Math"/>
                        <w:kern w:val="0"/>
                        <w14:ligatures w14:val="none"/>
                      </w:rPr>
                      <m:t>u</m:t>
                    </m:r>
                  </m:e>
                  <m:sub>
                    <m:r>
                      <w:rPr>
                        <w:rFonts w:ascii="Cambria Math" w:hAnsi="Cambria Math"/>
                        <w:kern w:val="0"/>
                        <w14:ligatures w14:val="none"/>
                      </w:rPr>
                      <m:t>ijt</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γ</m:t>
                    </m:r>
                  </m:e>
                  <m:sub>
                    <m:r>
                      <w:rPr>
                        <w:rFonts w:ascii="Cambria Math" w:hAnsi="Cambria Math"/>
                        <w:kern w:val="0"/>
                        <w14:ligatures w14:val="none"/>
                      </w:rPr>
                      <m:t>0</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γ</m:t>
                    </m:r>
                  </m:e>
                  <m:sub>
                    <m:r>
                      <w:rPr>
                        <w:rFonts w:ascii="Cambria Math" w:hAnsi="Cambria Math"/>
                        <w:kern w:val="0"/>
                        <w14:ligatures w14:val="none"/>
                      </w:rPr>
                      <m:t>1</m:t>
                    </m:r>
                  </m:sub>
                </m:sSub>
                <m:r>
                  <m:rPr>
                    <m:sty m:val="p"/>
                  </m:rPr>
                  <w:rPr>
                    <w:rFonts w:ascii="Cambria Math" w:hAnsi="Cambria Math"/>
                    <w:kern w:val="0"/>
                    <w14:ligatures w14:val="none"/>
                  </w:rPr>
                  <m:t>ln(</m:t>
                </m:r>
                <m:r>
                  <w:rPr>
                    <w:rFonts w:ascii="Cambria Math" w:hAnsi="Cambria Math"/>
                    <w:kern w:val="0"/>
                    <w14:ligatures w14:val="none"/>
                  </w:rPr>
                  <m:t>dist</m:t>
                </m:r>
                <m:sSub>
                  <m:sSubPr>
                    <m:ctrlPr>
                      <w:rPr>
                        <w:rFonts w:ascii="Cambria Math" w:hAnsi="Cambria Math"/>
                        <w:kern w:val="0"/>
                        <w14:ligatures w14:val="none"/>
                      </w:rPr>
                    </m:ctrlPr>
                  </m:sSubPr>
                  <m:e>
                    <m:r>
                      <w:rPr>
                        <w:rFonts w:ascii="Cambria Math" w:hAnsi="Cambria Math"/>
                        <w:kern w:val="0"/>
                        <w14:ligatures w14:val="none"/>
                      </w:rPr>
                      <m:t>w</m:t>
                    </m:r>
                  </m:e>
                  <m:sub>
                    <m:r>
                      <w:rPr>
                        <w:rFonts w:ascii="Cambria Math" w:hAnsi="Cambria Math"/>
                        <w:kern w:val="0"/>
                        <w14:ligatures w14:val="none"/>
                      </w:rPr>
                      <m:t>ij</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γ</m:t>
                    </m:r>
                  </m:e>
                  <m:sub>
                    <m:r>
                      <w:rPr>
                        <w:rFonts w:ascii="Cambria Math" w:hAnsi="Cambria Math"/>
                        <w:kern w:val="0"/>
                        <w14:ligatures w14:val="none"/>
                      </w:rPr>
                      <m:t>2</m:t>
                    </m:r>
                  </m:sub>
                </m:sSub>
                <m:r>
                  <w:rPr>
                    <w:rFonts w:ascii="Cambria Math" w:hAnsi="Cambria Math"/>
                    <w:kern w:val="0"/>
                    <w14:ligatures w14:val="none"/>
                  </w:rPr>
                  <m:t>comlang</m:t>
                </m:r>
                <m:r>
                  <m:rPr>
                    <m:sty m:val="p"/>
                  </m:rPr>
                  <w:rPr>
                    <w:rFonts w:ascii="Cambria Math" w:hAnsi="Cambria Math"/>
                    <w:kern w:val="0"/>
                    <w14:ligatures w14:val="none"/>
                  </w:rPr>
                  <m:t>_</m:t>
                </m:r>
                <m:r>
                  <w:rPr>
                    <w:rFonts w:ascii="Cambria Math" w:hAnsi="Cambria Math"/>
                    <w:kern w:val="0"/>
                    <w14:ligatures w14:val="none"/>
                  </w:rPr>
                  <m:t>of</m:t>
                </m:r>
                <m:sSub>
                  <m:sSubPr>
                    <m:ctrlPr>
                      <w:rPr>
                        <w:rFonts w:ascii="Cambria Math" w:hAnsi="Cambria Math"/>
                        <w:kern w:val="0"/>
                        <w14:ligatures w14:val="none"/>
                      </w:rPr>
                    </m:ctrlPr>
                  </m:sSubPr>
                  <m:e>
                    <m:r>
                      <w:rPr>
                        <w:rFonts w:ascii="Cambria Math" w:hAnsi="Cambria Math"/>
                        <w:kern w:val="0"/>
                        <w14:ligatures w14:val="none"/>
                      </w:rPr>
                      <m:t>f</m:t>
                    </m:r>
                  </m:e>
                  <m:sub>
                    <m:r>
                      <w:rPr>
                        <w:rFonts w:ascii="Cambria Math" w:hAnsi="Cambria Math"/>
                        <w:kern w:val="0"/>
                        <w14:ligatures w14:val="none"/>
                      </w:rPr>
                      <m:t>ij</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γ</m:t>
                    </m:r>
                  </m:e>
                  <m:sub>
                    <m:r>
                      <w:rPr>
                        <w:rFonts w:ascii="Cambria Math" w:hAnsi="Cambria Math"/>
                        <w:kern w:val="0"/>
                        <w14:ligatures w14:val="none"/>
                      </w:rPr>
                      <m:t>3</m:t>
                    </m:r>
                  </m:sub>
                </m:sSub>
                <m:r>
                  <w:rPr>
                    <w:rFonts w:ascii="Cambria Math" w:hAnsi="Cambria Math"/>
                    <w:kern w:val="0"/>
                    <w14:ligatures w14:val="none"/>
                  </w:rPr>
                  <m:t>conti</m:t>
                </m:r>
                <m:sSub>
                  <m:sSubPr>
                    <m:ctrlPr>
                      <w:rPr>
                        <w:rFonts w:ascii="Cambria Math" w:hAnsi="Cambria Math"/>
                        <w:kern w:val="0"/>
                        <w14:ligatures w14:val="none"/>
                      </w:rPr>
                    </m:ctrlPr>
                  </m:sSubPr>
                  <m:e>
                    <m:r>
                      <w:rPr>
                        <w:rFonts w:ascii="Cambria Math" w:hAnsi="Cambria Math"/>
                        <w:kern w:val="0"/>
                        <w14:ligatures w14:val="none"/>
                      </w:rPr>
                      <m:t>g</m:t>
                    </m:r>
                  </m:e>
                  <m:sub>
                    <m:r>
                      <w:rPr>
                        <w:rFonts w:ascii="Cambria Math" w:hAnsi="Cambria Math"/>
                        <w:kern w:val="0"/>
                        <w14:ligatures w14:val="none"/>
                      </w:rPr>
                      <m:t>ij</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γ</m:t>
                    </m:r>
                  </m:e>
                  <m:sub>
                    <m:r>
                      <w:rPr>
                        <w:rFonts w:ascii="Cambria Math" w:hAnsi="Cambria Math"/>
                        <w:kern w:val="0"/>
                        <w14:ligatures w14:val="none"/>
                      </w:rPr>
                      <m:t>4</m:t>
                    </m:r>
                  </m:sub>
                </m:sSub>
                <m:r>
                  <w:rPr>
                    <w:rFonts w:ascii="Cambria Math" w:hAnsi="Cambria Math"/>
                    <w:kern w:val="0"/>
                    <w14:ligatures w14:val="none"/>
                  </w:rPr>
                  <m:t>wto</m:t>
                </m:r>
                <m:r>
                  <m:rPr>
                    <m:sty m:val="p"/>
                  </m:rPr>
                  <w:rPr>
                    <w:rFonts w:ascii="Cambria Math" w:hAnsi="Cambria Math"/>
                    <w:kern w:val="0"/>
                    <w14:ligatures w14:val="none"/>
                  </w:rPr>
                  <m:t>_</m:t>
                </m:r>
                <m:r>
                  <w:rPr>
                    <w:rFonts w:ascii="Cambria Math" w:hAnsi="Cambria Math"/>
                    <w:kern w:val="0"/>
                    <w14:ligatures w14:val="none"/>
                  </w:rPr>
                  <m:t>join</m:t>
                </m:r>
                <m:sSub>
                  <m:sSubPr>
                    <m:ctrlPr>
                      <w:rPr>
                        <w:rFonts w:ascii="Cambria Math" w:hAnsi="Cambria Math"/>
                        <w:kern w:val="0"/>
                        <w14:ligatures w14:val="none"/>
                      </w:rPr>
                    </m:ctrlPr>
                  </m:sSubPr>
                  <m:e>
                    <m:r>
                      <w:rPr>
                        <w:rFonts w:ascii="Cambria Math" w:hAnsi="Cambria Math"/>
                        <w:kern w:val="0"/>
                        <w14:ligatures w14:val="none"/>
                      </w:rPr>
                      <m:t>t</m:t>
                    </m:r>
                  </m:e>
                  <m:sub>
                    <m:r>
                      <w:rPr>
                        <w:rFonts w:ascii="Cambria Math" w:hAnsi="Cambria Math"/>
                        <w:kern w:val="0"/>
                        <w14:ligatures w14:val="none"/>
                      </w:rPr>
                      <m:t>ijt</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γ</m:t>
                    </m:r>
                  </m:e>
                  <m:sub>
                    <m:r>
                      <w:rPr>
                        <w:rFonts w:ascii="Cambria Math" w:hAnsi="Cambria Math"/>
                        <w:kern w:val="0"/>
                        <w14:ligatures w14:val="none"/>
                      </w:rPr>
                      <m:t>5</m:t>
                    </m:r>
                  </m:sub>
                </m:sSub>
                <m:r>
                  <w:rPr>
                    <w:rFonts w:ascii="Cambria Math" w:hAnsi="Cambria Math"/>
                    <w:kern w:val="0"/>
                    <w14:ligatures w14:val="none"/>
                  </w:rPr>
                  <m:t>EU</m:t>
                </m:r>
                <m:r>
                  <m:rPr>
                    <m:sty m:val="p"/>
                  </m:rPr>
                  <w:rPr>
                    <w:rFonts w:ascii="Cambria Math" w:hAnsi="Cambria Math"/>
                    <w:kern w:val="0"/>
                    <w14:ligatures w14:val="none"/>
                  </w:rPr>
                  <m:t>_</m:t>
                </m:r>
                <m:r>
                  <w:rPr>
                    <w:rFonts w:ascii="Cambria Math" w:hAnsi="Cambria Math"/>
                    <w:kern w:val="0"/>
                    <w14:ligatures w14:val="none"/>
                  </w:rPr>
                  <m:t>join</m:t>
                </m:r>
                <m:sSub>
                  <m:sSubPr>
                    <m:ctrlPr>
                      <w:rPr>
                        <w:rFonts w:ascii="Cambria Math" w:hAnsi="Cambria Math"/>
                        <w:kern w:val="0"/>
                        <w14:ligatures w14:val="none"/>
                      </w:rPr>
                    </m:ctrlPr>
                  </m:sSubPr>
                  <m:e>
                    <m:r>
                      <w:rPr>
                        <w:rFonts w:ascii="Cambria Math" w:hAnsi="Cambria Math"/>
                        <w:kern w:val="0"/>
                        <w14:ligatures w14:val="none"/>
                      </w:rPr>
                      <m:t>t</m:t>
                    </m:r>
                  </m:e>
                  <m:sub>
                    <m:r>
                      <w:rPr>
                        <w:rFonts w:ascii="Cambria Math" w:hAnsi="Cambria Math"/>
                        <w:kern w:val="0"/>
                        <w14:ligatures w14:val="none"/>
                      </w:rPr>
                      <m:t>ijt</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γ</m:t>
                    </m:r>
                  </m:e>
                  <m:sub>
                    <m:r>
                      <w:rPr>
                        <w:rFonts w:ascii="Cambria Math" w:hAnsi="Cambria Math"/>
                        <w:kern w:val="0"/>
                        <w14:ligatures w14:val="none"/>
                      </w:rPr>
                      <m:t>6</m:t>
                    </m:r>
                  </m:sub>
                </m:sSub>
                <m:r>
                  <w:rPr>
                    <w:rFonts w:ascii="Cambria Math" w:hAnsi="Cambria Math"/>
                    <w:kern w:val="0"/>
                    <w14:ligatures w14:val="none"/>
                  </w:rPr>
                  <m:t>EAEU</m:t>
                </m:r>
                <m:r>
                  <m:rPr>
                    <m:sty m:val="p"/>
                  </m:rPr>
                  <w:rPr>
                    <w:rFonts w:ascii="Cambria Math" w:hAnsi="Cambria Math"/>
                    <w:kern w:val="0"/>
                    <w14:ligatures w14:val="none"/>
                  </w:rPr>
                  <m:t>_</m:t>
                </m:r>
                <m:r>
                  <w:rPr>
                    <w:rFonts w:ascii="Cambria Math" w:hAnsi="Cambria Math"/>
                    <w:kern w:val="0"/>
                    <w14:ligatures w14:val="none"/>
                  </w:rPr>
                  <m:t>join</m:t>
                </m:r>
                <m:sSub>
                  <m:sSubPr>
                    <m:ctrlPr>
                      <w:rPr>
                        <w:rFonts w:ascii="Cambria Math" w:hAnsi="Cambria Math"/>
                        <w:kern w:val="0"/>
                        <w14:ligatures w14:val="none"/>
                      </w:rPr>
                    </m:ctrlPr>
                  </m:sSubPr>
                  <m:e>
                    <m:r>
                      <w:rPr>
                        <w:rFonts w:ascii="Cambria Math" w:hAnsi="Cambria Math"/>
                        <w:kern w:val="0"/>
                        <w14:ligatures w14:val="none"/>
                      </w:rPr>
                      <m:t>t</m:t>
                    </m:r>
                  </m:e>
                  <m:sub>
                    <m:r>
                      <w:rPr>
                        <w:rFonts w:ascii="Cambria Math" w:hAnsi="Cambria Math"/>
                        <w:kern w:val="0"/>
                        <w14:ligatures w14:val="none"/>
                      </w:rPr>
                      <m:t>ijt</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u</m:t>
                    </m:r>
                  </m:e>
                  <m:sub>
                    <m:r>
                      <w:rPr>
                        <w:rFonts w:ascii="Cambria Math" w:hAnsi="Cambria Math"/>
                        <w:kern w:val="0"/>
                        <w14:ligatures w14:val="none"/>
                      </w:rPr>
                      <m:t>ijt</m:t>
                    </m:r>
                  </m:sub>
                </m:sSub>
              </m:oMath>
            </m:oMathPara>
          </w:p>
        </w:tc>
        <w:tc>
          <w:tcPr>
            <w:tcW w:w="921" w:type="dxa"/>
            <w:vAlign w:val="center"/>
          </w:tcPr>
          <w:p w14:paraId="37365A68" w14:textId="4EE15A22" w:rsidR="0051499F" w:rsidRPr="00D868ED" w:rsidRDefault="0051499F" w:rsidP="00CE5C32">
            <w:pPr>
              <w:bidi w:val="0"/>
              <w:spacing w:before="120" w:after="120"/>
              <w:jc w:val="center"/>
              <w:rPr>
                <w:rFonts w:asciiTheme="majorBidi" w:hAnsiTheme="majorBidi" w:cstheme="majorBidi"/>
                <w:kern w:val="0"/>
                <w14:ligatures w14:val="none"/>
              </w:rPr>
            </w:pPr>
            <w:r w:rsidRPr="00D868ED">
              <w:rPr>
                <w:rFonts w:asciiTheme="majorBidi" w:hAnsiTheme="majorBidi" w:cstheme="majorBidi"/>
              </w:rPr>
              <w:t>(</w:t>
            </w:r>
            <w:r w:rsidRPr="00D868ED">
              <w:rPr>
                <w:rFonts w:asciiTheme="majorBidi" w:hAnsiTheme="majorBidi" w:cstheme="majorBidi"/>
              </w:rPr>
              <w:fldChar w:fldCharType="begin"/>
            </w:r>
            <w:r w:rsidRPr="00D868ED">
              <w:rPr>
                <w:rFonts w:asciiTheme="majorBidi" w:hAnsiTheme="majorBidi" w:cstheme="majorBidi"/>
              </w:rPr>
              <w:instrText xml:space="preserve"> SEQ Equation \* ARABIC </w:instrText>
            </w:r>
            <w:r w:rsidRPr="00D868ED">
              <w:rPr>
                <w:rFonts w:asciiTheme="majorBidi" w:hAnsiTheme="majorBidi" w:cstheme="majorBidi"/>
              </w:rPr>
              <w:fldChar w:fldCharType="separate"/>
            </w:r>
            <w:r w:rsidR="00EC28FA" w:rsidRPr="00D868ED">
              <w:rPr>
                <w:rFonts w:asciiTheme="majorBidi" w:hAnsiTheme="majorBidi" w:cstheme="majorBidi"/>
                <w:noProof/>
              </w:rPr>
              <w:t>6</w:t>
            </w:r>
            <w:r w:rsidRPr="00D868ED">
              <w:rPr>
                <w:rFonts w:asciiTheme="majorBidi" w:hAnsiTheme="majorBidi" w:cstheme="majorBidi"/>
              </w:rPr>
              <w:fldChar w:fldCharType="end"/>
            </w:r>
            <w:r w:rsidRPr="00D868ED">
              <w:rPr>
                <w:rFonts w:asciiTheme="majorBidi" w:hAnsiTheme="majorBidi" w:cstheme="majorBidi"/>
              </w:rPr>
              <w:t>)</w:t>
            </w:r>
          </w:p>
        </w:tc>
      </w:tr>
    </w:tbl>
    <w:p w14:paraId="1E573671" w14:textId="77777777" w:rsidR="00E066AC" w:rsidRPr="00D868ED" w:rsidRDefault="00E066AC" w:rsidP="00CE5C32">
      <w:pPr>
        <w:bidi w:val="0"/>
        <w:spacing w:after="120" w:line="288" w:lineRule="auto"/>
        <w:jc w:val="both"/>
        <w:rPr>
          <w:rFonts w:ascii="Times New Roman" w:hAnsi="Times New Roman"/>
          <w:kern w:val="0"/>
          <w14:ligatures w14:val="none"/>
        </w:rPr>
      </w:pPr>
      <w:r w:rsidRPr="00D868ED">
        <w:rPr>
          <w:rFonts w:ascii="Times New Roman" w:hAnsi="Times New Roman"/>
          <w:kern w:val="0"/>
          <w14:ligatures w14:val="none"/>
        </w:rPr>
        <w:t>This normalization removes scale effects and focuses on trade intensity relative to economic size. Comparing results from this specification with the standard gravity model allows assessment of whether the estimated effects of geography and institutions reflect absolute trade levels or relative integration patterns.</w:t>
      </w:r>
    </w:p>
    <w:p w14:paraId="71A364C6" w14:textId="0756EB97" w:rsidR="00ED2CC8" w:rsidRPr="00D868ED" w:rsidRDefault="00ED2CC8" w:rsidP="00CE5C32">
      <w:pPr>
        <w:bidi w:val="0"/>
        <w:spacing w:after="120" w:line="288" w:lineRule="auto"/>
        <w:jc w:val="both"/>
        <w:rPr>
          <w:rFonts w:asciiTheme="majorBidi" w:hAnsiTheme="majorBidi" w:cstheme="majorBidi"/>
          <w:b/>
          <w:bCs/>
        </w:rPr>
      </w:pPr>
      <w:r w:rsidRPr="00D868ED">
        <w:rPr>
          <w:rFonts w:asciiTheme="majorBidi" w:hAnsiTheme="majorBidi" w:cstheme="majorBidi"/>
          <w:b/>
          <w:bCs/>
        </w:rPr>
        <w:t>4.5 PPML and GPML Estimators</w:t>
      </w:r>
    </w:p>
    <w:bookmarkEnd w:id="20"/>
    <w:p w14:paraId="47534383" w14:textId="77777777" w:rsidR="00E066AC" w:rsidRPr="00D868ED" w:rsidRDefault="00E066AC" w:rsidP="00CE5C32">
      <w:pPr>
        <w:bidi w:val="0"/>
        <w:spacing w:after="120" w:line="288" w:lineRule="auto"/>
        <w:jc w:val="both"/>
        <w:rPr>
          <w:rFonts w:ascii="Times New Roman" w:hAnsi="Times New Roman"/>
          <w:kern w:val="0"/>
          <w14:ligatures w14:val="none"/>
        </w:rPr>
      </w:pPr>
      <w:r w:rsidRPr="00D868ED">
        <w:rPr>
          <w:rFonts w:ascii="Times New Roman" w:hAnsi="Times New Roman"/>
          <w:kern w:val="0"/>
          <w14:ligatures w14:val="none"/>
        </w:rPr>
        <w:t>Given the strong dispersion and heteroskedasticity typically observed in trade data, the analysis also estimates the gravity equation in multiplicative form using Poisson Pseudo-Maximum Likelihood (PPML). The conditional mean is specified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921"/>
      </w:tblGrid>
      <w:tr w:rsidR="0051499F" w:rsidRPr="00D868ED" w14:paraId="5488B154" w14:textId="77777777" w:rsidTr="003D43F7">
        <w:tc>
          <w:tcPr>
            <w:tcW w:w="8095" w:type="dxa"/>
            <w:vAlign w:val="center"/>
          </w:tcPr>
          <w:p w14:paraId="14953A6B" w14:textId="6FDFCB0A" w:rsidR="0051499F" w:rsidRPr="00D868ED" w:rsidRDefault="00790A07" w:rsidP="00CE5C32">
            <w:pPr>
              <w:bidi w:val="0"/>
              <w:spacing w:before="120" w:after="120" w:line="288" w:lineRule="auto"/>
              <w:jc w:val="center"/>
              <w:rPr>
                <w:rFonts w:ascii="Times New Roman" w:hAnsi="Times New Roman"/>
                <w:kern w:val="0"/>
                <w14:ligatures w14:val="none"/>
              </w:rPr>
            </w:pPr>
            <m:oMathPara>
              <m:oMath>
                <m:r>
                  <w:rPr>
                    <w:rFonts w:ascii="Cambria Math" w:hAnsi="Cambria Math"/>
                    <w:kern w:val="0"/>
                    <w14:ligatures w14:val="none"/>
                  </w:rPr>
                  <m:t>E</m:t>
                </m:r>
                <m:r>
                  <m:rPr>
                    <m:sty m:val="p"/>
                  </m:rPr>
                  <w:rPr>
                    <w:rFonts w:ascii="Cambria Math" w:hAnsi="Cambria Math"/>
                    <w:kern w:val="0"/>
                    <w14:ligatures w14:val="none"/>
                  </w:rPr>
                  <m:t>(</m:t>
                </m:r>
                <m:r>
                  <w:rPr>
                    <w:rFonts w:ascii="Cambria Math" w:hAnsi="Cambria Math"/>
                    <w:kern w:val="0"/>
                    <w14:ligatures w14:val="none"/>
                  </w:rPr>
                  <m:t>flo</m:t>
                </m:r>
                <m:sSub>
                  <m:sSubPr>
                    <m:ctrlPr>
                      <w:rPr>
                        <w:rFonts w:ascii="Cambria Math" w:hAnsi="Cambria Math"/>
                        <w:kern w:val="0"/>
                        <w14:ligatures w14:val="none"/>
                      </w:rPr>
                    </m:ctrlPr>
                  </m:sSubPr>
                  <m:e>
                    <m:r>
                      <w:rPr>
                        <w:rFonts w:ascii="Cambria Math" w:hAnsi="Cambria Math"/>
                        <w:kern w:val="0"/>
                        <w14:ligatures w14:val="none"/>
                      </w:rPr>
                      <m:t>w</m:t>
                    </m:r>
                  </m:e>
                  <m:sub>
                    <m:r>
                      <w:rPr>
                        <w:rFonts w:ascii="Cambria Math" w:hAnsi="Cambria Math"/>
                        <w:kern w:val="0"/>
                        <w14:ligatures w14:val="none"/>
                      </w:rPr>
                      <m:t>ijt</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X</m:t>
                    </m:r>
                  </m:e>
                  <m:sub>
                    <m:r>
                      <w:rPr>
                        <w:rFonts w:ascii="Cambria Math" w:hAnsi="Cambria Math"/>
                        <w:kern w:val="0"/>
                        <w14:ligatures w14:val="none"/>
                      </w:rPr>
                      <m:t>ijt</m:t>
                    </m:r>
                  </m:sub>
                </m:sSub>
                <m:r>
                  <m:rPr>
                    <m:sty m:val="p"/>
                  </m:rPr>
                  <w:rPr>
                    <w:rFonts w:ascii="Cambria Math" w:hAnsi="Cambria Math"/>
                    <w:kern w:val="0"/>
                    <w14:ligatures w14:val="none"/>
                  </w:rPr>
                  <m:t>)=exp(</m:t>
                </m:r>
                <m:sSub>
                  <m:sSubPr>
                    <m:ctrlPr>
                      <w:rPr>
                        <w:rFonts w:ascii="Cambria Math" w:hAnsi="Cambria Math"/>
                        <w:kern w:val="0"/>
                        <w14:ligatures w14:val="none"/>
                      </w:rPr>
                    </m:ctrlPr>
                  </m:sSubPr>
                  <m:e>
                    <m:r>
                      <w:rPr>
                        <w:rFonts w:ascii="Cambria Math" w:hAnsi="Cambria Math"/>
                        <w:kern w:val="0"/>
                        <w14:ligatures w14:val="none"/>
                      </w:rPr>
                      <m:t>X</m:t>
                    </m:r>
                  </m:e>
                  <m:sub>
                    <m:r>
                      <w:rPr>
                        <w:rFonts w:ascii="Cambria Math" w:hAnsi="Cambria Math"/>
                        <w:kern w:val="0"/>
                        <w14:ligatures w14:val="none"/>
                      </w:rPr>
                      <m:t>ijt</m:t>
                    </m:r>
                  </m:sub>
                </m:sSub>
                <m:r>
                  <w:rPr>
                    <w:rFonts w:ascii="Cambria Math" w:hAnsi="Cambria Math"/>
                    <w:kern w:val="0"/>
                    <w14:ligatures w14:val="none"/>
                  </w:rPr>
                  <m:t>β</m:t>
                </m:r>
                <m:r>
                  <m:rPr>
                    <m:sty m:val="p"/>
                  </m:rPr>
                  <w:rPr>
                    <w:rFonts w:ascii="Cambria Math" w:hAnsi="Cambria Math"/>
                    <w:kern w:val="0"/>
                    <w14:ligatures w14:val="none"/>
                  </w:rPr>
                  <m:t>)</m:t>
                </m:r>
              </m:oMath>
            </m:oMathPara>
          </w:p>
        </w:tc>
        <w:tc>
          <w:tcPr>
            <w:tcW w:w="921" w:type="dxa"/>
            <w:vAlign w:val="center"/>
          </w:tcPr>
          <w:p w14:paraId="3BEED5B1" w14:textId="0DCC7F00" w:rsidR="0051499F" w:rsidRPr="00D868ED" w:rsidRDefault="0051499F" w:rsidP="00CE5C32">
            <w:pPr>
              <w:bidi w:val="0"/>
              <w:spacing w:before="120" w:after="120"/>
              <w:jc w:val="center"/>
              <w:rPr>
                <w:rFonts w:asciiTheme="majorBidi" w:hAnsiTheme="majorBidi" w:cstheme="majorBidi"/>
                <w:kern w:val="0"/>
                <w14:ligatures w14:val="none"/>
              </w:rPr>
            </w:pPr>
            <w:r w:rsidRPr="00D868ED">
              <w:rPr>
                <w:rFonts w:asciiTheme="majorBidi" w:hAnsiTheme="majorBidi" w:cstheme="majorBidi"/>
              </w:rPr>
              <w:t>(</w:t>
            </w:r>
            <w:r w:rsidRPr="00D868ED">
              <w:rPr>
                <w:rFonts w:asciiTheme="majorBidi" w:hAnsiTheme="majorBidi" w:cstheme="majorBidi"/>
              </w:rPr>
              <w:fldChar w:fldCharType="begin"/>
            </w:r>
            <w:r w:rsidRPr="00D868ED">
              <w:rPr>
                <w:rFonts w:asciiTheme="majorBidi" w:hAnsiTheme="majorBidi" w:cstheme="majorBidi"/>
              </w:rPr>
              <w:instrText xml:space="preserve"> SEQ Equation \* ARABIC </w:instrText>
            </w:r>
            <w:r w:rsidRPr="00D868ED">
              <w:rPr>
                <w:rFonts w:asciiTheme="majorBidi" w:hAnsiTheme="majorBidi" w:cstheme="majorBidi"/>
              </w:rPr>
              <w:fldChar w:fldCharType="separate"/>
            </w:r>
            <w:r w:rsidR="00EC28FA" w:rsidRPr="00D868ED">
              <w:rPr>
                <w:rFonts w:asciiTheme="majorBidi" w:hAnsiTheme="majorBidi" w:cstheme="majorBidi"/>
                <w:noProof/>
              </w:rPr>
              <w:t>7</w:t>
            </w:r>
            <w:r w:rsidRPr="00D868ED">
              <w:rPr>
                <w:rFonts w:asciiTheme="majorBidi" w:hAnsiTheme="majorBidi" w:cstheme="majorBidi"/>
              </w:rPr>
              <w:fldChar w:fldCharType="end"/>
            </w:r>
            <w:r w:rsidRPr="00D868ED">
              <w:rPr>
                <w:rFonts w:asciiTheme="majorBidi" w:hAnsiTheme="majorBidi" w:cstheme="majorBidi"/>
              </w:rPr>
              <w:t>)</w:t>
            </w:r>
          </w:p>
        </w:tc>
      </w:tr>
    </w:tbl>
    <w:p w14:paraId="3D14025E" w14:textId="77777777" w:rsidR="00E066AC" w:rsidRPr="00D868ED" w:rsidRDefault="00E066AC" w:rsidP="00CE5C32">
      <w:pPr>
        <w:bidi w:val="0"/>
        <w:spacing w:after="120" w:line="288" w:lineRule="auto"/>
        <w:rPr>
          <w:rFonts w:ascii="Times New Roman" w:hAnsi="Times New Roman"/>
          <w:kern w:val="0"/>
          <w14:ligatures w14:val="none"/>
        </w:rPr>
      </w:pPr>
      <w:r w:rsidRPr="00D868ED">
        <w:rPr>
          <w:rFonts w:ascii="Times New Roman" w:hAnsi="Times New Roman"/>
          <w:kern w:val="0"/>
          <w14:ligatures w14:val="none"/>
        </w:rPr>
        <w:t>The baseline PPML specification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921"/>
      </w:tblGrid>
      <w:tr w:rsidR="0051499F" w:rsidRPr="00D868ED" w14:paraId="4BFC0E13" w14:textId="77777777" w:rsidTr="00162214">
        <w:tc>
          <w:tcPr>
            <w:tcW w:w="8095" w:type="dxa"/>
            <w:vAlign w:val="center"/>
          </w:tcPr>
          <w:p w14:paraId="7C830684" w14:textId="2C45B0BB" w:rsidR="0051499F" w:rsidRPr="00D868ED" w:rsidRDefault="00790A07" w:rsidP="00CE5C32">
            <w:pPr>
              <w:bidi w:val="0"/>
              <w:spacing w:before="120" w:after="120" w:line="288" w:lineRule="auto"/>
              <w:jc w:val="center"/>
              <w:rPr>
                <w:rFonts w:ascii="Times New Roman" w:hAnsi="Times New Roman"/>
                <w:kern w:val="0"/>
                <w14:ligatures w14:val="none"/>
              </w:rPr>
            </w:pPr>
            <m:oMathPara>
              <m:oMath>
                <m:r>
                  <w:rPr>
                    <w:rFonts w:ascii="Cambria Math" w:hAnsi="Cambria Math"/>
                    <w:kern w:val="0"/>
                    <w14:ligatures w14:val="none"/>
                  </w:rPr>
                  <m:t>flo</m:t>
                </m:r>
                <m:sSub>
                  <m:sSubPr>
                    <m:ctrlPr>
                      <w:rPr>
                        <w:rFonts w:ascii="Cambria Math" w:hAnsi="Cambria Math"/>
                        <w:kern w:val="0"/>
                        <w14:ligatures w14:val="none"/>
                      </w:rPr>
                    </m:ctrlPr>
                  </m:sSubPr>
                  <m:e>
                    <m:r>
                      <w:rPr>
                        <w:rFonts w:ascii="Cambria Math" w:hAnsi="Cambria Math"/>
                        <w:kern w:val="0"/>
                        <w14:ligatures w14:val="none"/>
                      </w:rPr>
                      <m:t>w</m:t>
                    </m:r>
                  </m:e>
                  <m:sub>
                    <m:r>
                      <w:rPr>
                        <w:rFonts w:ascii="Cambria Math" w:hAnsi="Cambria Math"/>
                        <w:kern w:val="0"/>
                        <w14:ligatures w14:val="none"/>
                      </w:rPr>
                      <m:t>ijt</m:t>
                    </m:r>
                  </m:sub>
                </m:sSub>
                <m:r>
                  <m:rPr>
                    <m:sty m:val="p"/>
                  </m:rPr>
                  <w:rPr>
                    <w:rFonts w:ascii="Cambria Math" w:hAnsi="Cambria Math"/>
                    <w:kern w:val="0"/>
                    <w14:ligatures w14:val="none"/>
                  </w:rPr>
                  <m:t>=exp</m:t>
                </m:r>
                <m:d>
                  <m:dPr>
                    <m:begChr m:val="["/>
                    <m:endChr m:val="]"/>
                    <m:ctrlPr>
                      <w:rPr>
                        <w:rFonts w:ascii="Cambria Math" w:hAnsi="Cambria Math"/>
                        <w:kern w:val="0"/>
                        <w14:ligatures w14:val="none"/>
                      </w:rPr>
                    </m:ctrlPr>
                  </m:dPr>
                  <m:e>
                    <m:sSub>
                      <m:sSubPr>
                        <m:ctrlPr>
                          <w:rPr>
                            <w:rFonts w:ascii="Cambria Math" w:hAnsi="Cambria Math"/>
                            <w:kern w:val="0"/>
                            <w14:ligatures w14:val="none"/>
                          </w:rPr>
                        </m:ctrlPr>
                      </m:sSubPr>
                      <m:e>
                        <m:r>
                          <w:rPr>
                            <w:rFonts w:ascii="Cambria Math" w:hAnsi="Cambria Math"/>
                            <w:kern w:val="0"/>
                            <w14:ligatures w14:val="none"/>
                          </w:rPr>
                          <m:t>λ</m:t>
                        </m:r>
                      </m:e>
                      <m:sub>
                        <m:r>
                          <w:rPr>
                            <w:rFonts w:ascii="Cambria Math" w:hAnsi="Cambria Math"/>
                            <w:kern w:val="0"/>
                            <w14:ligatures w14:val="none"/>
                          </w:rPr>
                          <m:t>0</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λ</m:t>
                        </m:r>
                      </m:e>
                      <m:sub>
                        <m:r>
                          <w:rPr>
                            <w:rFonts w:ascii="Cambria Math" w:hAnsi="Cambria Math"/>
                            <w:kern w:val="0"/>
                            <w14:ligatures w14:val="none"/>
                          </w:rPr>
                          <m:t>1</m:t>
                        </m:r>
                      </m:sub>
                    </m:sSub>
                    <m:r>
                      <m:rPr>
                        <m:sty m:val="p"/>
                      </m:rPr>
                      <w:rPr>
                        <w:rFonts w:ascii="Cambria Math" w:hAnsi="Cambria Math"/>
                        <w:kern w:val="0"/>
                        <w14:ligatures w14:val="none"/>
                      </w:rPr>
                      <m:t>ln(</m:t>
                    </m:r>
                    <m:r>
                      <w:rPr>
                        <w:rFonts w:ascii="Cambria Math" w:hAnsi="Cambria Math"/>
                        <w:kern w:val="0"/>
                        <w14:ligatures w14:val="none"/>
                      </w:rPr>
                      <m:t>dist</m:t>
                    </m:r>
                    <m:sSub>
                      <m:sSubPr>
                        <m:ctrlPr>
                          <w:rPr>
                            <w:rFonts w:ascii="Cambria Math" w:hAnsi="Cambria Math"/>
                            <w:kern w:val="0"/>
                            <w14:ligatures w14:val="none"/>
                          </w:rPr>
                        </m:ctrlPr>
                      </m:sSubPr>
                      <m:e>
                        <m:r>
                          <w:rPr>
                            <w:rFonts w:ascii="Cambria Math" w:hAnsi="Cambria Math"/>
                            <w:kern w:val="0"/>
                            <w14:ligatures w14:val="none"/>
                          </w:rPr>
                          <m:t>w</m:t>
                        </m:r>
                      </m:e>
                      <m:sub>
                        <m:r>
                          <w:rPr>
                            <w:rFonts w:ascii="Cambria Math" w:hAnsi="Cambria Math"/>
                            <w:kern w:val="0"/>
                            <w14:ligatures w14:val="none"/>
                          </w:rPr>
                          <m:t>ij</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λ</m:t>
                        </m:r>
                      </m:e>
                      <m:sub>
                        <m:r>
                          <w:rPr>
                            <w:rFonts w:ascii="Cambria Math" w:hAnsi="Cambria Math"/>
                            <w:kern w:val="0"/>
                            <w14:ligatures w14:val="none"/>
                          </w:rPr>
                          <m:t>2</m:t>
                        </m:r>
                      </m:sub>
                    </m:sSub>
                    <m:r>
                      <w:rPr>
                        <w:rFonts w:ascii="Cambria Math" w:hAnsi="Cambria Math"/>
                        <w:kern w:val="0"/>
                        <w14:ligatures w14:val="none"/>
                      </w:rPr>
                      <m:t>comlang</m:t>
                    </m:r>
                    <m:r>
                      <m:rPr>
                        <m:sty m:val="p"/>
                      </m:rPr>
                      <w:rPr>
                        <w:rFonts w:ascii="Cambria Math" w:hAnsi="Cambria Math"/>
                        <w:kern w:val="0"/>
                        <w14:ligatures w14:val="none"/>
                      </w:rPr>
                      <m:t>_</m:t>
                    </m:r>
                    <m:r>
                      <w:rPr>
                        <w:rFonts w:ascii="Cambria Math" w:hAnsi="Cambria Math"/>
                        <w:kern w:val="0"/>
                        <w14:ligatures w14:val="none"/>
                      </w:rPr>
                      <m:t>of</m:t>
                    </m:r>
                    <m:sSub>
                      <m:sSubPr>
                        <m:ctrlPr>
                          <w:rPr>
                            <w:rFonts w:ascii="Cambria Math" w:hAnsi="Cambria Math"/>
                            <w:kern w:val="0"/>
                            <w14:ligatures w14:val="none"/>
                          </w:rPr>
                        </m:ctrlPr>
                      </m:sSubPr>
                      <m:e>
                        <m:r>
                          <w:rPr>
                            <w:rFonts w:ascii="Cambria Math" w:hAnsi="Cambria Math"/>
                            <w:kern w:val="0"/>
                            <w14:ligatures w14:val="none"/>
                          </w:rPr>
                          <m:t>f</m:t>
                        </m:r>
                      </m:e>
                      <m:sub>
                        <m:r>
                          <w:rPr>
                            <w:rFonts w:ascii="Cambria Math" w:hAnsi="Cambria Math"/>
                            <w:kern w:val="0"/>
                            <w14:ligatures w14:val="none"/>
                          </w:rPr>
                          <m:t>ij</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λ</m:t>
                        </m:r>
                      </m:e>
                      <m:sub>
                        <m:r>
                          <w:rPr>
                            <w:rFonts w:ascii="Cambria Math" w:hAnsi="Cambria Math"/>
                            <w:kern w:val="0"/>
                            <w14:ligatures w14:val="none"/>
                          </w:rPr>
                          <m:t>3</m:t>
                        </m:r>
                      </m:sub>
                    </m:sSub>
                    <m:r>
                      <w:rPr>
                        <w:rFonts w:ascii="Cambria Math" w:hAnsi="Cambria Math"/>
                        <w:kern w:val="0"/>
                        <w14:ligatures w14:val="none"/>
                      </w:rPr>
                      <m:t>conti</m:t>
                    </m:r>
                    <m:sSub>
                      <m:sSubPr>
                        <m:ctrlPr>
                          <w:rPr>
                            <w:rFonts w:ascii="Cambria Math" w:hAnsi="Cambria Math"/>
                            <w:kern w:val="0"/>
                            <w14:ligatures w14:val="none"/>
                          </w:rPr>
                        </m:ctrlPr>
                      </m:sSubPr>
                      <m:e>
                        <m:r>
                          <w:rPr>
                            <w:rFonts w:ascii="Cambria Math" w:hAnsi="Cambria Math"/>
                            <w:kern w:val="0"/>
                            <w14:ligatures w14:val="none"/>
                          </w:rPr>
                          <m:t>g</m:t>
                        </m:r>
                      </m:e>
                      <m:sub>
                        <m:r>
                          <w:rPr>
                            <w:rFonts w:ascii="Cambria Math" w:hAnsi="Cambria Math"/>
                            <w:kern w:val="0"/>
                            <w14:ligatures w14:val="none"/>
                          </w:rPr>
                          <m:t>ij</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λ</m:t>
                        </m:r>
                      </m:e>
                      <m:sub>
                        <m:r>
                          <w:rPr>
                            <w:rFonts w:ascii="Cambria Math" w:hAnsi="Cambria Math"/>
                            <w:kern w:val="0"/>
                            <w14:ligatures w14:val="none"/>
                          </w:rPr>
                          <m:t>4</m:t>
                        </m:r>
                      </m:sub>
                    </m:sSub>
                    <m:r>
                      <w:rPr>
                        <w:rFonts w:ascii="Cambria Math" w:hAnsi="Cambria Math"/>
                        <w:kern w:val="0"/>
                        <w14:ligatures w14:val="none"/>
                      </w:rPr>
                      <m:t>wto</m:t>
                    </m:r>
                    <m:r>
                      <m:rPr>
                        <m:sty m:val="p"/>
                      </m:rPr>
                      <w:rPr>
                        <w:rFonts w:ascii="Cambria Math" w:hAnsi="Cambria Math"/>
                        <w:kern w:val="0"/>
                        <w14:ligatures w14:val="none"/>
                      </w:rPr>
                      <m:t>_</m:t>
                    </m:r>
                    <m:r>
                      <w:rPr>
                        <w:rFonts w:ascii="Cambria Math" w:hAnsi="Cambria Math"/>
                        <w:kern w:val="0"/>
                        <w14:ligatures w14:val="none"/>
                      </w:rPr>
                      <m:t>join</m:t>
                    </m:r>
                    <m:sSub>
                      <m:sSubPr>
                        <m:ctrlPr>
                          <w:rPr>
                            <w:rFonts w:ascii="Cambria Math" w:hAnsi="Cambria Math"/>
                            <w:kern w:val="0"/>
                            <w14:ligatures w14:val="none"/>
                          </w:rPr>
                        </m:ctrlPr>
                      </m:sSubPr>
                      <m:e>
                        <m:r>
                          <w:rPr>
                            <w:rFonts w:ascii="Cambria Math" w:hAnsi="Cambria Math"/>
                            <w:kern w:val="0"/>
                            <w14:ligatures w14:val="none"/>
                          </w:rPr>
                          <m:t>t</m:t>
                        </m:r>
                      </m:e>
                      <m:sub>
                        <m:r>
                          <w:rPr>
                            <w:rFonts w:ascii="Cambria Math" w:hAnsi="Cambria Math"/>
                            <w:kern w:val="0"/>
                            <w14:ligatures w14:val="none"/>
                          </w:rPr>
                          <m:t>ijt</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λ</m:t>
                        </m:r>
                      </m:e>
                      <m:sub>
                        <m:r>
                          <w:rPr>
                            <w:rFonts w:ascii="Cambria Math" w:hAnsi="Cambria Math"/>
                            <w:kern w:val="0"/>
                            <w14:ligatures w14:val="none"/>
                          </w:rPr>
                          <m:t>5</m:t>
                        </m:r>
                      </m:sub>
                    </m:sSub>
                    <m:r>
                      <w:rPr>
                        <w:rFonts w:ascii="Cambria Math" w:hAnsi="Cambria Math"/>
                        <w:kern w:val="0"/>
                        <w14:ligatures w14:val="none"/>
                      </w:rPr>
                      <m:t>EU</m:t>
                    </m:r>
                    <m:r>
                      <m:rPr>
                        <m:sty m:val="p"/>
                      </m:rPr>
                      <w:rPr>
                        <w:rFonts w:ascii="Cambria Math" w:hAnsi="Cambria Math"/>
                        <w:kern w:val="0"/>
                        <w14:ligatures w14:val="none"/>
                      </w:rPr>
                      <m:t>_</m:t>
                    </m:r>
                    <m:r>
                      <w:rPr>
                        <w:rFonts w:ascii="Cambria Math" w:hAnsi="Cambria Math"/>
                        <w:kern w:val="0"/>
                        <w14:ligatures w14:val="none"/>
                      </w:rPr>
                      <m:t>join</m:t>
                    </m:r>
                    <m:sSub>
                      <m:sSubPr>
                        <m:ctrlPr>
                          <w:rPr>
                            <w:rFonts w:ascii="Cambria Math" w:hAnsi="Cambria Math"/>
                            <w:kern w:val="0"/>
                            <w14:ligatures w14:val="none"/>
                          </w:rPr>
                        </m:ctrlPr>
                      </m:sSubPr>
                      <m:e>
                        <m:r>
                          <w:rPr>
                            <w:rFonts w:ascii="Cambria Math" w:hAnsi="Cambria Math"/>
                            <w:kern w:val="0"/>
                            <w14:ligatures w14:val="none"/>
                          </w:rPr>
                          <m:t>t</m:t>
                        </m:r>
                      </m:e>
                      <m:sub>
                        <m:r>
                          <w:rPr>
                            <w:rFonts w:ascii="Cambria Math" w:hAnsi="Cambria Math"/>
                            <w:kern w:val="0"/>
                            <w14:ligatures w14:val="none"/>
                          </w:rPr>
                          <m:t>ijt</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λ</m:t>
                        </m:r>
                      </m:e>
                      <m:sub>
                        <m:r>
                          <w:rPr>
                            <w:rFonts w:ascii="Cambria Math" w:hAnsi="Cambria Math"/>
                            <w:kern w:val="0"/>
                            <w14:ligatures w14:val="none"/>
                          </w:rPr>
                          <m:t>6</m:t>
                        </m:r>
                      </m:sub>
                    </m:sSub>
                    <m:r>
                      <w:rPr>
                        <w:rFonts w:ascii="Cambria Math" w:hAnsi="Cambria Math"/>
                        <w:kern w:val="0"/>
                        <w14:ligatures w14:val="none"/>
                      </w:rPr>
                      <m:t>EAEU</m:t>
                    </m:r>
                    <m:r>
                      <m:rPr>
                        <m:sty m:val="p"/>
                      </m:rPr>
                      <w:rPr>
                        <w:rFonts w:ascii="Cambria Math" w:hAnsi="Cambria Math"/>
                        <w:kern w:val="0"/>
                        <w14:ligatures w14:val="none"/>
                      </w:rPr>
                      <m:t>_</m:t>
                    </m:r>
                    <m:r>
                      <w:rPr>
                        <w:rFonts w:ascii="Cambria Math" w:hAnsi="Cambria Math"/>
                        <w:kern w:val="0"/>
                        <w14:ligatures w14:val="none"/>
                      </w:rPr>
                      <m:t>join</m:t>
                    </m:r>
                    <m:sSub>
                      <m:sSubPr>
                        <m:ctrlPr>
                          <w:rPr>
                            <w:rFonts w:ascii="Cambria Math" w:hAnsi="Cambria Math"/>
                            <w:kern w:val="0"/>
                            <w14:ligatures w14:val="none"/>
                          </w:rPr>
                        </m:ctrlPr>
                      </m:sSubPr>
                      <m:e>
                        <m:r>
                          <w:rPr>
                            <w:rFonts w:ascii="Cambria Math" w:hAnsi="Cambria Math"/>
                            <w:kern w:val="0"/>
                            <w14:ligatures w14:val="none"/>
                          </w:rPr>
                          <m:t>t</m:t>
                        </m:r>
                      </m:e>
                      <m:sub>
                        <m:r>
                          <w:rPr>
                            <w:rFonts w:ascii="Cambria Math" w:hAnsi="Cambria Math"/>
                            <w:kern w:val="0"/>
                            <w14:ligatures w14:val="none"/>
                          </w:rPr>
                          <m:t>ijt</m:t>
                        </m:r>
                      </m:sub>
                    </m:sSub>
                  </m:e>
                </m:d>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η</m:t>
                    </m:r>
                  </m:e>
                  <m:sub>
                    <m:r>
                      <w:rPr>
                        <w:rFonts w:ascii="Cambria Math" w:hAnsi="Cambria Math"/>
                        <w:kern w:val="0"/>
                        <w14:ligatures w14:val="none"/>
                      </w:rPr>
                      <m:t>ijt</m:t>
                    </m:r>
                  </m:sub>
                </m:sSub>
              </m:oMath>
            </m:oMathPara>
          </w:p>
        </w:tc>
        <w:tc>
          <w:tcPr>
            <w:tcW w:w="921" w:type="dxa"/>
            <w:vAlign w:val="center"/>
          </w:tcPr>
          <w:p w14:paraId="499DF63B" w14:textId="27887900" w:rsidR="0051499F" w:rsidRPr="00D868ED" w:rsidRDefault="0051499F" w:rsidP="00CE5C32">
            <w:pPr>
              <w:bidi w:val="0"/>
              <w:spacing w:before="120" w:after="120"/>
              <w:jc w:val="center"/>
              <w:rPr>
                <w:rFonts w:asciiTheme="majorBidi" w:hAnsiTheme="majorBidi" w:cstheme="majorBidi"/>
                <w:kern w:val="0"/>
                <w14:ligatures w14:val="none"/>
              </w:rPr>
            </w:pPr>
            <w:r w:rsidRPr="00D868ED">
              <w:rPr>
                <w:rFonts w:asciiTheme="majorBidi" w:hAnsiTheme="majorBidi" w:cstheme="majorBidi"/>
              </w:rPr>
              <w:t>(</w:t>
            </w:r>
            <w:r w:rsidRPr="00D868ED">
              <w:rPr>
                <w:rFonts w:asciiTheme="majorBidi" w:hAnsiTheme="majorBidi" w:cstheme="majorBidi"/>
              </w:rPr>
              <w:fldChar w:fldCharType="begin"/>
            </w:r>
            <w:r w:rsidRPr="00D868ED">
              <w:rPr>
                <w:rFonts w:asciiTheme="majorBidi" w:hAnsiTheme="majorBidi" w:cstheme="majorBidi"/>
              </w:rPr>
              <w:instrText xml:space="preserve"> SEQ Equation \* ARABIC </w:instrText>
            </w:r>
            <w:r w:rsidRPr="00D868ED">
              <w:rPr>
                <w:rFonts w:asciiTheme="majorBidi" w:hAnsiTheme="majorBidi" w:cstheme="majorBidi"/>
              </w:rPr>
              <w:fldChar w:fldCharType="separate"/>
            </w:r>
            <w:r w:rsidR="00EC28FA" w:rsidRPr="00D868ED">
              <w:rPr>
                <w:rFonts w:asciiTheme="majorBidi" w:hAnsiTheme="majorBidi" w:cstheme="majorBidi"/>
                <w:noProof/>
              </w:rPr>
              <w:t>8</w:t>
            </w:r>
            <w:r w:rsidRPr="00D868ED">
              <w:rPr>
                <w:rFonts w:asciiTheme="majorBidi" w:hAnsiTheme="majorBidi" w:cstheme="majorBidi"/>
              </w:rPr>
              <w:fldChar w:fldCharType="end"/>
            </w:r>
            <w:r w:rsidRPr="00D868ED">
              <w:rPr>
                <w:rFonts w:asciiTheme="majorBidi" w:hAnsiTheme="majorBidi" w:cstheme="majorBidi"/>
              </w:rPr>
              <w:t>)</w:t>
            </w:r>
          </w:p>
        </w:tc>
      </w:tr>
    </w:tbl>
    <w:p w14:paraId="2B1846EC" w14:textId="77777777" w:rsidR="00E066AC" w:rsidRPr="00D868ED" w:rsidRDefault="00E066AC" w:rsidP="00CE5C32">
      <w:pPr>
        <w:bidi w:val="0"/>
        <w:spacing w:after="120" w:line="288" w:lineRule="auto"/>
        <w:rPr>
          <w:rFonts w:ascii="Times New Roman" w:hAnsi="Times New Roman"/>
          <w:kern w:val="0"/>
          <w14:ligatures w14:val="none"/>
        </w:rPr>
      </w:pPr>
      <w:r w:rsidRPr="00D868ED">
        <w:rPr>
          <w:rFonts w:ascii="Times New Roman" w:hAnsi="Times New Roman"/>
          <w:kern w:val="0"/>
          <w14:ligatures w14:val="none"/>
        </w:rPr>
        <w:t>An extended specification includes GDP controls: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921"/>
      </w:tblGrid>
      <w:tr w:rsidR="0051499F" w:rsidRPr="00D868ED" w14:paraId="721D524E" w14:textId="77777777" w:rsidTr="00162214">
        <w:tc>
          <w:tcPr>
            <w:tcW w:w="8095" w:type="dxa"/>
            <w:vAlign w:val="center"/>
          </w:tcPr>
          <w:p w14:paraId="67F534B9" w14:textId="04886FC7" w:rsidR="0051499F" w:rsidRPr="00D868ED" w:rsidRDefault="00790A07" w:rsidP="00CE5C32">
            <w:pPr>
              <w:bidi w:val="0"/>
              <w:spacing w:before="120" w:after="120" w:line="288" w:lineRule="auto"/>
              <w:jc w:val="center"/>
              <w:rPr>
                <w:rFonts w:ascii="Times New Roman" w:hAnsi="Times New Roman"/>
                <w:kern w:val="0"/>
                <w14:ligatures w14:val="none"/>
              </w:rPr>
            </w:pPr>
            <m:oMathPara>
              <m:oMath>
                <m:r>
                  <w:rPr>
                    <w:rFonts w:ascii="Cambria Math" w:hAnsi="Cambria Math"/>
                    <w:kern w:val="0"/>
                    <w14:ligatures w14:val="none"/>
                  </w:rPr>
                  <m:t>flo</m:t>
                </m:r>
                <m:sSub>
                  <m:sSubPr>
                    <m:ctrlPr>
                      <w:rPr>
                        <w:rFonts w:ascii="Cambria Math" w:hAnsi="Cambria Math"/>
                        <w:kern w:val="0"/>
                        <w14:ligatures w14:val="none"/>
                      </w:rPr>
                    </m:ctrlPr>
                  </m:sSubPr>
                  <m:e>
                    <m:r>
                      <w:rPr>
                        <w:rFonts w:ascii="Cambria Math" w:hAnsi="Cambria Math"/>
                        <w:kern w:val="0"/>
                        <w14:ligatures w14:val="none"/>
                      </w:rPr>
                      <m:t>w</m:t>
                    </m:r>
                  </m:e>
                  <m:sub>
                    <m:r>
                      <w:rPr>
                        <w:rFonts w:ascii="Cambria Math" w:hAnsi="Cambria Math"/>
                        <w:kern w:val="0"/>
                        <w14:ligatures w14:val="none"/>
                      </w:rPr>
                      <m:t>ijt</m:t>
                    </m:r>
                  </m:sub>
                </m:sSub>
                <m:r>
                  <m:rPr>
                    <m:sty m:val="p"/>
                  </m:rPr>
                  <w:rPr>
                    <w:rFonts w:ascii="Cambria Math" w:hAnsi="Cambria Math"/>
                    <w:kern w:val="0"/>
                    <w14:ligatures w14:val="none"/>
                  </w:rPr>
                  <m:t>=exp</m:t>
                </m:r>
                <m:d>
                  <m:dPr>
                    <m:begChr m:val="["/>
                    <m:endChr m:val="]"/>
                    <m:ctrlPr>
                      <w:rPr>
                        <w:rFonts w:ascii="Cambria Math" w:hAnsi="Cambria Math"/>
                        <w:kern w:val="0"/>
                        <w14:ligatures w14:val="none"/>
                      </w:rPr>
                    </m:ctrlPr>
                  </m:dPr>
                  <m:e>
                    <m:sSub>
                      <m:sSubPr>
                        <m:ctrlPr>
                          <w:rPr>
                            <w:rFonts w:ascii="Cambria Math" w:hAnsi="Cambria Math"/>
                            <w:kern w:val="0"/>
                            <w14:ligatures w14:val="none"/>
                          </w:rPr>
                        </m:ctrlPr>
                      </m:sSubPr>
                      <m:e>
                        <m:r>
                          <w:rPr>
                            <w:rFonts w:ascii="Cambria Math" w:hAnsi="Cambria Math"/>
                            <w:kern w:val="0"/>
                            <w14:ligatures w14:val="none"/>
                          </w:rPr>
                          <m:t>ϕ</m:t>
                        </m:r>
                      </m:e>
                      <m:sub>
                        <m:r>
                          <w:rPr>
                            <w:rFonts w:ascii="Cambria Math" w:hAnsi="Cambria Math"/>
                            <w:kern w:val="0"/>
                            <w14:ligatures w14:val="none"/>
                          </w:rPr>
                          <m:t>0</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ϕ</m:t>
                        </m:r>
                      </m:e>
                      <m:sub>
                        <m:r>
                          <w:rPr>
                            <w:rFonts w:ascii="Cambria Math" w:hAnsi="Cambria Math"/>
                            <w:kern w:val="0"/>
                            <w14:ligatures w14:val="none"/>
                          </w:rPr>
                          <m:t>1</m:t>
                        </m:r>
                      </m:sub>
                    </m:sSub>
                    <m:r>
                      <m:rPr>
                        <m:sty m:val="p"/>
                      </m:rPr>
                      <w:rPr>
                        <w:rFonts w:ascii="Cambria Math" w:hAnsi="Cambria Math"/>
                        <w:kern w:val="0"/>
                        <w14:ligatures w14:val="none"/>
                      </w:rPr>
                      <m:t>ln(</m:t>
                    </m:r>
                    <m:r>
                      <w:rPr>
                        <w:rFonts w:ascii="Cambria Math" w:hAnsi="Cambria Math"/>
                        <w:kern w:val="0"/>
                        <w14:ligatures w14:val="none"/>
                      </w:rPr>
                      <m:t>gd</m:t>
                    </m:r>
                    <m:sSub>
                      <m:sSubPr>
                        <m:ctrlPr>
                          <w:rPr>
                            <w:rFonts w:ascii="Cambria Math" w:hAnsi="Cambria Math"/>
                            <w:kern w:val="0"/>
                            <w14:ligatures w14:val="none"/>
                          </w:rPr>
                        </m:ctrlPr>
                      </m:sSubPr>
                      <m:e>
                        <m:r>
                          <w:rPr>
                            <w:rFonts w:ascii="Cambria Math" w:hAnsi="Cambria Math"/>
                            <w:kern w:val="0"/>
                            <w14:ligatures w14:val="none"/>
                          </w:rPr>
                          <m:t>p</m:t>
                        </m:r>
                      </m:e>
                      <m:sub>
                        <m:r>
                          <w:rPr>
                            <w:rFonts w:ascii="Cambria Math" w:hAnsi="Cambria Math"/>
                            <w:kern w:val="0"/>
                            <w14:ligatures w14:val="none"/>
                          </w:rPr>
                          <m:t>o</m:t>
                        </m:r>
                        <m:r>
                          <m:rPr>
                            <m:sty m:val="p"/>
                          </m:rPr>
                          <w:rPr>
                            <w:rFonts w:ascii="Cambria Math" w:hAnsi="Cambria Math"/>
                            <w:kern w:val="0"/>
                            <w14:ligatures w14:val="none"/>
                          </w:rPr>
                          <m:t>,</m:t>
                        </m:r>
                        <m:r>
                          <w:rPr>
                            <w:rFonts w:ascii="Cambria Math" w:hAnsi="Cambria Math"/>
                            <w:kern w:val="0"/>
                            <w14:ligatures w14:val="none"/>
                          </w:rPr>
                          <m:t>it</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ϕ</m:t>
                        </m:r>
                      </m:e>
                      <m:sub>
                        <m:r>
                          <w:rPr>
                            <w:rFonts w:ascii="Cambria Math" w:hAnsi="Cambria Math"/>
                            <w:kern w:val="0"/>
                            <w14:ligatures w14:val="none"/>
                          </w:rPr>
                          <m:t>2</m:t>
                        </m:r>
                      </m:sub>
                    </m:sSub>
                    <m:r>
                      <m:rPr>
                        <m:sty m:val="p"/>
                      </m:rPr>
                      <w:rPr>
                        <w:rFonts w:ascii="Cambria Math" w:hAnsi="Cambria Math"/>
                        <w:kern w:val="0"/>
                        <w14:ligatures w14:val="none"/>
                      </w:rPr>
                      <m:t>ln(</m:t>
                    </m:r>
                    <m:r>
                      <w:rPr>
                        <w:rFonts w:ascii="Cambria Math" w:hAnsi="Cambria Math"/>
                        <w:kern w:val="0"/>
                        <w14:ligatures w14:val="none"/>
                      </w:rPr>
                      <m:t>gd</m:t>
                    </m:r>
                    <m:sSub>
                      <m:sSubPr>
                        <m:ctrlPr>
                          <w:rPr>
                            <w:rFonts w:ascii="Cambria Math" w:hAnsi="Cambria Math"/>
                            <w:kern w:val="0"/>
                            <w14:ligatures w14:val="none"/>
                          </w:rPr>
                        </m:ctrlPr>
                      </m:sSubPr>
                      <m:e>
                        <m:r>
                          <w:rPr>
                            <w:rFonts w:ascii="Cambria Math" w:hAnsi="Cambria Math"/>
                            <w:kern w:val="0"/>
                            <w14:ligatures w14:val="none"/>
                          </w:rPr>
                          <m:t>p</m:t>
                        </m:r>
                      </m:e>
                      <m:sub>
                        <m:r>
                          <w:rPr>
                            <w:rFonts w:ascii="Cambria Math" w:hAnsi="Cambria Math"/>
                            <w:kern w:val="0"/>
                            <w14:ligatures w14:val="none"/>
                          </w:rPr>
                          <m:t>d</m:t>
                        </m:r>
                        <m:r>
                          <m:rPr>
                            <m:sty m:val="p"/>
                          </m:rPr>
                          <w:rPr>
                            <w:rFonts w:ascii="Cambria Math" w:hAnsi="Cambria Math"/>
                            <w:kern w:val="0"/>
                            <w14:ligatures w14:val="none"/>
                          </w:rPr>
                          <m:t>,</m:t>
                        </m:r>
                        <m:r>
                          <w:rPr>
                            <w:rFonts w:ascii="Cambria Math" w:hAnsi="Cambria Math"/>
                            <w:kern w:val="0"/>
                            <w14:ligatures w14:val="none"/>
                          </w:rPr>
                          <m:t>jt</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ϕ</m:t>
                        </m:r>
                      </m:e>
                      <m:sub>
                        <m:r>
                          <w:rPr>
                            <w:rFonts w:ascii="Cambria Math" w:hAnsi="Cambria Math"/>
                            <w:kern w:val="0"/>
                            <w14:ligatures w14:val="none"/>
                          </w:rPr>
                          <m:t>3</m:t>
                        </m:r>
                      </m:sub>
                    </m:sSub>
                    <m:r>
                      <m:rPr>
                        <m:sty m:val="p"/>
                      </m:rPr>
                      <w:rPr>
                        <w:rFonts w:ascii="Cambria Math" w:hAnsi="Cambria Math"/>
                        <w:kern w:val="0"/>
                        <w14:ligatures w14:val="none"/>
                      </w:rPr>
                      <m:t>ln(</m:t>
                    </m:r>
                    <m:r>
                      <w:rPr>
                        <w:rFonts w:ascii="Cambria Math" w:hAnsi="Cambria Math"/>
                        <w:kern w:val="0"/>
                        <w14:ligatures w14:val="none"/>
                      </w:rPr>
                      <m:t>dist</m:t>
                    </m:r>
                    <m:sSub>
                      <m:sSubPr>
                        <m:ctrlPr>
                          <w:rPr>
                            <w:rFonts w:ascii="Cambria Math" w:hAnsi="Cambria Math"/>
                            <w:kern w:val="0"/>
                            <w14:ligatures w14:val="none"/>
                          </w:rPr>
                        </m:ctrlPr>
                      </m:sSubPr>
                      <m:e>
                        <m:r>
                          <w:rPr>
                            <w:rFonts w:ascii="Cambria Math" w:hAnsi="Cambria Math"/>
                            <w:kern w:val="0"/>
                            <w14:ligatures w14:val="none"/>
                          </w:rPr>
                          <m:t>w</m:t>
                        </m:r>
                      </m:e>
                      <m:sub>
                        <m:r>
                          <w:rPr>
                            <w:rFonts w:ascii="Cambria Math" w:hAnsi="Cambria Math"/>
                            <w:kern w:val="0"/>
                            <w14:ligatures w14:val="none"/>
                          </w:rPr>
                          <m:t>ij</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ϕ</m:t>
                        </m:r>
                      </m:e>
                      <m:sub>
                        <m:r>
                          <w:rPr>
                            <w:rFonts w:ascii="Cambria Math" w:hAnsi="Cambria Math"/>
                            <w:kern w:val="0"/>
                            <w14:ligatures w14:val="none"/>
                          </w:rPr>
                          <m:t>4</m:t>
                        </m:r>
                      </m:sub>
                    </m:sSub>
                    <m:r>
                      <w:rPr>
                        <w:rFonts w:ascii="Cambria Math" w:hAnsi="Cambria Math"/>
                        <w:kern w:val="0"/>
                        <w14:ligatures w14:val="none"/>
                      </w:rPr>
                      <m:t>comlang</m:t>
                    </m:r>
                    <m:r>
                      <m:rPr>
                        <m:sty m:val="p"/>
                      </m:rPr>
                      <w:rPr>
                        <w:rFonts w:ascii="Cambria Math" w:hAnsi="Cambria Math"/>
                        <w:kern w:val="0"/>
                        <w14:ligatures w14:val="none"/>
                      </w:rPr>
                      <m:t>_</m:t>
                    </m:r>
                    <m:r>
                      <w:rPr>
                        <w:rFonts w:ascii="Cambria Math" w:hAnsi="Cambria Math"/>
                        <w:kern w:val="0"/>
                        <w14:ligatures w14:val="none"/>
                      </w:rPr>
                      <m:t>of</m:t>
                    </m:r>
                    <m:sSub>
                      <m:sSubPr>
                        <m:ctrlPr>
                          <w:rPr>
                            <w:rFonts w:ascii="Cambria Math" w:hAnsi="Cambria Math"/>
                            <w:kern w:val="0"/>
                            <w14:ligatures w14:val="none"/>
                          </w:rPr>
                        </m:ctrlPr>
                      </m:sSubPr>
                      <m:e>
                        <m:r>
                          <w:rPr>
                            <w:rFonts w:ascii="Cambria Math" w:hAnsi="Cambria Math"/>
                            <w:kern w:val="0"/>
                            <w14:ligatures w14:val="none"/>
                          </w:rPr>
                          <m:t>f</m:t>
                        </m:r>
                      </m:e>
                      <m:sub>
                        <m:r>
                          <w:rPr>
                            <w:rFonts w:ascii="Cambria Math" w:hAnsi="Cambria Math"/>
                            <w:kern w:val="0"/>
                            <w14:ligatures w14:val="none"/>
                          </w:rPr>
                          <m:t>ij</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ϕ</m:t>
                        </m:r>
                      </m:e>
                      <m:sub>
                        <m:r>
                          <w:rPr>
                            <w:rFonts w:ascii="Cambria Math" w:hAnsi="Cambria Math"/>
                            <w:kern w:val="0"/>
                            <w14:ligatures w14:val="none"/>
                          </w:rPr>
                          <m:t>5</m:t>
                        </m:r>
                      </m:sub>
                    </m:sSub>
                    <m:r>
                      <w:rPr>
                        <w:rFonts w:ascii="Cambria Math" w:hAnsi="Cambria Math"/>
                        <w:kern w:val="0"/>
                        <w14:ligatures w14:val="none"/>
                      </w:rPr>
                      <m:t>conti</m:t>
                    </m:r>
                    <m:sSub>
                      <m:sSubPr>
                        <m:ctrlPr>
                          <w:rPr>
                            <w:rFonts w:ascii="Cambria Math" w:hAnsi="Cambria Math"/>
                            <w:kern w:val="0"/>
                            <w14:ligatures w14:val="none"/>
                          </w:rPr>
                        </m:ctrlPr>
                      </m:sSubPr>
                      <m:e>
                        <m:r>
                          <w:rPr>
                            <w:rFonts w:ascii="Cambria Math" w:hAnsi="Cambria Math"/>
                            <w:kern w:val="0"/>
                            <w14:ligatures w14:val="none"/>
                          </w:rPr>
                          <m:t>g</m:t>
                        </m:r>
                      </m:e>
                      <m:sub>
                        <m:r>
                          <w:rPr>
                            <w:rFonts w:ascii="Cambria Math" w:hAnsi="Cambria Math"/>
                            <w:kern w:val="0"/>
                            <w14:ligatures w14:val="none"/>
                          </w:rPr>
                          <m:t>ij</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ϕ</m:t>
                        </m:r>
                      </m:e>
                      <m:sub>
                        <m:r>
                          <w:rPr>
                            <w:rFonts w:ascii="Cambria Math" w:hAnsi="Cambria Math"/>
                            <w:kern w:val="0"/>
                            <w14:ligatures w14:val="none"/>
                          </w:rPr>
                          <m:t>6</m:t>
                        </m:r>
                      </m:sub>
                    </m:sSub>
                    <m:r>
                      <w:rPr>
                        <w:rFonts w:ascii="Cambria Math" w:hAnsi="Cambria Math"/>
                        <w:kern w:val="0"/>
                        <w14:ligatures w14:val="none"/>
                      </w:rPr>
                      <m:t>wto</m:t>
                    </m:r>
                    <m:r>
                      <m:rPr>
                        <m:sty m:val="p"/>
                      </m:rPr>
                      <w:rPr>
                        <w:rFonts w:ascii="Cambria Math" w:hAnsi="Cambria Math"/>
                        <w:kern w:val="0"/>
                        <w14:ligatures w14:val="none"/>
                      </w:rPr>
                      <m:t>_</m:t>
                    </m:r>
                    <m:r>
                      <w:rPr>
                        <w:rFonts w:ascii="Cambria Math" w:hAnsi="Cambria Math"/>
                        <w:kern w:val="0"/>
                        <w14:ligatures w14:val="none"/>
                      </w:rPr>
                      <m:t>join</m:t>
                    </m:r>
                    <m:sSub>
                      <m:sSubPr>
                        <m:ctrlPr>
                          <w:rPr>
                            <w:rFonts w:ascii="Cambria Math" w:hAnsi="Cambria Math"/>
                            <w:kern w:val="0"/>
                            <w14:ligatures w14:val="none"/>
                          </w:rPr>
                        </m:ctrlPr>
                      </m:sSubPr>
                      <m:e>
                        <m:r>
                          <w:rPr>
                            <w:rFonts w:ascii="Cambria Math" w:hAnsi="Cambria Math"/>
                            <w:kern w:val="0"/>
                            <w14:ligatures w14:val="none"/>
                          </w:rPr>
                          <m:t>t</m:t>
                        </m:r>
                      </m:e>
                      <m:sub>
                        <m:r>
                          <w:rPr>
                            <w:rFonts w:ascii="Cambria Math" w:hAnsi="Cambria Math"/>
                            <w:kern w:val="0"/>
                            <w14:ligatures w14:val="none"/>
                          </w:rPr>
                          <m:t>ijt</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ϕ</m:t>
                        </m:r>
                      </m:e>
                      <m:sub>
                        <m:r>
                          <w:rPr>
                            <w:rFonts w:ascii="Cambria Math" w:hAnsi="Cambria Math"/>
                            <w:kern w:val="0"/>
                            <w14:ligatures w14:val="none"/>
                          </w:rPr>
                          <m:t>7</m:t>
                        </m:r>
                      </m:sub>
                    </m:sSub>
                    <m:r>
                      <w:rPr>
                        <w:rFonts w:ascii="Cambria Math" w:hAnsi="Cambria Math"/>
                        <w:kern w:val="0"/>
                        <w14:ligatures w14:val="none"/>
                      </w:rPr>
                      <m:t>EU</m:t>
                    </m:r>
                    <m:r>
                      <m:rPr>
                        <m:sty m:val="p"/>
                      </m:rPr>
                      <w:rPr>
                        <w:rFonts w:ascii="Cambria Math" w:hAnsi="Cambria Math"/>
                        <w:kern w:val="0"/>
                        <w14:ligatures w14:val="none"/>
                      </w:rPr>
                      <m:t>_</m:t>
                    </m:r>
                    <m:r>
                      <w:rPr>
                        <w:rFonts w:ascii="Cambria Math" w:hAnsi="Cambria Math"/>
                        <w:kern w:val="0"/>
                        <w14:ligatures w14:val="none"/>
                      </w:rPr>
                      <m:t>join</m:t>
                    </m:r>
                    <m:sSub>
                      <m:sSubPr>
                        <m:ctrlPr>
                          <w:rPr>
                            <w:rFonts w:ascii="Cambria Math" w:hAnsi="Cambria Math"/>
                            <w:kern w:val="0"/>
                            <w14:ligatures w14:val="none"/>
                          </w:rPr>
                        </m:ctrlPr>
                      </m:sSubPr>
                      <m:e>
                        <m:r>
                          <w:rPr>
                            <w:rFonts w:ascii="Cambria Math" w:hAnsi="Cambria Math"/>
                            <w:kern w:val="0"/>
                            <w14:ligatures w14:val="none"/>
                          </w:rPr>
                          <m:t>t</m:t>
                        </m:r>
                      </m:e>
                      <m:sub>
                        <m:r>
                          <w:rPr>
                            <w:rFonts w:ascii="Cambria Math" w:hAnsi="Cambria Math"/>
                            <w:kern w:val="0"/>
                            <w14:ligatures w14:val="none"/>
                          </w:rPr>
                          <m:t>ijt</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ϕ</m:t>
                        </m:r>
                      </m:e>
                      <m:sub>
                        <m:r>
                          <w:rPr>
                            <w:rFonts w:ascii="Cambria Math" w:hAnsi="Cambria Math"/>
                            <w:kern w:val="0"/>
                            <w14:ligatures w14:val="none"/>
                          </w:rPr>
                          <m:t>8</m:t>
                        </m:r>
                      </m:sub>
                    </m:sSub>
                    <m:r>
                      <w:rPr>
                        <w:rFonts w:ascii="Cambria Math" w:hAnsi="Cambria Math"/>
                        <w:kern w:val="0"/>
                        <w14:ligatures w14:val="none"/>
                      </w:rPr>
                      <m:t>EAEU</m:t>
                    </m:r>
                    <m:r>
                      <m:rPr>
                        <m:sty m:val="p"/>
                      </m:rPr>
                      <w:rPr>
                        <w:rFonts w:ascii="Cambria Math" w:hAnsi="Cambria Math"/>
                        <w:kern w:val="0"/>
                        <w14:ligatures w14:val="none"/>
                      </w:rPr>
                      <m:t>_</m:t>
                    </m:r>
                    <m:r>
                      <w:rPr>
                        <w:rFonts w:ascii="Cambria Math" w:hAnsi="Cambria Math"/>
                        <w:kern w:val="0"/>
                        <w14:ligatures w14:val="none"/>
                      </w:rPr>
                      <m:t>join</m:t>
                    </m:r>
                    <m:sSub>
                      <m:sSubPr>
                        <m:ctrlPr>
                          <w:rPr>
                            <w:rFonts w:ascii="Cambria Math" w:hAnsi="Cambria Math"/>
                            <w:kern w:val="0"/>
                            <w14:ligatures w14:val="none"/>
                          </w:rPr>
                        </m:ctrlPr>
                      </m:sSubPr>
                      <m:e>
                        <m:r>
                          <w:rPr>
                            <w:rFonts w:ascii="Cambria Math" w:hAnsi="Cambria Math"/>
                            <w:kern w:val="0"/>
                            <w14:ligatures w14:val="none"/>
                          </w:rPr>
                          <m:t>t</m:t>
                        </m:r>
                      </m:e>
                      <m:sub>
                        <m:r>
                          <w:rPr>
                            <w:rFonts w:ascii="Cambria Math" w:hAnsi="Cambria Math"/>
                            <w:kern w:val="0"/>
                            <w14:ligatures w14:val="none"/>
                          </w:rPr>
                          <m:t>ijt</m:t>
                        </m:r>
                      </m:sub>
                    </m:sSub>
                  </m:e>
                </m:d>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ξ</m:t>
                    </m:r>
                  </m:e>
                  <m:sub>
                    <m:r>
                      <w:rPr>
                        <w:rFonts w:ascii="Cambria Math" w:hAnsi="Cambria Math"/>
                        <w:kern w:val="0"/>
                        <w14:ligatures w14:val="none"/>
                      </w:rPr>
                      <m:t>ijt</m:t>
                    </m:r>
                  </m:sub>
                </m:sSub>
              </m:oMath>
            </m:oMathPara>
          </w:p>
        </w:tc>
        <w:tc>
          <w:tcPr>
            <w:tcW w:w="921" w:type="dxa"/>
            <w:vAlign w:val="center"/>
          </w:tcPr>
          <w:p w14:paraId="44F47AF1" w14:textId="27D5DC79" w:rsidR="0051499F" w:rsidRPr="00D868ED" w:rsidRDefault="0051499F" w:rsidP="00CE5C32">
            <w:pPr>
              <w:bidi w:val="0"/>
              <w:spacing w:before="120" w:after="120"/>
              <w:jc w:val="center"/>
              <w:rPr>
                <w:rFonts w:asciiTheme="majorBidi" w:hAnsiTheme="majorBidi" w:cstheme="majorBidi"/>
                <w:kern w:val="0"/>
                <w14:ligatures w14:val="none"/>
              </w:rPr>
            </w:pPr>
            <w:r w:rsidRPr="00D868ED">
              <w:rPr>
                <w:rFonts w:asciiTheme="majorBidi" w:hAnsiTheme="majorBidi" w:cstheme="majorBidi"/>
              </w:rPr>
              <w:t>(</w:t>
            </w:r>
            <w:r w:rsidRPr="00D868ED">
              <w:rPr>
                <w:rFonts w:asciiTheme="majorBidi" w:hAnsiTheme="majorBidi" w:cstheme="majorBidi"/>
              </w:rPr>
              <w:fldChar w:fldCharType="begin"/>
            </w:r>
            <w:r w:rsidRPr="00D868ED">
              <w:rPr>
                <w:rFonts w:asciiTheme="majorBidi" w:hAnsiTheme="majorBidi" w:cstheme="majorBidi"/>
              </w:rPr>
              <w:instrText xml:space="preserve"> SEQ Equation \* ARABIC </w:instrText>
            </w:r>
            <w:r w:rsidRPr="00D868ED">
              <w:rPr>
                <w:rFonts w:asciiTheme="majorBidi" w:hAnsiTheme="majorBidi" w:cstheme="majorBidi"/>
              </w:rPr>
              <w:fldChar w:fldCharType="separate"/>
            </w:r>
            <w:r w:rsidR="00EC28FA" w:rsidRPr="00D868ED">
              <w:rPr>
                <w:rFonts w:asciiTheme="majorBidi" w:hAnsiTheme="majorBidi" w:cstheme="majorBidi"/>
                <w:noProof/>
              </w:rPr>
              <w:t>9</w:t>
            </w:r>
            <w:r w:rsidRPr="00D868ED">
              <w:rPr>
                <w:rFonts w:asciiTheme="majorBidi" w:hAnsiTheme="majorBidi" w:cstheme="majorBidi"/>
              </w:rPr>
              <w:fldChar w:fldCharType="end"/>
            </w:r>
            <w:r w:rsidRPr="00D868ED">
              <w:rPr>
                <w:rFonts w:asciiTheme="majorBidi" w:hAnsiTheme="majorBidi" w:cstheme="majorBidi"/>
              </w:rPr>
              <w:t>)</w:t>
            </w:r>
          </w:p>
        </w:tc>
      </w:tr>
    </w:tbl>
    <w:p w14:paraId="1B40DB9C" w14:textId="2B434130" w:rsidR="00E066AC" w:rsidRDefault="00E066AC" w:rsidP="00CE5C32">
      <w:pPr>
        <w:bidi w:val="0"/>
        <w:spacing w:after="120" w:line="288" w:lineRule="auto"/>
        <w:jc w:val="both"/>
        <w:rPr>
          <w:rFonts w:ascii="Times New Roman" w:hAnsi="Times New Roman"/>
          <w:kern w:val="0"/>
          <w14:ligatures w14:val="none"/>
        </w:rPr>
      </w:pPr>
      <w:r w:rsidRPr="00D868ED">
        <w:rPr>
          <w:rFonts w:ascii="Times New Roman" w:hAnsi="Times New Roman"/>
          <w:kern w:val="0"/>
          <w14:ligatures w14:val="none"/>
        </w:rPr>
        <w:t xml:space="preserve">PPML is preferred because it estimates the gravity equation in levels and is robust to heteroskedasticity. </w:t>
      </w:r>
      <w:r w:rsidR="00BD78CD" w:rsidRPr="00BD78CD">
        <w:rPr>
          <w:rFonts w:ascii="Times New Roman" w:hAnsi="Times New Roman"/>
          <w:kern w:val="0"/>
          <w:highlight w:val="yellow"/>
          <w14:ligatures w14:val="none"/>
        </w:rPr>
        <w:t>In the revised analysis, PPML serves two purposes: it provides robustness to heteroskedasticity in the multiplicative gravity specification and allows additional estimation using zero trade flows.</w:t>
      </w:r>
    </w:p>
    <w:p w14:paraId="2235A82C" w14:textId="77777777" w:rsidR="00E066AC" w:rsidRPr="00D868ED" w:rsidRDefault="00E066AC" w:rsidP="00CE5C32">
      <w:pPr>
        <w:bidi w:val="0"/>
        <w:spacing w:after="120" w:line="288" w:lineRule="auto"/>
        <w:jc w:val="both"/>
        <w:rPr>
          <w:rFonts w:ascii="Times New Roman" w:hAnsi="Times New Roman"/>
          <w:kern w:val="0"/>
          <w14:ligatures w14:val="none"/>
        </w:rPr>
      </w:pPr>
      <w:r w:rsidRPr="00D868ED">
        <w:rPr>
          <w:rFonts w:ascii="Times New Roman" w:hAnsi="Times New Roman"/>
          <w:kern w:val="0"/>
          <w14:ligatures w14:val="none"/>
        </w:rPr>
        <w:t>As an additional robustness exercise, the gravity model is estimated using Gamma Pseudo-Maximum Likelihood (GPML) with a log link: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921"/>
      </w:tblGrid>
      <w:tr w:rsidR="0051499F" w:rsidRPr="00D868ED" w14:paraId="752BC0A6" w14:textId="77777777" w:rsidTr="00162214">
        <w:tc>
          <w:tcPr>
            <w:tcW w:w="8095" w:type="dxa"/>
            <w:vAlign w:val="center"/>
          </w:tcPr>
          <w:p w14:paraId="27FDF28E" w14:textId="01CDC05D" w:rsidR="0051499F" w:rsidRPr="00D868ED" w:rsidRDefault="007B535E" w:rsidP="00CE5C32">
            <w:pPr>
              <w:bidi w:val="0"/>
              <w:spacing w:before="120" w:after="120" w:line="288" w:lineRule="auto"/>
              <w:jc w:val="center"/>
              <w:rPr>
                <w:rFonts w:ascii="Times New Roman" w:hAnsi="Times New Roman"/>
                <w:kern w:val="0"/>
                <w14:ligatures w14:val="none"/>
              </w:rPr>
            </w:pPr>
            <m:oMathPara>
              <m:oMath>
                <m:r>
                  <w:rPr>
                    <w:rFonts w:ascii="Cambria Math" w:hAnsi="Cambria Math"/>
                    <w:kern w:val="0"/>
                    <w14:ligatures w14:val="none"/>
                  </w:rPr>
                  <m:t>E</m:t>
                </m:r>
                <m:r>
                  <m:rPr>
                    <m:sty m:val="p"/>
                  </m:rPr>
                  <w:rPr>
                    <w:rFonts w:ascii="Cambria Math" w:hAnsi="Cambria Math"/>
                    <w:kern w:val="0"/>
                    <w14:ligatures w14:val="none"/>
                  </w:rPr>
                  <m:t>(</m:t>
                </m:r>
                <m:r>
                  <w:rPr>
                    <w:rFonts w:ascii="Cambria Math" w:hAnsi="Cambria Math"/>
                    <w:kern w:val="0"/>
                    <w14:ligatures w14:val="none"/>
                  </w:rPr>
                  <m:t>flo</m:t>
                </m:r>
                <m:sSub>
                  <m:sSubPr>
                    <m:ctrlPr>
                      <w:rPr>
                        <w:rFonts w:ascii="Cambria Math" w:hAnsi="Cambria Math"/>
                        <w:kern w:val="0"/>
                        <w14:ligatures w14:val="none"/>
                      </w:rPr>
                    </m:ctrlPr>
                  </m:sSubPr>
                  <m:e>
                    <m:r>
                      <w:rPr>
                        <w:rFonts w:ascii="Cambria Math" w:hAnsi="Cambria Math"/>
                        <w:kern w:val="0"/>
                        <w14:ligatures w14:val="none"/>
                      </w:rPr>
                      <m:t>w</m:t>
                    </m:r>
                  </m:e>
                  <m:sub>
                    <m:r>
                      <w:rPr>
                        <w:rFonts w:ascii="Cambria Math" w:hAnsi="Cambria Math"/>
                        <w:kern w:val="0"/>
                        <w14:ligatures w14:val="none"/>
                      </w:rPr>
                      <m:t>ijt</m:t>
                    </m:r>
                  </m:sub>
                </m:sSub>
                <m:r>
                  <m:rPr>
                    <m:sty m:val="p"/>
                  </m:rPr>
                  <w:rPr>
                    <w:rFonts w:ascii="Cambria Math" w:hAnsi="Cambria Math"/>
                    <w:kern w:val="0"/>
                    <w14:ligatures w14:val="none"/>
                  </w:rPr>
                  <m:t>∣</m:t>
                </m:r>
                <m:sSub>
                  <m:sSubPr>
                    <m:ctrlPr>
                      <w:rPr>
                        <w:rFonts w:ascii="Cambria Math" w:hAnsi="Cambria Math"/>
                        <w:kern w:val="0"/>
                        <w14:ligatures w14:val="none"/>
                      </w:rPr>
                    </m:ctrlPr>
                  </m:sSubPr>
                  <m:e>
                    <m:r>
                      <w:rPr>
                        <w:rFonts w:ascii="Cambria Math" w:hAnsi="Cambria Math"/>
                        <w:kern w:val="0"/>
                        <w14:ligatures w14:val="none"/>
                      </w:rPr>
                      <m:t>X</m:t>
                    </m:r>
                  </m:e>
                  <m:sub>
                    <m:r>
                      <w:rPr>
                        <w:rFonts w:ascii="Cambria Math" w:hAnsi="Cambria Math"/>
                        <w:kern w:val="0"/>
                        <w14:ligatures w14:val="none"/>
                      </w:rPr>
                      <m:t>ijt</m:t>
                    </m:r>
                  </m:sub>
                </m:sSub>
                <m:r>
                  <m:rPr>
                    <m:sty m:val="p"/>
                  </m:rPr>
                  <w:rPr>
                    <w:rFonts w:ascii="Cambria Math" w:hAnsi="Cambria Math"/>
                    <w:kern w:val="0"/>
                    <w14:ligatures w14:val="none"/>
                  </w:rPr>
                  <m:t>)=exp(</m:t>
                </m:r>
                <m:sSub>
                  <m:sSubPr>
                    <m:ctrlPr>
                      <w:rPr>
                        <w:rFonts w:ascii="Cambria Math" w:hAnsi="Cambria Math"/>
                        <w:kern w:val="0"/>
                        <w14:ligatures w14:val="none"/>
                      </w:rPr>
                    </m:ctrlPr>
                  </m:sSubPr>
                  <m:e>
                    <m:r>
                      <w:rPr>
                        <w:rFonts w:ascii="Cambria Math" w:hAnsi="Cambria Math"/>
                        <w:kern w:val="0"/>
                        <w14:ligatures w14:val="none"/>
                      </w:rPr>
                      <m:t>X</m:t>
                    </m:r>
                  </m:e>
                  <m:sub>
                    <m:r>
                      <w:rPr>
                        <w:rFonts w:ascii="Cambria Math" w:hAnsi="Cambria Math"/>
                        <w:kern w:val="0"/>
                        <w14:ligatures w14:val="none"/>
                      </w:rPr>
                      <m:t>ijt</m:t>
                    </m:r>
                  </m:sub>
                </m:sSub>
                <m:r>
                  <w:rPr>
                    <w:rFonts w:ascii="Cambria Math" w:hAnsi="Cambria Math"/>
                    <w:kern w:val="0"/>
                    <w14:ligatures w14:val="none"/>
                  </w:rPr>
                  <m:t>κ</m:t>
                </m:r>
                <m:r>
                  <m:rPr>
                    <m:sty m:val="p"/>
                  </m:rPr>
                  <w:rPr>
                    <w:rFonts w:ascii="Cambria Math" w:hAnsi="Cambria Math"/>
                    <w:kern w:val="0"/>
                    <w14:ligatures w14:val="none"/>
                  </w:rPr>
                  <m:t>)</m:t>
                </m:r>
              </m:oMath>
            </m:oMathPara>
          </w:p>
        </w:tc>
        <w:tc>
          <w:tcPr>
            <w:tcW w:w="921" w:type="dxa"/>
            <w:vAlign w:val="center"/>
          </w:tcPr>
          <w:p w14:paraId="544EFC24" w14:textId="3A3F42F4" w:rsidR="0051499F" w:rsidRPr="00D868ED" w:rsidRDefault="0051499F" w:rsidP="00CE5C32">
            <w:pPr>
              <w:bidi w:val="0"/>
              <w:spacing w:before="120" w:after="120"/>
              <w:jc w:val="center"/>
              <w:rPr>
                <w:rFonts w:asciiTheme="majorBidi" w:hAnsiTheme="majorBidi" w:cstheme="majorBidi"/>
                <w:kern w:val="0"/>
                <w14:ligatures w14:val="none"/>
              </w:rPr>
            </w:pPr>
            <w:r w:rsidRPr="00D868ED">
              <w:rPr>
                <w:rFonts w:asciiTheme="majorBidi" w:hAnsiTheme="majorBidi" w:cstheme="majorBidi"/>
              </w:rPr>
              <w:t>(</w:t>
            </w:r>
            <w:r w:rsidRPr="00D868ED">
              <w:rPr>
                <w:rFonts w:asciiTheme="majorBidi" w:hAnsiTheme="majorBidi" w:cstheme="majorBidi"/>
              </w:rPr>
              <w:fldChar w:fldCharType="begin"/>
            </w:r>
            <w:r w:rsidRPr="00D868ED">
              <w:rPr>
                <w:rFonts w:asciiTheme="majorBidi" w:hAnsiTheme="majorBidi" w:cstheme="majorBidi"/>
              </w:rPr>
              <w:instrText xml:space="preserve"> SEQ Equation \* ARABIC </w:instrText>
            </w:r>
            <w:r w:rsidRPr="00D868ED">
              <w:rPr>
                <w:rFonts w:asciiTheme="majorBidi" w:hAnsiTheme="majorBidi" w:cstheme="majorBidi"/>
              </w:rPr>
              <w:fldChar w:fldCharType="separate"/>
            </w:r>
            <w:r w:rsidR="00EC28FA" w:rsidRPr="00D868ED">
              <w:rPr>
                <w:rFonts w:asciiTheme="majorBidi" w:hAnsiTheme="majorBidi" w:cstheme="majorBidi"/>
                <w:noProof/>
              </w:rPr>
              <w:t>10</w:t>
            </w:r>
            <w:r w:rsidRPr="00D868ED">
              <w:rPr>
                <w:rFonts w:asciiTheme="majorBidi" w:hAnsiTheme="majorBidi" w:cstheme="majorBidi"/>
              </w:rPr>
              <w:fldChar w:fldCharType="end"/>
            </w:r>
            <w:r w:rsidRPr="00D868ED">
              <w:rPr>
                <w:rFonts w:asciiTheme="majorBidi" w:hAnsiTheme="majorBidi" w:cstheme="majorBidi"/>
              </w:rPr>
              <w:t>)</w:t>
            </w:r>
          </w:p>
        </w:tc>
      </w:tr>
    </w:tbl>
    <w:p w14:paraId="1F2C6A63" w14:textId="77777777" w:rsidR="00E066AC" w:rsidRDefault="00E066AC" w:rsidP="00CE5C32">
      <w:pPr>
        <w:bidi w:val="0"/>
        <w:spacing w:after="120" w:line="288" w:lineRule="auto"/>
        <w:jc w:val="both"/>
        <w:rPr>
          <w:rFonts w:ascii="Times New Roman" w:hAnsi="Times New Roman"/>
          <w:kern w:val="0"/>
          <w14:ligatures w14:val="none"/>
        </w:rPr>
      </w:pPr>
      <w:r w:rsidRPr="00D868ED">
        <w:rPr>
          <w:rFonts w:ascii="Times New Roman" w:hAnsi="Times New Roman"/>
          <w:kern w:val="0"/>
          <w14:ligatures w14:val="none"/>
        </w:rPr>
        <w:t>The Gamma specification is particularly suitable for strictly positive trade data and places less weight on very small observations. Comparing PPML and GPML estimates allows assessment of the sensitivity of results to alternative distributional assumptions.</w:t>
      </w:r>
    </w:p>
    <w:p w14:paraId="0C70515A" w14:textId="77777777" w:rsidR="00A837B5" w:rsidRPr="003E4CAC" w:rsidRDefault="00694A5C" w:rsidP="00CE5C32">
      <w:pPr>
        <w:bidi w:val="0"/>
        <w:spacing w:after="120" w:line="288" w:lineRule="auto"/>
        <w:jc w:val="both"/>
        <w:rPr>
          <w:rFonts w:ascii="Times New Roman" w:hAnsi="Times New Roman"/>
          <w:kern w:val="0"/>
          <w:highlight w:val="yellow"/>
          <w14:ligatures w14:val="none"/>
        </w:rPr>
      </w:pPr>
      <w:r w:rsidRPr="003E4CAC">
        <w:rPr>
          <w:rFonts w:ascii="Times New Roman" w:hAnsi="Times New Roman"/>
          <w:kern w:val="0"/>
          <w:highlight w:val="yellow"/>
          <w14:ligatures w14:val="none"/>
        </w:rPr>
        <w:t xml:space="preserve">To </w:t>
      </w:r>
      <w:r w:rsidR="00AF7718" w:rsidRPr="003E4CAC">
        <w:rPr>
          <w:rFonts w:ascii="Times New Roman" w:hAnsi="Times New Roman"/>
          <w:kern w:val="0"/>
          <w:highlight w:val="yellow"/>
          <w14:ligatures w14:val="none"/>
        </w:rPr>
        <w:t>see</w:t>
      </w:r>
      <w:r w:rsidRPr="003E4CAC">
        <w:rPr>
          <w:rFonts w:ascii="Times New Roman" w:hAnsi="Times New Roman"/>
          <w:kern w:val="0"/>
          <w:highlight w:val="yellow"/>
          <w14:ligatures w14:val="none"/>
        </w:rPr>
        <w:t xml:space="preserve"> </w:t>
      </w:r>
      <w:r w:rsidR="00AF7718" w:rsidRPr="003E4CAC">
        <w:rPr>
          <w:rFonts w:ascii="Times New Roman" w:hAnsi="Times New Roman"/>
          <w:kern w:val="0"/>
          <w:highlight w:val="yellow"/>
          <w14:ligatures w14:val="none"/>
        </w:rPr>
        <w:t xml:space="preserve">if </w:t>
      </w:r>
      <w:r w:rsidRPr="003E4CAC">
        <w:rPr>
          <w:rFonts w:ascii="Times New Roman" w:hAnsi="Times New Roman"/>
          <w:kern w:val="0"/>
          <w:highlight w:val="yellow"/>
          <w14:ligatures w14:val="none"/>
        </w:rPr>
        <w:t xml:space="preserve">zero trade flows </w:t>
      </w:r>
      <w:r w:rsidR="00AF7718" w:rsidRPr="003E4CAC">
        <w:rPr>
          <w:rFonts w:ascii="Times New Roman" w:hAnsi="Times New Roman"/>
          <w:kern w:val="0"/>
          <w:highlight w:val="yellow"/>
          <w14:ligatures w14:val="none"/>
        </w:rPr>
        <w:t>impact the results,</w:t>
      </w:r>
      <w:r w:rsidRPr="003E4CAC">
        <w:rPr>
          <w:rFonts w:ascii="Times New Roman" w:hAnsi="Times New Roman"/>
          <w:kern w:val="0"/>
          <w:highlight w:val="yellow"/>
          <w14:ligatures w14:val="none"/>
        </w:rPr>
        <w:t xml:space="preserve"> we </w:t>
      </w:r>
      <w:r w:rsidR="00AF7718" w:rsidRPr="003E4CAC">
        <w:rPr>
          <w:rFonts w:ascii="Times New Roman" w:hAnsi="Times New Roman"/>
          <w:kern w:val="0"/>
          <w:highlight w:val="yellow"/>
          <w14:ligatures w14:val="none"/>
        </w:rPr>
        <w:t xml:space="preserve">also </w:t>
      </w:r>
      <w:r w:rsidRPr="003E4CAC">
        <w:rPr>
          <w:rFonts w:ascii="Times New Roman" w:hAnsi="Times New Roman"/>
          <w:kern w:val="0"/>
          <w:highlight w:val="yellow"/>
          <w14:ligatures w14:val="none"/>
        </w:rPr>
        <w:t>estimate</w:t>
      </w:r>
      <w:r w:rsidR="00AF7718" w:rsidRPr="003E4CAC">
        <w:rPr>
          <w:rFonts w:ascii="Times New Roman" w:hAnsi="Times New Roman"/>
          <w:kern w:val="0"/>
          <w:highlight w:val="yellow"/>
          <w14:ligatures w14:val="none"/>
        </w:rPr>
        <w:t>d</w:t>
      </w:r>
      <w:r w:rsidRPr="003E4CAC">
        <w:rPr>
          <w:rFonts w:ascii="Times New Roman" w:hAnsi="Times New Roman"/>
          <w:kern w:val="0"/>
          <w:highlight w:val="yellow"/>
          <w14:ligatures w14:val="none"/>
        </w:rPr>
        <w:t xml:space="preserve"> additional PPML specifications using a zero-inclusive sample. The first specification includes exporter and importer GDP, bilateral trade-cost variables, and institutional indicators. The second specification follows the structural gravity framework more closely by including exporter-year and importer-year fixed effects, which absorb time-varying outward and inward multilateral resistance terms.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921"/>
      </w:tblGrid>
      <w:tr w:rsidR="00A837B5" w:rsidRPr="003E4CAC" w14:paraId="5979A53B" w14:textId="77777777" w:rsidTr="007E32CF">
        <w:tc>
          <w:tcPr>
            <w:tcW w:w="8095" w:type="dxa"/>
            <w:vAlign w:val="center"/>
          </w:tcPr>
          <w:p w14:paraId="708EDB7B" w14:textId="6B737319" w:rsidR="00A837B5" w:rsidRPr="003E4CAC" w:rsidRDefault="00276ACD" w:rsidP="00CE5C32">
            <w:pPr>
              <w:bidi w:val="0"/>
              <w:spacing w:before="120" w:after="120" w:line="288" w:lineRule="auto"/>
              <w:jc w:val="center"/>
              <w:rPr>
                <w:rFonts w:ascii="Times New Roman" w:hAnsi="Times New Roman"/>
                <w:kern w:val="0"/>
                <w:highlight w:val="yellow"/>
                <w14:ligatures w14:val="none"/>
              </w:rPr>
            </w:pPr>
            <m:oMathPara>
              <m:oMath>
                <m:r>
                  <w:rPr>
                    <w:rFonts w:ascii="Cambria Math" w:hAnsi="Cambria Math"/>
                    <w:kern w:val="0"/>
                    <w:highlight w:val="yellow"/>
                    <w14:ligatures w14:val="none"/>
                  </w:rPr>
                  <m:t>flo</m:t>
                </m:r>
                <m:sSub>
                  <m:sSubPr>
                    <m:ctrlPr>
                      <w:rPr>
                        <w:rFonts w:ascii="Cambria Math" w:hAnsi="Cambria Math"/>
                        <w:kern w:val="0"/>
                        <w:highlight w:val="yellow"/>
                        <w14:ligatures w14:val="none"/>
                      </w:rPr>
                    </m:ctrlPr>
                  </m:sSubPr>
                  <m:e>
                    <m:r>
                      <w:rPr>
                        <w:rFonts w:ascii="Cambria Math" w:hAnsi="Cambria Math"/>
                        <w:kern w:val="0"/>
                        <w:highlight w:val="yellow"/>
                        <w14:ligatures w14:val="none"/>
                      </w:rPr>
                      <m:t>w</m:t>
                    </m:r>
                  </m:e>
                  <m:sub>
                    <m:r>
                      <w:rPr>
                        <w:rFonts w:ascii="Cambria Math" w:hAnsi="Cambria Math"/>
                        <w:kern w:val="0"/>
                        <w:highlight w:val="yellow"/>
                        <w14:ligatures w14:val="none"/>
                      </w:rPr>
                      <m:t>ijt</m:t>
                    </m:r>
                  </m:sub>
                </m:sSub>
                <m:r>
                  <m:rPr>
                    <m:sty m:val="p"/>
                  </m:rPr>
                  <w:rPr>
                    <w:rFonts w:ascii="Cambria Math" w:hAnsi="Cambria Math"/>
                    <w:kern w:val="0"/>
                    <w:highlight w:val="yellow"/>
                    <w14:ligatures w14:val="none"/>
                  </w:rPr>
                  <m:t>=exp</m:t>
                </m:r>
                <m:d>
                  <m:dPr>
                    <m:begChr m:val="["/>
                    <m:endChr m:val="]"/>
                    <m:ctrlPr>
                      <w:rPr>
                        <w:rFonts w:ascii="Cambria Math" w:hAnsi="Cambria Math"/>
                        <w:kern w:val="0"/>
                        <w:highlight w:val="yellow"/>
                        <w14:ligatures w14:val="none"/>
                      </w:rPr>
                    </m:ctrlPr>
                  </m:dPr>
                  <m:e>
                    <m:sSub>
                      <m:sSubPr>
                        <m:ctrlPr>
                          <w:rPr>
                            <w:rFonts w:ascii="Cambria Math" w:hAnsi="Cambria Math"/>
                            <w:kern w:val="0"/>
                            <w:highlight w:val="yellow"/>
                            <w14:ligatures w14:val="none"/>
                          </w:rPr>
                        </m:ctrlPr>
                      </m:sSubPr>
                      <m:e>
                        <m:r>
                          <w:rPr>
                            <w:rFonts w:ascii="Cambria Math" w:hAnsi="Cambria Math"/>
                            <w:kern w:val="0"/>
                            <w:highlight w:val="yellow"/>
                            <w14:ligatures w14:val="none"/>
                          </w:rPr>
                          <m:t>β</m:t>
                        </m:r>
                      </m:e>
                      <m:sub>
                        <m:r>
                          <w:rPr>
                            <w:rFonts w:ascii="Cambria Math" w:hAnsi="Cambria Math"/>
                            <w:kern w:val="0"/>
                            <w:highlight w:val="yellow"/>
                            <w14:ligatures w14:val="none"/>
                          </w:rPr>
                          <m:t>1</m:t>
                        </m:r>
                      </m:sub>
                    </m:sSub>
                    <m:r>
                      <m:rPr>
                        <m:sty m:val="p"/>
                      </m:rPr>
                      <w:rPr>
                        <w:rFonts w:ascii="Cambria Math" w:hAnsi="Cambria Math"/>
                        <w:kern w:val="0"/>
                        <w:highlight w:val="yellow"/>
                        <w14:ligatures w14:val="none"/>
                      </w:rPr>
                      <m:t>+</m:t>
                    </m:r>
                    <m:sSub>
                      <m:sSubPr>
                        <m:ctrlPr>
                          <w:rPr>
                            <w:rFonts w:ascii="Cambria Math" w:hAnsi="Cambria Math"/>
                            <w:kern w:val="0"/>
                            <w:highlight w:val="yellow"/>
                            <w14:ligatures w14:val="none"/>
                          </w:rPr>
                        </m:ctrlPr>
                      </m:sSubPr>
                      <m:e>
                        <m:r>
                          <w:rPr>
                            <w:rFonts w:ascii="Cambria Math" w:hAnsi="Cambria Math"/>
                            <w:kern w:val="0"/>
                            <w:highlight w:val="yellow"/>
                            <w14:ligatures w14:val="none"/>
                          </w:rPr>
                          <m:t>β</m:t>
                        </m:r>
                      </m:e>
                      <m:sub>
                        <m:r>
                          <w:rPr>
                            <w:rFonts w:ascii="Cambria Math" w:hAnsi="Cambria Math"/>
                            <w:kern w:val="0"/>
                            <w:highlight w:val="yellow"/>
                            <w14:ligatures w14:val="none"/>
                          </w:rPr>
                          <m:t>1</m:t>
                        </m:r>
                      </m:sub>
                    </m:sSub>
                    <m:r>
                      <m:rPr>
                        <m:sty m:val="p"/>
                      </m:rPr>
                      <w:rPr>
                        <w:rFonts w:ascii="Cambria Math" w:hAnsi="Cambria Math"/>
                        <w:kern w:val="0"/>
                        <w:highlight w:val="yellow"/>
                        <w14:ligatures w14:val="none"/>
                      </w:rPr>
                      <m:t>ln</m:t>
                    </m:r>
                    <m:d>
                      <m:dPr>
                        <m:ctrlPr>
                          <w:rPr>
                            <w:rFonts w:ascii="Cambria Math" w:hAnsi="Cambria Math"/>
                            <w:kern w:val="0"/>
                            <w:highlight w:val="yellow"/>
                            <w14:ligatures w14:val="none"/>
                          </w:rPr>
                        </m:ctrlPr>
                      </m:dPr>
                      <m:e>
                        <m:r>
                          <w:rPr>
                            <w:rFonts w:ascii="Cambria Math" w:hAnsi="Cambria Math"/>
                            <w:kern w:val="0"/>
                            <w:highlight w:val="yellow"/>
                            <w14:ligatures w14:val="none"/>
                          </w:rPr>
                          <m:t>gd</m:t>
                        </m:r>
                        <m:sSub>
                          <m:sSubPr>
                            <m:ctrlPr>
                              <w:rPr>
                                <w:rFonts w:ascii="Cambria Math" w:hAnsi="Cambria Math"/>
                                <w:kern w:val="0"/>
                                <w:highlight w:val="yellow"/>
                                <w14:ligatures w14:val="none"/>
                              </w:rPr>
                            </m:ctrlPr>
                          </m:sSubPr>
                          <m:e>
                            <m:r>
                              <w:rPr>
                                <w:rFonts w:ascii="Cambria Math" w:hAnsi="Cambria Math"/>
                                <w:kern w:val="0"/>
                                <w:highlight w:val="yellow"/>
                                <w14:ligatures w14:val="none"/>
                              </w:rPr>
                              <m:t>p</m:t>
                            </m:r>
                          </m:e>
                          <m:sub>
                            <m:r>
                              <w:rPr>
                                <w:rFonts w:ascii="Cambria Math" w:hAnsi="Cambria Math"/>
                                <w:kern w:val="0"/>
                                <w:highlight w:val="yellow"/>
                                <w14:ligatures w14:val="none"/>
                              </w:rPr>
                              <m:t>o</m:t>
                            </m:r>
                            <m:r>
                              <m:rPr>
                                <m:sty m:val="p"/>
                              </m:rPr>
                              <w:rPr>
                                <w:rFonts w:ascii="Cambria Math" w:hAnsi="Cambria Math"/>
                                <w:kern w:val="0"/>
                                <w:highlight w:val="yellow"/>
                                <w14:ligatures w14:val="none"/>
                              </w:rPr>
                              <m:t>,</m:t>
                            </m:r>
                            <m:r>
                              <w:rPr>
                                <w:rFonts w:ascii="Cambria Math" w:hAnsi="Cambria Math"/>
                                <w:kern w:val="0"/>
                                <w:highlight w:val="yellow"/>
                                <w14:ligatures w14:val="none"/>
                              </w:rPr>
                              <m:t>it</m:t>
                            </m:r>
                          </m:sub>
                        </m:sSub>
                      </m:e>
                    </m:d>
                    <m:r>
                      <m:rPr>
                        <m:sty m:val="p"/>
                      </m:rPr>
                      <w:rPr>
                        <w:rFonts w:ascii="Cambria Math" w:hAnsi="Cambria Math"/>
                        <w:kern w:val="0"/>
                        <w:highlight w:val="yellow"/>
                        <w14:ligatures w14:val="none"/>
                      </w:rPr>
                      <m:t>+</m:t>
                    </m:r>
                    <m:sSub>
                      <m:sSubPr>
                        <m:ctrlPr>
                          <w:rPr>
                            <w:rFonts w:ascii="Cambria Math" w:hAnsi="Cambria Math"/>
                            <w:kern w:val="0"/>
                            <w:highlight w:val="yellow"/>
                            <w14:ligatures w14:val="none"/>
                          </w:rPr>
                        </m:ctrlPr>
                      </m:sSubPr>
                      <m:e>
                        <m:r>
                          <w:rPr>
                            <w:rFonts w:ascii="Cambria Math" w:hAnsi="Cambria Math"/>
                            <w:kern w:val="0"/>
                            <w:highlight w:val="yellow"/>
                            <w14:ligatures w14:val="none"/>
                          </w:rPr>
                          <m:t>β</m:t>
                        </m:r>
                      </m:e>
                      <m:sub>
                        <m:r>
                          <w:rPr>
                            <w:rFonts w:ascii="Cambria Math" w:hAnsi="Cambria Math"/>
                            <w:kern w:val="0"/>
                            <w:highlight w:val="yellow"/>
                            <w14:ligatures w14:val="none"/>
                          </w:rPr>
                          <m:t>1</m:t>
                        </m:r>
                      </m:sub>
                    </m:sSub>
                    <m:r>
                      <m:rPr>
                        <m:sty m:val="p"/>
                      </m:rPr>
                      <w:rPr>
                        <w:rFonts w:ascii="Cambria Math" w:hAnsi="Cambria Math"/>
                        <w:kern w:val="0"/>
                        <w:highlight w:val="yellow"/>
                        <w14:ligatures w14:val="none"/>
                      </w:rPr>
                      <m:t>ln</m:t>
                    </m:r>
                    <m:d>
                      <m:dPr>
                        <m:ctrlPr>
                          <w:rPr>
                            <w:rFonts w:ascii="Cambria Math" w:hAnsi="Cambria Math"/>
                            <w:kern w:val="0"/>
                            <w:highlight w:val="yellow"/>
                            <w14:ligatures w14:val="none"/>
                          </w:rPr>
                        </m:ctrlPr>
                      </m:dPr>
                      <m:e>
                        <m:r>
                          <w:rPr>
                            <w:rFonts w:ascii="Cambria Math" w:hAnsi="Cambria Math"/>
                            <w:kern w:val="0"/>
                            <w:highlight w:val="yellow"/>
                            <w14:ligatures w14:val="none"/>
                          </w:rPr>
                          <m:t>gd</m:t>
                        </m:r>
                        <m:sSub>
                          <m:sSubPr>
                            <m:ctrlPr>
                              <w:rPr>
                                <w:rFonts w:ascii="Cambria Math" w:hAnsi="Cambria Math"/>
                                <w:kern w:val="0"/>
                                <w:highlight w:val="yellow"/>
                                <w14:ligatures w14:val="none"/>
                              </w:rPr>
                            </m:ctrlPr>
                          </m:sSubPr>
                          <m:e>
                            <m:r>
                              <w:rPr>
                                <w:rFonts w:ascii="Cambria Math" w:hAnsi="Cambria Math"/>
                                <w:kern w:val="0"/>
                                <w:highlight w:val="yellow"/>
                                <w14:ligatures w14:val="none"/>
                              </w:rPr>
                              <m:t>p</m:t>
                            </m:r>
                          </m:e>
                          <m:sub>
                            <m:r>
                              <w:rPr>
                                <w:rFonts w:ascii="Cambria Math" w:hAnsi="Cambria Math"/>
                                <w:kern w:val="0"/>
                                <w:highlight w:val="yellow"/>
                                <w14:ligatures w14:val="none"/>
                              </w:rPr>
                              <m:t>d</m:t>
                            </m:r>
                            <m:r>
                              <m:rPr>
                                <m:sty m:val="p"/>
                              </m:rPr>
                              <w:rPr>
                                <w:rFonts w:ascii="Cambria Math" w:hAnsi="Cambria Math"/>
                                <w:kern w:val="0"/>
                                <w:highlight w:val="yellow"/>
                                <w14:ligatures w14:val="none"/>
                              </w:rPr>
                              <m:t>,</m:t>
                            </m:r>
                            <m:r>
                              <w:rPr>
                                <w:rFonts w:ascii="Cambria Math" w:hAnsi="Cambria Math"/>
                                <w:kern w:val="0"/>
                                <w:highlight w:val="yellow"/>
                                <w14:ligatures w14:val="none"/>
                              </w:rPr>
                              <m:t>jt</m:t>
                            </m:r>
                          </m:sub>
                        </m:sSub>
                      </m:e>
                    </m:d>
                    <m:r>
                      <m:rPr>
                        <m:sty m:val="p"/>
                      </m:rPr>
                      <w:rPr>
                        <w:rFonts w:ascii="Cambria Math" w:hAnsi="Cambria Math"/>
                        <w:kern w:val="0"/>
                        <w:highlight w:val="yellow"/>
                        <w14:ligatures w14:val="none"/>
                      </w:rPr>
                      <m:t>+</m:t>
                    </m:r>
                    <m:sSub>
                      <m:sSubPr>
                        <m:ctrlPr>
                          <w:rPr>
                            <w:rFonts w:ascii="Cambria Math" w:hAnsi="Cambria Math"/>
                            <w:kern w:val="0"/>
                            <w:highlight w:val="yellow"/>
                            <w14:ligatures w14:val="none"/>
                          </w:rPr>
                        </m:ctrlPr>
                      </m:sSubPr>
                      <m:e>
                        <m:r>
                          <w:rPr>
                            <w:rFonts w:ascii="Cambria Math" w:hAnsi="Cambria Math"/>
                            <w:kern w:val="0"/>
                            <w:highlight w:val="yellow"/>
                            <w14:ligatures w14:val="none"/>
                          </w:rPr>
                          <m:t>β</m:t>
                        </m:r>
                      </m:e>
                      <m:sub>
                        <m:r>
                          <w:rPr>
                            <w:rFonts w:ascii="Cambria Math" w:hAnsi="Cambria Math"/>
                            <w:kern w:val="0"/>
                            <w:highlight w:val="yellow"/>
                            <w14:ligatures w14:val="none"/>
                          </w:rPr>
                          <m:t>1</m:t>
                        </m:r>
                      </m:sub>
                    </m:sSub>
                    <m:r>
                      <m:rPr>
                        <m:sty m:val="p"/>
                      </m:rPr>
                      <w:rPr>
                        <w:rFonts w:ascii="Cambria Math" w:hAnsi="Cambria Math"/>
                        <w:kern w:val="0"/>
                        <w:highlight w:val="yellow"/>
                        <w14:ligatures w14:val="none"/>
                      </w:rPr>
                      <m:t>ln</m:t>
                    </m:r>
                    <m:d>
                      <m:dPr>
                        <m:ctrlPr>
                          <w:rPr>
                            <w:rFonts w:ascii="Cambria Math" w:hAnsi="Cambria Math"/>
                            <w:kern w:val="0"/>
                            <w:highlight w:val="yellow"/>
                            <w14:ligatures w14:val="none"/>
                          </w:rPr>
                        </m:ctrlPr>
                      </m:dPr>
                      <m:e>
                        <m:r>
                          <w:rPr>
                            <w:rFonts w:ascii="Cambria Math" w:hAnsi="Cambria Math"/>
                            <w:kern w:val="0"/>
                            <w:highlight w:val="yellow"/>
                            <w14:ligatures w14:val="none"/>
                          </w:rPr>
                          <m:t>dist</m:t>
                        </m:r>
                        <m:sSub>
                          <m:sSubPr>
                            <m:ctrlPr>
                              <w:rPr>
                                <w:rFonts w:ascii="Cambria Math" w:hAnsi="Cambria Math"/>
                                <w:kern w:val="0"/>
                                <w:highlight w:val="yellow"/>
                                <w14:ligatures w14:val="none"/>
                              </w:rPr>
                            </m:ctrlPr>
                          </m:sSubPr>
                          <m:e>
                            <m:r>
                              <w:rPr>
                                <w:rFonts w:ascii="Cambria Math" w:hAnsi="Cambria Math"/>
                                <w:kern w:val="0"/>
                                <w:highlight w:val="yellow"/>
                                <w14:ligatures w14:val="none"/>
                              </w:rPr>
                              <m:t>w</m:t>
                            </m:r>
                          </m:e>
                          <m:sub>
                            <m:r>
                              <w:rPr>
                                <w:rFonts w:ascii="Cambria Math" w:hAnsi="Cambria Math"/>
                                <w:kern w:val="0"/>
                                <w:highlight w:val="yellow"/>
                                <w14:ligatures w14:val="none"/>
                              </w:rPr>
                              <m:t>ij</m:t>
                            </m:r>
                          </m:sub>
                        </m:sSub>
                      </m:e>
                    </m:d>
                    <m:r>
                      <m:rPr>
                        <m:sty m:val="p"/>
                      </m:rPr>
                      <w:rPr>
                        <w:rFonts w:ascii="Cambria Math" w:hAnsi="Cambria Math"/>
                        <w:kern w:val="0"/>
                        <w:highlight w:val="yellow"/>
                        <w14:ligatures w14:val="none"/>
                      </w:rPr>
                      <m:t>+</m:t>
                    </m:r>
                    <m:sSub>
                      <m:sSubPr>
                        <m:ctrlPr>
                          <w:rPr>
                            <w:rFonts w:ascii="Cambria Math" w:hAnsi="Cambria Math"/>
                            <w:kern w:val="0"/>
                            <w:highlight w:val="yellow"/>
                            <w14:ligatures w14:val="none"/>
                          </w:rPr>
                        </m:ctrlPr>
                      </m:sSubPr>
                      <m:e>
                        <m:r>
                          <w:rPr>
                            <w:rFonts w:ascii="Cambria Math" w:hAnsi="Cambria Math"/>
                            <w:kern w:val="0"/>
                            <w:highlight w:val="yellow"/>
                            <w14:ligatures w14:val="none"/>
                          </w:rPr>
                          <m:t>β</m:t>
                        </m:r>
                      </m:e>
                      <m:sub>
                        <m:r>
                          <w:rPr>
                            <w:rFonts w:ascii="Cambria Math" w:hAnsi="Cambria Math"/>
                            <w:kern w:val="0"/>
                            <w:highlight w:val="yellow"/>
                            <w14:ligatures w14:val="none"/>
                          </w:rPr>
                          <m:t>1</m:t>
                        </m:r>
                      </m:sub>
                    </m:sSub>
                    <m:r>
                      <w:rPr>
                        <w:rFonts w:ascii="Cambria Math" w:hAnsi="Cambria Math"/>
                        <w:kern w:val="0"/>
                        <w:highlight w:val="yellow"/>
                        <w14:ligatures w14:val="none"/>
                      </w:rPr>
                      <m:t>comlan</m:t>
                    </m:r>
                    <m:sSub>
                      <m:sSubPr>
                        <m:ctrlPr>
                          <w:rPr>
                            <w:rFonts w:ascii="Cambria Math" w:hAnsi="Cambria Math"/>
                            <w:kern w:val="0"/>
                            <w:highlight w:val="yellow"/>
                            <w14:ligatures w14:val="none"/>
                          </w:rPr>
                        </m:ctrlPr>
                      </m:sSubPr>
                      <m:e>
                        <m:r>
                          <w:rPr>
                            <w:rFonts w:ascii="Cambria Math" w:hAnsi="Cambria Math"/>
                            <w:kern w:val="0"/>
                            <w:highlight w:val="yellow"/>
                            <w14:ligatures w14:val="none"/>
                          </w:rPr>
                          <m:t>g</m:t>
                        </m:r>
                        <m:ctrlPr>
                          <w:rPr>
                            <w:rFonts w:ascii="Cambria Math" w:hAnsi="Cambria Math"/>
                            <w:i/>
                            <w:kern w:val="0"/>
                            <w:highlight w:val="yellow"/>
                            <w14:ligatures w14:val="none"/>
                          </w:rPr>
                        </m:ctrlPr>
                      </m:e>
                      <m:sub>
                        <m:r>
                          <w:rPr>
                            <w:rFonts w:ascii="Cambria Math" w:hAnsi="Cambria Math"/>
                            <w:kern w:val="0"/>
                            <w:highlight w:val="yellow"/>
                            <w14:ligatures w14:val="none"/>
                          </w:rPr>
                          <m:t>of</m:t>
                        </m:r>
                        <m:sSub>
                          <m:sSubPr>
                            <m:ctrlPr>
                              <w:rPr>
                                <w:rFonts w:ascii="Cambria Math" w:hAnsi="Cambria Math"/>
                                <w:kern w:val="0"/>
                                <w:highlight w:val="yellow"/>
                                <w14:ligatures w14:val="none"/>
                              </w:rPr>
                            </m:ctrlPr>
                          </m:sSubPr>
                          <m:e>
                            <m:r>
                              <w:rPr>
                                <w:rFonts w:ascii="Cambria Math" w:hAnsi="Cambria Math"/>
                                <w:kern w:val="0"/>
                                <w:highlight w:val="yellow"/>
                                <w14:ligatures w14:val="none"/>
                              </w:rPr>
                              <m:t>f</m:t>
                            </m:r>
                          </m:e>
                          <m:sub>
                            <m:r>
                              <w:rPr>
                                <w:rFonts w:ascii="Cambria Math" w:hAnsi="Cambria Math"/>
                                <w:kern w:val="0"/>
                                <w:highlight w:val="yellow"/>
                                <w14:ligatures w14:val="none"/>
                              </w:rPr>
                              <m:t>ij</m:t>
                            </m:r>
                          </m:sub>
                        </m:sSub>
                      </m:sub>
                    </m:sSub>
                    <m:r>
                      <m:rPr>
                        <m:sty m:val="p"/>
                      </m:rPr>
                      <w:rPr>
                        <w:rFonts w:ascii="Cambria Math" w:hAnsi="Cambria Math"/>
                        <w:kern w:val="0"/>
                        <w:highlight w:val="yellow"/>
                        <w14:ligatures w14:val="none"/>
                      </w:rPr>
                      <m:t>+</m:t>
                    </m:r>
                    <m:sSub>
                      <m:sSubPr>
                        <m:ctrlPr>
                          <w:rPr>
                            <w:rFonts w:ascii="Cambria Math" w:hAnsi="Cambria Math"/>
                            <w:kern w:val="0"/>
                            <w:highlight w:val="yellow"/>
                            <w14:ligatures w14:val="none"/>
                          </w:rPr>
                        </m:ctrlPr>
                      </m:sSubPr>
                      <m:e>
                        <m:r>
                          <w:rPr>
                            <w:rFonts w:ascii="Cambria Math" w:hAnsi="Cambria Math"/>
                            <w:kern w:val="0"/>
                            <w:highlight w:val="yellow"/>
                            <w14:ligatures w14:val="none"/>
                          </w:rPr>
                          <m:t>β</m:t>
                        </m:r>
                      </m:e>
                      <m:sub>
                        <m:r>
                          <w:rPr>
                            <w:rFonts w:ascii="Cambria Math" w:hAnsi="Cambria Math"/>
                            <w:kern w:val="0"/>
                            <w:highlight w:val="yellow"/>
                            <w14:ligatures w14:val="none"/>
                          </w:rPr>
                          <m:t>1</m:t>
                        </m:r>
                      </m:sub>
                    </m:sSub>
                    <m:r>
                      <w:rPr>
                        <w:rFonts w:ascii="Cambria Math" w:hAnsi="Cambria Math"/>
                        <w:kern w:val="0"/>
                        <w:highlight w:val="yellow"/>
                        <w14:ligatures w14:val="none"/>
                      </w:rPr>
                      <m:t>conti</m:t>
                    </m:r>
                    <m:sSub>
                      <m:sSubPr>
                        <m:ctrlPr>
                          <w:rPr>
                            <w:rFonts w:ascii="Cambria Math" w:hAnsi="Cambria Math"/>
                            <w:kern w:val="0"/>
                            <w:highlight w:val="yellow"/>
                            <w14:ligatures w14:val="none"/>
                          </w:rPr>
                        </m:ctrlPr>
                      </m:sSubPr>
                      <m:e>
                        <m:r>
                          <w:rPr>
                            <w:rFonts w:ascii="Cambria Math" w:hAnsi="Cambria Math"/>
                            <w:kern w:val="0"/>
                            <w:highlight w:val="yellow"/>
                            <w14:ligatures w14:val="none"/>
                          </w:rPr>
                          <m:t>g</m:t>
                        </m:r>
                      </m:e>
                      <m:sub>
                        <m:r>
                          <w:rPr>
                            <w:rFonts w:ascii="Cambria Math" w:hAnsi="Cambria Math"/>
                            <w:kern w:val="0"/>
                            <w:highlight w:val="yellow"/>
                            <w14:ligatures w14:val="none"/>
                          </w:rPr>
                          <m:t>ij</m:t>
                        </m:r>
                      </m:sub>
                    </m:sSub>
                    <m:r>
                      <m:rPr>
                        <m:sty m:val="p"/>
                      </m:rPr>
                      <w:rPr>
                        <w:rFonts w:ascii="Cambria Math" w:hAnsi="Cambria Math"/>
                        <w:kern w:val="0"/>
                        <w:highlight w:val="yellow"/>
                        <w14:ligatures w14:val="none"/>
                      </w:rPr>
                      <m:t>+</m:t>
                    </m:r>
                    <m:sSub>
                      <m:sSubPr>
                        <m:ctrlPr>
                          <w:rPr>
                            <w:rFonts w:ascii="Cambria Math" w:hAnsi="Cambria Math"/>
                            <w:kern w:val="0"/>
                            <w:highlight w:val="yellow"/>
                            <w14:ligatures w14:val="none"/>
                          </w:rPr>
                        </m:ctrlPr>
                      </m:sSubPr>
                      <m:e>
                        <m:r>
                          <w:rPr>
                            <w:rFonts w:ascii="Cambria Math" w:hAnsi="Cambria Math"/>
                            <w:kern w:val="0"/>
                            <w:highlight w:val="yellow"/>
                            <w14:ligatures w14:val="none"/>
                          </w:rPr>
                          <m:t>β</m:t>
                        </m:r>
                      </m:e>
                      <m:sub>
                        <m:r>
                          <w:rPr>
                            <w:rFonts w:ascii="Cambria Math" w:hAnsi="Cambria Math"/>
                            <w:kern w:val="0"/>
                            <w:highlight w:val="yellow"/>
                            <w14:ligatures w14:val="none"/>
                          </w:rPr>
                          <m:t>1</m:t>
                        </m:r>
                      </m:sub>
                    </m:sSub>
                    <m:r>
                      <w:rPr>
                        <w:rFonts w:ascii="Cambria Math" w:hAnsi="Cambria Math"/>
                        <w:kern w:val="0"/>
                        <w:highlight w:val="yellow"/>
                        <w14:ligatures w14:val="none"/>
                      </w:rPr>
                      <m:t>wt</m:t>
                    </m:r>
                    <m:sSub>
                      <m:sSubPr>
                        <m:ctrlPr>
                          <w:rPr>
                            <w:rFonts w:ascii="Cambria Math" w:hAnsi="Cambria Math"/>
                            <w:kern w:val="0"/>
                            <w:highlight w:val="yellow"/>
                            <w14:ligatures w14:val="none"/>
                          </w:rPr>
                        </m:ctrlPr>
                      </m:sSubPr>
                      <m:e>
                        <m:r>
                          <w:rPr>
                            <w:rFonts w:ascii="Cambria Math" w:hAnsi="Cambria Math"/>
                            <w:kern w:val="0"/>
                            <w:highlight w:val="yellow"/>
                            <w14:ligatures w14:val="none"/>
                          </w:rPr>
                          <m:t>o</m:t>
                        </m:r>
                        <m:ctrlPr>
                          <w:rPr>
                            <w:rFonts w:ascii="Cambria Math" w:hAnsi="Cambria Math"/>
                            <w:i/>
                            <w:kern w:val="0"/>
                            <w:highlight w:val="yellow"/>
                            <w14:ligatures w14:val="none"/>
                          </w:rPr>
                        </m:ctrlPr>
                      </m:e>
                      <m:sub>
                        <m:r>
                          <w:rPr>
                            <w:rFonts w:ascii="Cambria Math" w:hAnsi="Cambria Math"/>
                            <w:kern w:val="0"/>
                            <w:highlight w:val="yellow"/>
                            <w14:ligatures w14:val="none"/>
                          </w:rPr>
                          <m:t>join</m:t>
                        </m:r>
                        <m:sSub>
                          <m:sSubPr>
                            <m:ctrlPr>
                              <w:rPr>
                                <w:rFonts w:ascii="Cambria Math" w:hAnsi="Cambria Math"/>
                                <w:kern w:val="0"/>
                                <w:highlight w:val="yellow"/>
                                <w14:ligatures w14:val="none"/>
                              </w:rPr>
                            </m:ctrlPr>
                          </m:sSubPr>
                          <m:e>
                            <m:r>
                              <w:rPr>
                                <w:rFonts w:ascii="Cambria Math" w:hAnsi="Cambria Math"/>
                                <w:kern w:val="0"/>
                                <w:highlight w:val="yellow"/>
                                <w14:ligatures w14:val="none"/>
                              </w:rPr>
                              <m:t>t</m:t>
                            </m:r>
                          </m:e>
                          <m:sub>
                            <m:r>
                              <w:rPr>
                                <w:rFonts w:ascii="Cambria Math" w:hAnsi="Cambria Math"/>
                                <w:kern w:val="0"/>
                                <w:highlight w:val="yellow"/>
                                <w14:ligatures w14:val="none"/>
                              </w:rPr>
                              <m:t>ijt</m:t>
                            </m:r>
                          </m:sub>
                        </m:sSub>
                      </m:sub>
                    </m:sSub>
                    <m:r>
                      <m:rPr>
                        <m:sty m:val="p"/>
                      </m:rPr>
                      <w:rPr>
                        <w:rFonts w:ascii="Cambria Math" w:hAnsi="Cambria Math"/>
                        <w:kern w:val="0"/>
                        <w:highlight w:val="yellow"/>
                        <w14:ligatures w14:val="none"/>
                      </w:rPr>
                      <m:t>+</m:t>
                    </m:r>
                    <m:sSub>
                      <m:sSubPr>
                        <m:ctrlPr>
                          <w:rPr>
                            <w:rFonts w:ascii="Cambria Math" w:hAnsi="Cambria Math"/>
                            <w:kern w:val="0"/>
                            <w:highlight w:val="yellow"/>
                            <w14:ligatures w14:val="none"/>
                          </w:rPr>
                        </m:ctrlPr>
                      </m:sSubPr>
                      <m:e>
                        <m:r>
                          <w:rPr>
                            <w:rFonts w:ascii="Cambria Math" w:hAnsi="Cambria Math"/>
                            <w:kern w:val="0"/>
                            <w:highlight w:val="yellow"/>
                            <w14:ligatures w14:val="none"/>
                          </w:rPr>
                          <m:t>β</m:t>
                        </m:r>
                      </m:e>
                      <m:sub>
                        <m:r>
                          <w:rPr>
                            <w:rFonts w:ascii="Cambria Math" w:hAnsi="Cambria Math"/>
                            <w:kern w:val="0"/>
                            <w:highlight w:val="yellow"/>
                            <w14:ligatures w14:val="none"/>
                          </w:rPr>
                          <m:t>1</m:t>
                        </m:r>
                      </m:sub>
                    </m:sSub>
                    <m:r>
                      <w:rPr>
                        <w:rFonts w:ascii="Cambria Math" w:hAnsi="Cambria Math"/>
                        <w:kern w:val="0"/>
                        <w:highlight w:val="yellow"/>
                        <w14:ligatures w14:val="none"/>
                      </w:rPr>
                      <m:t>E</m:t>
                    </m:r>
                    <m:sSub>
                      <m:sSubPr>
                        <m:ctrlPr>
                          <w:rPr>
                            <w:rFonts w:ascii="Cambria Math" w:hAnsi="Cambria Math"/>
                            <w:kern w:val="0"/>
                            <w:highlight w:val="yellow"/>
                            <w14:ligatures w14:val="none"/>
                          </w:rPr>
                        </m:ctrlPr>
                      </m:sSubPr>
                      <m:e>
                        <m:r>
                          <w:rPr>
                            <w:rFonts w:ascii="Cambria Math" w:hAnsi="Cambria Math"/>
                            <w:kern w:val="0"/>
                            <w:highlight w:val="yellow"/>
                            <w14:ligatures w14:val="none"/>
                          </w:rPr>
                          <m:t>U</m:t>
                        </m:r>
                        <m:ctrlPr>
                          <w:rPr>
                            <w:rFonts w:ascii="Cambria Math" w:hAnsi="Cambria Math"/>
                            <w:i/>
                            <w:kern w:val="0"/>
                            <w:highlight w:val="yellow"/>
                            <w14:ligatures w14:val="none"/>
                          </w:rPr>
                        </m:ctrlPr>
                      </m:e>
                      <m:sub>
                        <m:r>
                          <w:rPr>
                            <w:rFonts w:ascii="Cambria Math" w:hAnsi="Cambria Math"/>
                            <w:kern w:val="0"/>
                            <w:highlight w:val="yellow"/>
                            <w14:ligatures w14:val="none"/>
                          </w:rPr>
                          <m:t>join</m:t>
                        </m:r>
                        <m:sSub>
                          <m:sSubPr>
                            <m:ctrlPr>
                              <w:rPr>
                                <w:rFonts w:ascii="Cambria Math" w:hAnsi="Cambria Math"/>
                                <w:kern w:val="0"/>
                                <w:highlight w:val="yellow"/>
                                <w14:ligatures w14:val="none"/>
                              </w:rPr>
                            </m:ctrlPr>
                          </m:sSubPr>
                          <m:e>
                            <m:r>
                              <w:rPr>
                                <w:rFonts w:ascii="Cambria Math" w:hAnsi="Cambria Math"/>
                                <w:kern w:val="0"/>
                                <w:highlight w:val="yellow"/>
                                <w14:ligatures w14:val="none"/>
                              </w:rPr>
                              <m:t>t</m:t>
                            </m:r>
                          </m:e>
                          <m:sub>
                            <m:r>
                              <w:rPr>
                                <w:rFonts w:ascii="Cambria Math" w:hAnsi="Cambria Math"/>
                                <w:kern w:val="0"/>
                                <w:highlight w:val="yellow"/>
                                <w14:ligatures w14:val="none"/>
                              </w:rPr>
                              <m:t>ijt</m:t>
                            </m:r>
                          </m:sub>
                        </m:sSub>
                      </m:sub>
                    </m:sSub>
                    <m:r>
                      <m:rPr>
                        <m:sty m:val="p"/>
                      </m:rPr>
                      <w:rPr>
                        <w:rFonts w:ascii="Cambria Math" w:hAnsi="Cambria Math"/>
                        <w:kern w:val="0"/>
                        <w:highlight w:val="yellow"/>
                        <w14:ligatures w14:val="none"/>
                      </w:rPr>
                      <m:t>+</m:t>
                    </m:r>
                    <m:sSub>
                      <m:sSubPr>
                        <m:ctrlPr>
                          <w:rPr>
                            <w:rFonts w:ascii="Cambria Math" w:hAnsi="Cambria Math"/>
                            <w:kern w:val="0"/>
                            <w:highlight w:val="yellow"/>
                            <w14:ligatures w14:val="none"/>
                          </w:rPr>
                        </m:ctrlPr>
                      </m:sSubPr>
                      <m:e>
                        <m:r>
                          <w:rPr>
                            <w:rFonts w:ascii="Cambria Math" w:hAnsi="Cambria Math"/>
                            <w:kern w:val="0"/>
                            <w:highlight w:val="yellow"/>
                            <w14:ligatures w14:val="none"/>
                          </w:rPr>
                          <m:t>β</m:t>
                        </m:r>
                      </m:e>
                      <m:sub>
                        <m:r>
                          <w:rPr>
                            <w:rFonts w:ascii="Cambria Math" w:hAnsi="Cambria Math"/>
                            <w:kern w:val="0"/>
                            <w:highlight w:val="yellow"/>
                            <w14:ligatures w14:val="none"/>
                          </w:rPr>
                          <m:t>1</m:t>
                        </m:r>
                      </m:sub>
                    </m:sSub>
                    <m:r>
                      <w:rPr>
                        <w:rFonts w:ascii="Cambria Math" w:hAnsi="Cambria Math"/>
                        <w:kern w:val="0"/>
                        <w:highlight w:val="yellow"/>
                        <w14:ligatures w14:val="none"/>
                      </w:rPr>
                      <m:t>EAE</m:t>
                    </m:r>
                    <m:sSub>
                      <m:sSubPr>
                        <m:ctrlPr>
                          <w:rPr>
                            <w:rFonts w:ascii="Cambria Math" w:hAnsi="Cambria Math"/>
                            <w:kern w:val="0"/>
                            <w:highlight w:val="yellow"/>
                            <w14:ligatures w14:val="none"/>
                          </w:rPr>
                        </m:ctrlPr>
                      </m:sSubPr>
                      <m:e>
                        <m:r>
                          <w:rPr>
                            <w:rFonts w:ascii="Cambria Math" w:hAnsi="Cambria Math"/>
                            <w:kern w:val="0"/>
                            <w:highlight w:val="yellow"/>
                            <w14:ligatures w14:val="none"/>
                          </w:rPr>
                          <m:t>U</m:t>
                        </m:r>
                        <m:ctrlPr>
                          <w:rPr>
                            <w:rFonts w:ascii="Cambria Math" w:hAnsi="Cambria Math"/>
                            <w:i/>
                            <w:kern w:val="0"/>
                            <w:highlight w:val="yellow"/>
                            <w14:ligatures w14:val="none"/>
                          </w:rPr>
                        </m:ctrlPr>
                      </m:e>
                      <m:sub>
                        <m:r>
                          <w:rPr>
                            <w:rFonts w:ascii="Cambria Math" w:hAnsi="Cambria Math"/>
                            <w:kern w:val="0"/>
                            <w:highlight w:val="yellow"/>
                            <w14:ligatures w14:val="none"/>
                          </w:rPr>
                          <m:t>join</m:t>
                        </m:r>
                        <m:sSub>
                          <m:sSubPr>
                            <m:ctrlPr>
                              <w:rPr>
                                <w:rFonts w:ascii="Cambria Math" w:hAnsi="Cambria Math"/>
                                <w:kern w:val="0"/>
                                <w:highlight w:val="yellow"/>
                                <w14:ligatures w14:val="none"/>
                              </w:rPr>
                            </m:ctrlPr>
                          </m:sSubPr>
                          <m:e>
                            <m:r>
                              <w:rPr>
                                <w:rFonts w:ascii="Cambria Math" w:hAnsi="Cambria Math"/>
                                <w:kern w:val="0"/>
                                <w:highlight w:val="yellow"/>
                                <w14:ligatures w14:val="none"/>
                              </w:rPr>
                              <m:t>t</m:t>
                            </m:r>
                          </m:e>
                          <m:sub>
                            <m:r>
                              <w:rPr>
                                <w:rFonts w:ascii="Cambria Math" w:hAnsi="Cambria Math"/>
                                <w:kern w:val="0"/>
                                <w:highlight w:val="yellow"/>
                                <w14:ligatures w14:val="none"/>
                              </w:rPr>
                              <m:t>ijt</m:t>
                            </m:r>
                          </m:sub>
                        </m:sSub>
                      </m:sub>
                    </m:sSub>
                    <m:r>
                      <w:rPr>
                        <w:rFonts w:ascii="Cambria Math" w:hAnsi="Cambria Math"/>
                        <w:kern w:val="0"/>
                        <w:highlight w:val="yellow"/>
                        <w14:ligatures w14:val="none"/>
                      </w:rPr>
                      <m:t>+</m:t>
                    </m:r>
                    <m:sSub>
                      <m:sSubPr>
                        <m:ctrlPr>
                          <w:rPr>
                            <w:rFonts w:ascii="Cambria Math" w:hAnsi="Cambria Math"/>
                            <w:i/>
                            <w:kern w:val="0"/>
                            <w:highlight w:val="yellow"/>
                            <w14:ligatures w14:val="none"/>
                          </w:rPr>
                        </m:ctrlPr>
                      </m:sSubPr>
                      <m:e>
                        <m:r>
                          <w:rPr>
                            <w:rFonts w:ascii="Cambria Math" w:hAnsi="Cambria Math"/>
                            <w:kern w:val="0"/>
                            <w:highlight w:val="yellow"/>
                            <w14:ligatures w14:val="none"/>
                          </w:rPr>
                          <m:t>δ</m:t>
                        </m:r>
                      </m:e>
                      <m:sub>
                        <m:r>
                          <w:rPr>
                            <w:rFonts w:ascii="Cambria Math" w:hAnsi="Cambria Math"/>
                            <w:kern w:val="0"/>
                            <w:highlight w:val="yellow"/>
                            <w14:ligatures w14:val="none"/>
                          </w:rPr>
                          <m:t>it</m:t>
                        </m:r>
                      </m:sub>
                    </m:sSub>
                    <m:r>
                      <w:rPr>
                        <w:rFonts w:ascii="Cambria Math" w:hAnsi="Cambria Math"/>
                        <w:kern w:val="0"/>
                        <w:highlight w:val="yellow"/>
                        <w14:ligatures w14:val="none"/>
                      </w:rPr>
                      <m:t>+</m:t>
                    </m:r>
                    <m:sSub>
                      <m:sSubPr>
                        <m:ctrlPr>
                          <w:rPr>
                            <w:rFonts w:ascii="Cambria Math" w:hAnsi="Cambria Math"/>
                            <w:i/>
                            <w:kern w:val="0"/>
                            <w:highlight w:val="yellow"/>
                            <w14:ligatures w14:val="none"/>
                          </w:rPr>
                        </m:ctrlPr>
                      </m:sSubPr>
                      <m:e>
                        <m:r>
                          <w:rPr>
                            <w:rFonts w:ascii="Cambria Math" w:hAnsi="Cambria Math"/>
                            <w:kern w:val="0"/>
                            <w:highlight w:val="yellow"/>
                            <w14:ligatures w14:val="none"/>
                          </w:rPr>
                          <m:t>ϒ</m:t>
                        </m:r>
                      </m:e>
                      <m:sub>
                        <m:r>
                          <w:rPr>
                            <w:rFonts w:ascii="Cambria Math" w:hAnsi="Cambria Math"/>
                            <w:kern w:val="0"/>
                            <w:highlight w:val="yellow"/>
                            <w14:ligatures w14:val="none"/>
                          </w:rPr>
                          <m:t>jt</m:t>
                        </m:r>
                      </m:sub>
                    </m:sSub>
                    <m:r>
                      <w:rPr>
                        <w:rFonts w:ascii="Cambria Math" w:hAnsi="Cambria Math"/>
                        <w:kern w:val="0"/>
                        <w:highlight w:val="yellow"/>
                        <w14:ligatures w14:val="none"/>
                      </w:rPr>
                      <m:t xml:space="preserve"> </m:t>
                    </m:r>
                  </m:e>
                </m:d>
              </m:oMath>
            </m:oMathPara>
          </w:p>
        </w:tc>
        <w:tc>
          <w:tcPr>
            <w:tcW w:w="921" w:type="dxa"/>
            <w:vAlign w:val="center"/>
          </w:tcPr>
          <w:p w14:paraId="3386E7DC" w14:textId="4841B508" w:rsidR="00A837B5" w:rsidRPr="003E4CAC" w:rsidRDefault="00A837B5" w:rsidP="00CE5C32">
            <w:pPr>
              <w:bidi w:val="0"/>
              <w:spacing w:before="120" w:after="120"/>
              <w:jc w:val="center"/>
              <w:rPr>
                <w:rFonts w:asciiTheme="majorBidi" w:hAnsiTheme="majorBidi" w:cstheme="majorBidi"/>
                <w:kern w:val="0"/>
                <w:highlight w:val="yellow"/>
                <w14:ligatures w14:val="none"/>
              </w:rPr>
            </w:pPr>
            <w:r w:rsidRPr="003E4CAC">
              <w:rPr>
                <w:rFonts w:asciiTheme="majorBidi" w:hAnsiTheme="majorBidi" w:cstheme="majorBidi"/>
                <w:highlight w:val="yellow"/>
              </w:rPr>
              <w:t>(</w:t>
            </w:r>
            <w:r w:rsidRPr="003E4CAC">
              <w:rPr>
                <w:rFonts w:asciiTheme="majorBidi" w:hAnsiTheme="majorBidi" w:cstheme="majorBidi"/>
                <w:highlight w:val="yellow"/>
              </w:rPr>
              <w:fldChar w:fldCharType="begin"/>
            </w:r>
            <w:r w:rsidRPr="003E4CAC">
              <w:rPr>
                <w:rFonts w:asciiTheme="majorBidi" w:hAnsiTheme="majorBidi" w:cstheme="majorBidi"/>
                <w:highlight w:val="yellow"/>
              </w:rPr>
              <w:instrText xml:space="preserve"> SEQ Equation \* ARABIC </w:instrText>
            </w:r>
            <w:r w:rsidRPr="003E4CAC">
              <w:rPr>
                <w:rFonts w:asciiTheme="majorBidi" w:hAnsiTheme="majorBidi" w:cstheme="majorBidi"/>
                <w:highlight w:val="yellow"/>
              </w:rPr>
              <w:fldChar w:fldCharType="separate"/>
            </w:r>
            <w:r w:rsidRPr="003E4CAC">
              <w:rPr>
                <w:rFonts w:asciiTheme="majorBidi" w:hAnsiTheme="majorBidi" w:cstheme="majorBidi"/>
                <w:noProof/>
                <w:highlight w:val="yellow"/>
              </w:rPr>
              <w:t>11</w:t>
            </w:r>
            <w:r w:rsidRPr="003E4CAC">
              <w:rPr>
                <w:rFonts w:asciiTheme="majorBidi" w:hAnsiTheme="majorBidi" w:cstheme="majorBidi"/>
                <w:highlight w:val="yellow"/>
              </w:rPr>
              <w:fldChar w:fldCharType="end"/>
            </w:r>
            <w:r w:rsidRPr="003E4CAC">
              <w:rPr>
                <w:rFonts w:asciiTheme="majorBidi" w:hAnsiTheme="majorBidi" w:cstheme="majorBidi"/>
                <w:highlight w:val="yellow"/>
              </w:rPr>
              <w:t>)</w:t>
            </w:r>
          </w:p>
        </w:tc>
      </w:tr>
    </w:tbl>
    <w:p w14:paraId="6B6C2AE1" w14:textId="276F26A3" w:rsidR="00694A5C" w:rsidRPr="00D868ED" w:rsidRDefault="00AB0195" w:rsidP="00CE5C32">
      <w:pPr>
        <w:bidi w:val="0"/>
        <w:spacing w:after="120" w:line="288" w:lineRule="auto"/>
        <w:jc w:val="both"/>
        <w:rPr>
          <w:rFonts w:ascii="Times New Roman" w:hAnsi="Times New Roman"/>
          <w:kern w:val="0"/>
          <w14:ligatures w14:val="none"/>
        </w:rPr>
      </w:pPr>
      <w:r w:rsidRPr="003E4CAC">
        <w:rPr>
          <w:rFonts w:ascii="Times New Roman" w:hAnsi="Times New Roman"/>
          <w:kern w:val="0"/>
          <w:highlight w:val="yellow"/>
          <w14:ligatures w14:val="none"/>
        </w:rPr>
        <w:t xml:space="preserve">where </w:t>
      </w:r>
      <m:oMath>
        <m:sSub>
          <m:sSubPr>
            <m:ctrlPr>
              <w:rPr>
                <w:rFonts w:ascii="Cambria Math" w:hAnsi="Cambria Math"/>
                <w:i/>
                <w:kern w:val="0"/>
                <w:highlight w:val="yellow"/>
                <w14:ligatures w14:val="none"/>
              </w:rPr>
            </m:ctrlPr>
          </m:sSubPr>
          <m:e>
            <m:r>
              <w:rPr>
                <w:rFonts w:ascii="Cambria Math" w:hAnsi="Cambria Math"/>
                <w:kern w:val="0"/>
                <w:highlight w:val="yellow"/>
                <w14:ligatures w14:val="none"/>
              </w:rPr>
              <m:t>δ</m:t>
            </m:r>
          </m:e>
          <m:sub>
            <m:r>
              <w:rPr>
                <w:rFonts w:ascii="Cambria Math" w:hAnsi="Cambria Math"/>
                <w:kern w:val="0"/>
                <w:highlight w:val="yellow"/>
                <w14:ligatures w14:val="none"/>
              </w:rPr>
              <m:t>it</m:t>
            </m:r>
          </m:sub>
        </m:sSub>
      </m:oMath>
      <w:r w:rsidRPr="003E4CAC">
        <w:rPr>
          <w:rFonts w:ascii="Times New Roman" w:hAnsi="Times New Roman"/>
          <w:kern w:val="0"/>
          <w:highlight w:val="yellow"/>
          <w14:ligatures w14:val="none"/>
        </w:rPr>
        <w:t xml:space="preserve"> ​ and </w:t>
      </w:r>
      <m:oMath>
        <m:sSub>
          <m:sSubPr>
            <m:ctrlPr>
              <w:rPr>
                <w:rFonts w:ascii="Cambria Math" w:hAnsi="Cambria Math"/>
                <w:i/>
                <w:kern w:val="0"/>
                <w:highlight w:val="yellow"/>
                <w14:ligatures w14:val="none"/>
              </w:rPr>
            </m:ctrlPr>
          </m:sSubPr>
          <m:e>
            <m:r>
              <w:rPr>
                <w:rFonts w:ascii="Cambria Math" w:hAnsi="Cambria Math"/>
                <w:kern w:val="0"/>
                <w:highlight w:val="yellow"/>
                <w14:ligatures w14:val="none"/>
              </w:rPr>
              <m:t>γ</m:t>
            </m:r>
          </m:e>
          <m:sub>
            <m:r>
              <w:rPr>
                <w:rFonts w:ascii="Cambria Math" w:hAnsi="Cambria Math"/>
                <w:kern w:val="0"/>
                <w:highlight w:val="yellow"/>
                <w14:ligatures w14:val="none"/>
              </w:rPr>
              <m:t>jt</m:t>
            </m:r>
          </m:sub>
        </m:sSub>
      </m:oMath>
      <w:r w:rsidRPr="003E4CAC">
        <w:rPr>
          <w:rFonts w:ascii="Times New Roman" w:hAnsi="Times New Roman"/>
          <w:kern w:val="0"/>
          <w:highlight w:val="yellow"/>
          <w14:ligatures w14:val="none"/>
        </w:rPr>
        <w:t xml:space="preserve"> denote exporter-year and importer-year fixed effects.</w:t>
      </w:r>
      <w:r w:rsidR="003E4CAC">
        <w:rPr>
          <w:rFonts w:ascii="Times New Roman" w:hAnsi="Times New Roman"/>
          <w:kern w:val="0"/>
          <w:highlight w:val="yellow"/>
          <w14:ligatures w14:val="none"/>
        </w:rPr>
        <w:t xml:space="preserve"> </w:t>
      </w:r>
      <w:r w:rsidR="00694A5C" w:rsidRPr="003E4CAC">
        <w:rPr>
          <w:rFonts w:ascii="Times New Roman" w:hAnsi="Times New Roman"/>
          <w:kern w:val="0"/>
          <w:highlight w:val="yellow"/>
          <w14:ligatures w14:val="none"/>
        </w:rPr>
        <w:t>In this specification, exporter and importer GDP are omitted because they are absorbed by the exporter-year and importer-year fixed effects.</w:t>
      </w:r>
    </w:p>
    <w:p w14:paraId="298DD745" w14:textId="511210C5" w:rsidR="00394F24" w:rsidRPr="00D868ED" w:rsidRDefault="00394F24" w:rsidP="00CE5C32">
      <w:pPr>
        <w:bidi w:val="0"/>
        <w:spacing w:line="360" w:lineRule="auto"/>
        <w:jc w:val="both"/>
        <w:rPr>
          <w:rFonts w:asciiTheme="majorBidi" w:hAnsiTheme="majorBidi" w:cstheme="majorBidi"/>
          <w:b/>
          <w:bCs/>
        </w:rPr>
      </w:pPr>
      <w:r w:rsidRPr="00D868ED">
        <w:rPr>
          <w:rFonts w:asciiTheme="majorBidi" w:hAnsiTheme="majorBidi" w:cstheme="majorBidi"/>
          <w:b/>
          <w:bCs/>
        </w:rPr>
        <w:t>5. Results</w:t>
      </w:r>
    </w:p>
    <w:p w14:paraId="09292812" w14:textId="77777777" w:rsidR="00CC6EB0" w:rsidRPr="00D868ED" w:rsidRDefault="00CC6EB0" w:rsidP="00CE5C32">
      <w:pPr>
        <w:bidi w:val="0"/>
        <w:spacing w:after="120" w:line="288" w:lineRule="auto"/>
        <w:jc w:val="both"/>
        <w:rPr>
          <w:rFonts w:asciiTheme="majorBidi" w:hAnsiTheme="majorBidi" w:cstheme="majorBidi"/>
        </w:rPr>
      </w:pPr>
      <w:r w:rsidRPr="00D868ED">
        <w:rPr>
          <w:rFonts w:asciiTheme="majorBidi" w:hAnsiTheme="majorBidi" w:cstheme="majorBidi"/>
        </w:rPr>
        <w:t>This section presents empirical results for bilateral trade among post-Soviet economies using a sequence of gravity specifications, starting with fixed effects and double demeaning validation, followed by normalized gravity, and then multiplicative estimators such as PPML and GPML. The analysis focuses on geographic trade costs, cultural proximity, and institutional alignment through WTO, EU, and EAEU membership, with all models grounded in structural gravity theory. The purpose is not to obtain identical estimates but to assess how results vary across specifications due to differences in scale effects, multilateral resistance, and distributional assumptions, where consistent findings indicate robustness and divergences reveal structural insights. However, institutional variables may be endogenous to broader reforms and geopolitical factors, and their simplified measurement does not fully capture institutional complexity, so results should be interpreted as conditional relationships rather than causal effects.</w:t>
      </w:r>
    </w:p>
    <w:p w14:paraId="3BE3BE46" w14:textId="77777777" w:rsidR="00363147" w:rsidRPr="00D868ED" w:rsidRDefault="00363147" w:rsidP="00CE5C32">
      <w:pPr>
        <w:bidi w:val="0"/>
        <w:spacing w:after="120" w:line="288" w:lineRule="auto"/>
        <w:jc w:val="both"/>
        <w:rPr>
          <w:rFonts w:ascii="Times New Roman" w:hAnsi="Times New Roman"/>
          <w:b/>
          <w:bCs/>
          <w:kern w:val="0"/>
          <w14:ligatures w14:val="none"/>
        </w:rPr>
      </w:pPr>
      <w:r w:rsidRPr="00D868ED">
        <w:rPr>
          <w:rFonts w:ascii="Times New Roman" w:hAnsi="Times New Roman"/>
          <w:b/>
          <w:bCs/>
          <w:kern w:val="0"/>
          <w14:ligatures w14:val="none"/>
        </w:rPr>
        <w:t>5.1 Fixed-effects gravity estimates and double-demeaning validation</w:t>
      </w:r>
    </w:p>
    <w:p w14:paraId="2B07551A" w14:textId="79833547" w:rsidR="00363147" w:rsidRPr="00D868ED" w:rsidRDefault="00C63927" w:rsidP="00CE5C32">
      <w:pPr>
        <w:bidi w:val="0"/>
        <w:spacing w:after="120" w:line="288" w:lineRule="auto"/>
        <w:jc w:val="both"/>
        <w:rPr>
          <w:rFonts w:ascii="Times New Roman" w:hAnsi="Times New Roman"/>
          <w:kern w:val="0"/>
          <w14:ligatures w14:val="none"/>
        </w:rPr>
      </w:pPr>
      <w:r w:rsidRPr="00D868ED">
        <w:rPr>
          <w:rFonts w:ascii="Times New Roman" w:hAnsi="Times New Roman"/>
          <w:kern w:val="0"/>
          <w14:ligatures w14:val="none"/>
        </w:rPr>
        <w:fldChar w:fldCharType="begin"/>
      </w:r>
      <w:r w:rsidRPr="00D868ED">
        <w:rPr>
          <w:rFonts w:ascii="Times New Roman" w:hAnsi="Times New Roman"/>
          <w:kern w:val="0"/>
          <w14:ligatures w14:val="none"/>
        </w:rPr>
        <w:instrText xml:space="preserve"> REF _Ref224735782 \h  \* MERGEFORMAT </w:instrText>
      </w:r>
      <w:r w:rsidRPr="00D868ED">
        <w:rPr>
          <w:rFonts w:ascii="Times New Roman" w:hAnsi="Times New Roman"/>
          <w:kern w:val="0"/>
          <w14:ligatures w14:val="none"/>
        </w:rPr>
      </w:r>
      <w:r w:rsidRPr="00D868ED">
        <w:rPr>
          <w:rFonts w:ascii="Times New Roman" w:hAnsi="Times New Roman"/>
          <w:kern w:val="0"/>
          <w14:ligatures w14:val="none"/>
        </w:rPr>
        <w:fldChar w:fldCharType="separate"/>
      </w:r>
      <w:r w:rsidR="00EC28FA" w:rsidRPr="00D868ED">
        <w:rPr>
          <w:rFonts w:ascii="Times New Roman" w:hAnsi="Times New Roman" w:cs="Times New Roman"/>
        </w:rPr>
        <w:t xml:space="preserve">Table </w:t>
      </w:r>
      <w:r w:rsidR="00EC28FA" w:rsidRPr="00D868ED">
        <w:rPr>
          <w:rFonts w:ascii="Times New Roman" w:hAnsi="Times New Roman" w:cs="Times New Roman"/>
          <w:noProof/>
        </w:rPr>
        <w:t>5</w:t>
      </w:r>
      <w:r w:rsidRPr="00D868ED">
        <w:rPr>
          <w:rFonts w:ascii="Times New Roman" w:hAnsi="Times New Roman"/>
          <w:kern w:val="0"/>
          <w14:ligatures w14:val="none"/>
        </w:rPr>
        <w:fldChar w:fldCharType="end"/>
      </w:r>
      <w:r w:rsidRPr="00D868ED">
        <w:rPr>
          <w:rFonts w:ascii="Times New Roman" w:hAnsi="Times New Roman"/>
          <w:kern w:val="0"/>
          <w14:ligatures w14:val="none"/>
        </w:rPr>
        <w:t xml:space="preserve"> </w:t>
      </w:r>
      <w:r w:rsidR="00363147" w:rsidRPr="00D868ED">
        <w:rPr>
          <w:rFonts w:ascii="Times New Roman" w:hAnsi="Times New Roman"/>
          <w:kern w:val="0"/>
          <w14:ligatures w14:val="none"/>
        </w:rPr>
        <w:t>reports the results from the exporter- and importer-fixed-effects gravity model together with the manually double-demeaned specification. The two sets of estimates are strikingly similar, which confirms that the results are not driven by implementation details of the fixed-effects estimator. This close correspondence is important because it shows that the estimated coefficients reflect the underlying within-sample bilateral variation rather than a software-specific transformation.</w:t>
      </w:r>
    </w:p>
    <w:p w14:paraId="53589FD5" w14:textId="72C0C535" w:rsidR="00363147" w:rsidRPr="00D868ED" w:rsidRDefault="003051D3" w:rsidP="00CE5C32">
      <w:pPr>
        <w:pStyle w:val="Caption"/>
        <w:bidi w:val="0"/>
        <w:rPr>
          <w:rFonts w:ascii="Times New Roman" w:hAnsi="Times New Roman" w:cs="Times New Roman"/>
          <w:b/>
          <w:bCs/>
          <w:i w:val="0"/>
          <w:iCs w:val="0"/>
          <w:color w:val="auto"/>
          <w:kern w:val="0"/>
          <w:sz w:val="24"/>
          <w:szCs w:val="24"/>
          <w14:ligatures w14:val="none"/>
        </w:rPr>
      </w:pPr>
      <w:bookmarkStart w:id="21" w:name="_Ref224735782"/>
      <w:r w:rsidRPr="00D868ED">
        <w:rPr>
          <w:rFonts w:ascii="Times New Roman" w:hAnsi="Times New Roman" w:cs="Times New Roman"/>
          <w:i w:val="0"/>
          <w:iCs w:val="0"/>
          <w:color w:val="auto"/>
          <w:sz w:val="24"/>
          <w:szCs w:val="24"/>
        </w:rPr>
        <w:t xml:space="preserve">Table </w:t>
      </w:r>
      <w:r w:rsidRPr="00D868ED">
        <w:rPr>
          <w:rFonts w:ascii="Times New Roman" w:hAnsi="Times New Roman" w:cs="Times New Roman"/>
          <w:i w:val="0"/>
          <w:iCs w:val="0"/>
          <w:color w:val="auto"/>
          <w:sz w:val="24"/>
          <w:szCs w:val="24"/>
        </w:rPr>
        <w:fldChar w:fldCharType="begin"/>
      </w:r>
      <w:r w:rsidRPr="00D868ED">
        <w:rPr>
          <w:rFonts w:ascii="Times New Roman" w:hAnsi="Times New Roman" w:cs="Times New Roman"/>
          <w:i w:val="0"/>
          <w:iCs w:val="0"/>
          <w:color w:val="auto"/>
          <w:sz w:val="24"/>
          <w:szCs w:val="24"/>
        </w:rPr>
        <w:instrText xml:space="preserve"> SEQ Table \* ARABIC </w:instrText>
      </w:r>
      <w:r w:rsidRPr="00D868ED">
        <w:rPr>
          <w:rFonts w:ascii="Times New Roman" w:hAnsi="Times New Roman" w:cs="Times New Roman"/>
          <w:i w:val="0"/>
          <w:iCs w:val="0"/>
          <w:color w:val="auto"/>
          <w:sz w:val="24"/>
          <w:szCs w:val="24"/>
        </w:rPr>
        <w:fldChar w:fldCharType="separate"/>
      </w:r>
      <w:r w:rsidR="00EC28FA" w:rsidRPr="00D868ED">
        <w:rPr>
          <w:rFonts w:ascii="Times New Roman" w:hAnsi="Times New Roman" w:cs="Times New Roman"/>
          <w:i w:val="0"/>
          <w:iCs w:val="0"/>
          <w:noProof/>
          <w:color w:val="auto"/>
          <w:sz w:val="24"/>
          <w:szCs w:val="24"/>
        </w:rPr>
        <w:t>5</w:t>
      </w:r>
      <w:r w:rsidRPr="00D868ED">
        <w:rPr>
          <w:rFonts w:ascii="Times New Roman" w:hAnsi="Times New Roman" w:cs="Times New Roman"/>
          <w:i w:val="0"/>
          <w:iCs w:val="0"/>
          <w:color w:val="auto"/>
          <w:sz w:val="24"/>
          <w:szCs w:val="24"/>
        </w:rPr>
        <w:fldChar w:fldCharType="end"/>
      </w:r>
      <w:bookmarkEnd w:id="21"/>
      <w:r w:rsidRPr="00D868ED">
        <w:rPr>
          <w:rFonts w:ascii="Times New Roman" w:hAnsi="Times New Roman" w:cs="Times New Roman"/>
          <w:i w:val="0"/>
          <w:iCs w:val="0"/>
          <w:color w:val="auto"/>
          <w:sz w:val="24"/>
          <w:szCs w:val="24"/>
        </w:rPr>
        <w:t xml:space="preserve">. </w:t>
      </w:r>
      <w:r w:rsidR="00363147" w:rsidRPr="00D868ED">
        <w:rPr>
          <w:rFonts w:ascii="Times New Roman" w:hAnsi="Times New Roman" w:cs="Times New Roman"/>
          <w:i w:val="0"/>
          <w:iCs w:val="0"/>
          <w:color w:val="auto"/>
          <w:kern w:val="0"/>
          <w:sz w:val="24"/>
          <w:szCs w:val="24"/>
          <w14:ligatures w14:val="none"/>
        </w:rPr>
        <w:t>Fixed-effects gravity model and double-demeaning validation</w:t>
      </w:r>
    </w:p>
    <w:tbl>
      <w:tblPr>
        <w:tblStyle w:val="TableGrid"/>
        <w:tblW w:w="0" w:type="auto"/>
        <w:tblLook w:val="04A0" w:firstRow="1" w:lastRow="0" w:firstColumn="1" w:lastColumn="0" w:noHBand="0" w:noVBand="1"/>
      </w:tblPr>
      <w:tblGrid>
        <w:gridCol w:w="2630"/>
        <w:gridCol w:w="1465"/>
        <w:gridCol w:w="2730"/>
      </w:tblGrid>
      <w:tr w:rsidR="00363147" w:rsidRPr="00D868ED" w14:paraId="32077D15" w14:textId="77777777" w:rsidTr="00F94040">
        <w:tc>
          <w:tcPr>
            <w:tcW w:w="0" w:type="auto"/>
            <w:hideMark/>
          </w:tcPr>
          <w:p w14:paraId="09F8A2F9" w14:textId="77777777" w:rsidR="00363147" w:rsidRPr="00D868ED" w:rsidRDefault="00363147" w:rsidP="00CE5C32">
            <w:pPr>
              <w:bidi w:val="0"/>
              <w:contextualSpacing/>
              <w:jc w:val="both"/>
              <w:rPr>
                <w:rFonts w:ascii="Times New Roman" w:hAnsi="Times New Roman"/>
                <w:b/>
                <w:bCs/>
                <w:kern w:val="0"/>
                <w14:ligatures w14:val="none"/>
              </w:rPr>
            </w:pPr>
            <w:r w:rsidRPr="00D868ED">
              <w:rPr>
                <w:rFonts w:ascii="Times New Roman" w:hAnsi="Times New Roman"/>
                <w:b/>
                <w:bCs/>
                <w:kern w:val="0"/>
                <w14:ligatures w14:val="none"/>
              </w:rPr>
              <w:t>Variable</w:t>
            </w:r>
          </w:p>
        </w:tc>
        <w:tc>
          <w:tcPr>
            <w:tcW w:w="1465" w:type="dxa"/>
            <w:hideMark/>
          </w:tcPr>
          <w:p w14:paraId="2290CFD9" w14:textId="77777777" w:rsidR="00363147" w:rsidRPr="00D868ED" w:rsidRDefault="00363147" w:rsidP="00CE5C32">
            <w:pPr>
              <w:bidi w:val="0"/>
              <w:contextualSpacing/>
              <w:jc w:val="center"/>
              <w:rPr>
                <w:rFonts w:ascii="Times New Roman" w:hAnsi="Times New Roman"/>
                <w:b/>
                <w:bCs/>
                <w:kern w:val="0"/>
                <w14:ligatures w14:val="none"/>
              </w:rPr>
            </w:pPr>
            <w:r w:rsidRPr="00D868ED">
              <w:rPr>
                <w:rFonts w:ascii="Times New Roman" w:hAnsi="Times New Roman"/>
                <w:b/>
                <w:bCs/>
                <w:kern w:val="0"/>
                <w14:ligatures w14:val="none"/>
              </w:rPr>
              <w:t>FE-OLS</w:t>
            </w:r>
          </w:p>
        </w:tc>
        <w:tc>
          <w:tcPr>
            <w:tcW w:w="2730" w:type="dxa"/>
            <w:hideMark/>
          </w:tcPr>
          <w:p w14:paraId="288283D0" w14:textId="77777777" w:rsidR="00363147" w:rsidRPr="00D868ED" w:rsidRDefault="00363147" w:rsidP="00CE5C32">
            <w:pPr>
              <w:bidi w:val="0"/>
              <w:contextualSpacing/>
              <w:jc w:val="center"/>
              <w:rPr>
                <w:rFonts w:ascii="Times New Roman" w:hAnsi="Times New Roman"/>
                <w:b/>
                <w:bCs/>
                <w:kern w:val="0"/>
                <w14:ligatures w14:val="none"/>
              </w:rPr>
            </w:pPr>
            <w:r w:rsidRPr="00D868ED">
              <w:rPr>
                <w:rFonts w:ascii="Times New Roman" w:hAnsi="Times New Roman"/>
                <w:b/>
                <w:bCs/>
                <w:kern w:val="0"/>
                <w14:ligatures w14:val="none"/>
              </w:rPr>
              <w:t>Double-demeaned OLS</w:t>
            </w:r>
          </w:p>
        </w:tc>
      </w:tr>
      <w:tr w:rsidR="00363147" w:rsidRPr="00D868ED" w14:paraId="1E38C78D" w14:textId="77777777" w:rsidTr="00F94040">
        <w:tc>
          <w:tcPr>
            <w:tcW w:w="0" w:type="auto"/>
            <w:hideMark/>
          </w:tcPr>
          <w:p w14:paraId="64566325" w14:textId="77777777" w:rsidR="00363147" w:rsidRPr="00D868ED" w:rsidRDefault="00363147" w:rsidP="00CE5C32">
            <w:pPr>
              <w:bidi w:val="0"/>
              <w:contextualSpacing/>
              <w:jc w:val="both"/>
              <w:rPr>
                <w:rFonts w:ascii="Times New Roman" w:hAnsi="Times New Roman"/>
                <w:kern w:val="0"/>
                <w14:ligatures w14:val="none"/>
              </w:rPr>
            </w:pPr>
            <w:r w:rsidRPr="00D868ED">
              <w:rPr>
                <w:rFonts w:ascii="Times New Roman" w:hAnsi="Times New Roman"/>
                <w:kern w:val="0"/>
                <w14:ligatures w14:val="none"/>
              </w:rPr>
              <w:t>Log distance</w:t>
            </w:r>
          </w:p>
        </w:tc>
        <w:tc>
          <w:tcPr>
            <w:tcW w:w="1465" w:type="dxa"/>
            <w:hideMark/>
          </w:tcPr>
          <w:p w14:paraId="20227805" w14:textId="4284CF8F" w:rsidR="00F94040" w:rsidRPr="00D868ED" w:rsidRDefault="00363147"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-1.522***</w:t>
            </w:r>
          </w:p>
          <w:p w14:paraId="61267E72" w14:textId="69EF65D4" w:rsidR="00363147" w:rsidRPr="00D868ED" w:rsidRDefault="003051D3"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(0.037)</w:t>
            </w:r>
          </w:p>
        </w:tc>
        <w:tc>
          <w:tcPr>
            <w:tcW w:w="2730" w:type="dxa"/>
            <w:hideMark/>
          </w:tcPr>
          <w:p w14:paraId="3CC68979" w14:textId="77777777" w:rsidR="00363147" w:rsidRPr="00D868ED" w:rsidRDefault="00363147"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-1.511***</w:t>
            </w:r>
          </w:p>
          <w:p w14:paraId="1CCDCCDC" w14:textId="2794CA50" w:rsidR="003051D3" w:rsidRPr="00D868ED" w:rsidRDefault="003051D3"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(0.037)</w:t>
            </w:r>
          </w:p>
        </w:tc>
      </w:tr>
      <w:tr w:rsidR="00363147" w:rsidRPr="00D868ED" w14:paraId="28104D74" w14:textId="77777777" w:rsidTr="00F94040">
        <w:tc>
          <w:tcPr>
            <w:tcW w:w="0" w:type="auto"/>
            <w:hideMark/>
          </w:tcPr>
          <w:p w14:paraId="0BEE748C" w14:textId="77777777" w:rsidR="00363147" w:rsidRPr="00D868ED" w:rsidRDefault="00363147" w:rsidP="00CE5C32">
            <w:pPr>
              <w:bidi w:val="0"/>
              <w:contextualSpacing/>
              <w:jc w:val="both"/>
              <w:rPr>
                <w:rFonts w:ascii="Times New Roman" w:hAnsi="Times New Roman"/>
                <w:kern w:val="0"/>
                <w14:ligatures w14:val="none"/>
              </w:rPr>
            </w:pPr>
            <w:r w:rsidRPr="00D868ED">
              <w:rPr>
                <w:rFonts w:ascii="Times New Roman" w:hAnsi="Times New Roman"/>
                <w:kern w:val="0"/>
                <w14:ligatures w14:val="none"/>
              </w:rPr>
              <w:t>Common language</w:t>
            </w:r>
          </w:p>
        </w:tc>
        <w:tc>
          <w:tcPr>
            <w:tcW w:w="1465" w:type="dxa"/>
            <w:hideMark/>
          </w:tcPr>
          <w:p w14:paraId="354B3BB0" w14:textId="77777777" w:rsidR="00363147" w:rsidRPr="00D868ED" w:rsidRDefault="00363147"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-0.315***</w:t>
            </w:r>
          </w:p>
          <w:p w14:paraId="55F9DDF3" w14:textId="223DAA34" w:rsidR="003051D3" w:rsidRPr="00D868ED" w:rsidRDefault="003051D3"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(0.094)</w:t>
            </w:r>
          </w:p>
        </w:tc>
        <w:tc>
          <w:tcPr>
            <w:tcW w:w="2730" w:type="dxa"/>
            <w:hideMark/>
          </w:tcPr>
          <w:p w14:paraId="010B7323" w14:textId="77777777" w:rsidR="00363147" w:rsidRPr="00D868ED" w:rsidRDefault="00363147"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-0.275**</w:t>
            </w:r>
          </w:p>
          <w:p w14:paraId="6DC48ADE" w14:textId="2F4CAF87" w:rsidR="003051D3" w:rsidRPr="00D868ED" w:rsidRDefault="003051D3"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(0.100)</w:t>
            </w:r>
          </w:p>
        </w:tc>
      </w:tr>
      <w:tr w:rsidR="00363147" w:rsidRPr="00D868ED" w14:paraId="5BE91610" w14:textId="77777777" w:rsidTr="00F94040">
        <w:tc>
          <w:tcPr>
            <w:tcW w:w="0" w:type="auto"/>
            <w:hideMark/>
          </w:tcPr>
          <w:p w14:paraId="62D4AB8A" w14:textId="77777777" w:rsidR="00363147" w:rsidRPr="00D868ED" w:rsidRDefault="00363147" w:rsidP="00CE5C32">
            <w:pPr>
              <w:bidi w:val="0"/>
              <w:contextualSpacing/>
              <w:jc w:val="both"/>
              <w:rPr>
                <w:rFonts w:ascii="Times New Roman" w:hAnsi="Times New Roman"/>
                <w:kern w:val="0"/>
                <w14:ligatures w14:val="none"/>
              </w:rPr>
            </w:pPr>
            <w:r w:rsidRPr="00D868ED">
              <w:rPr>
                <w:rFonts w:ascii="Times New Roman" w:hAnsi="Times New Roman"/>
                <w:kern w:val="0"/>
                <w14:ligatures w14:val="none"/>
              </w:rPr>
              <w:t>Contiguity</w:t>
            </w:r>
          </w:p>
        </w:tc>
        <w:tc>
          <w:tcPr>
            <w:tcW w:w="1465" w:type="dxa"/>
            <w:hideMark/>
          </w:tcPr>
          <w:p w14:paraId="763C5074" w14:textId="77777777" w:rsidR="00363147" w:rsidRPr="00D868ED" w:rsidRDefault="00363147"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-0.164***</w:t>
            </w:r>
          </w:p>
          <w:p w14:paraId="13C5BF2D" w14:textId="02E7769E" w:rsidR="003051D3" w:rsidRPr="00D868ED" w:rsidRDefault="003051D3"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(0.060)</w:t>
            </w:r>
          </w:p>
        </w:tc>
        <w:tc>
          <w:tcPr>
            <w:tcW w:w="2730" w:type="dxa"/>
            <w:hideMark/>
          </w:tcPr>
          <w:p w14:paraId="0E6BC39A" w14:textId="77777777" w:rsidR="00363147" w:rsidRPr="00D868ED" w:rsidRDefault="00363147"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-0.134*</w:t>
            </w:r>
          </w:p>
          <w:p w14:paraId="2443E65C" w14:textId="573BAD2E" w:rsidR="003051D3" w:rsidRPr="00D868ED" w:rsidRDefault="003051D3"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(0.060)</w:t>
            </w:r>
          </w:p>
        </w:tc>
      </w:tr>
      <w:tr w:rsidR="00363147" w:rsidRPr="00D868ED" w14:paraId="2ED46EF3" w14:textId="77777777" w:rsidTr="00F94040">
        <w:tc>
          <w:tcPr>
            <w:tcW w:w="0" w:type="auto"/>
            <w:hideMark/>
          </w:tcPr>
          <w:p w14:paraId="09F4E4FF" w14:textId="77777777" w:rsidR="00363147" w:rsidRPr="00D868ED" w:rsidRDefault="00363147" w:rsidP="00CE5C32">
            <w:pPr>
              <w:bidi w:val="0"/>
              <w:contextualSpacing/>
              <w:jc w:val="both"/>
              <w:rPr>
                <w:rFonts w:ascii="Times New Roman" w:hAnsi="Times New Roman"/>
                <w:kern w:val="0"/>
                <w14:ligatures w14:val="none"/>
              </w:rPr>
            </w:pPr>
            <w:r w:rsidRPr="00D868ED">
              <w:rPr>
                <w:rFonts w:ascii="Times New Roman" w:hAnsi="Times New Roman"/>
                <w:kern w:val="0"/>
                <w14:ligatures w14:val="none"/>
              </w:rPr>
              <w:t>Joint WTO membership</w:t>
            </w:r>
          </w:p>
        </w:tc>
        <w:tc>
          <w:tcPr>
            <w:tcW w:w="1465" w:type="dxa"/>
            <w:hideMark/>
          </w:tcPr>
          <w:p w14:paraId="64D6E148" w14:textId="77777777" w:rsidR="00363147" w:rsidRPr="00D868ED" w:rsidRDefault="00363147"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0.859***</w:t>
            </w:r>
          </w:p>
          <w:p w14:paraId="1301CFB9" w14:textId="228D7D2C" w:rsidR="003051D3" w:rsidRPr="00D868ED" w:rsidRDefault="003051D3"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(0.049)</w:t>
            </w:r>
          </w:p>
        </w:tc>
        <w:tc>
          <w:tcPr>
            <w:tcW w:w="2730" w:type="dxa"/>
            <w:hideMark/>
          </w:tcPr>
          <w:p w14:paraId="37FE8290" w14:textId="77777777" w:rsidR="00363147" w:rsidRPr="00D868ED" w:rsidRDefault="00363147"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0.860***</w:t>
            </w:r>
          </w:p>
          <w:p w14:paraId="478AB1D1" w14:textId="39E39785" w:rsidR="003051D3" w:rsidRPr="00D868ED" w:rsidRDefault="003051D3"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(0.050)</w:t>
            </w:r>
          </w:p>
        </w:tc>
      </w:tr>
      <w:tr w:rsidR="00363147" w:rsidRPr="00D868ED" w14:paraId="6ECB578A" w14:textId="77777777" w:rsidTr="00F94040">
        <w:tc>
          <w:tcPr>
            <w:tcW w:w="0" w:type="auto"/>
            <w:hideMark/>
          </w:tcPr>
          <w:p w14:paraId="0DA65597" w14:textId="77777777" w:rsidR="00363147" w:rsidRPr="00D868ED" w:rsidRDefault="00363147" w:rsidP="00CE5C32">
            <w:pPr>
              <w:bidi w:val="0"/>
              <w:contextualSpacing/>
              <w:jc w:val="both"/>
              <w:rPr>
                <w:rFonts w:ascii="Times New Roman" w:hAnsi="Times New Roman"/>
                <w:kern w:val="0"/>
                <w14:ligatures w14:val="none"/>
              </w:rPr>
            </w:pPr>
            <w:r w:rsidRPr="00D868ED">
              <w:rPr>
                <w:rFonts w:ascii="Times New Roman" w:hAnsi="Times New Roman"/>
                <w:kern w:val="0"/>
                <w14:ligatures w14:val="none"/>
              </w:rPr>
              <w:t>Joint EU membership</w:t>
            </w:r>
          </w:p>
        </w:tc>
        <w:tc>
          <w:tcPr>
            <w:tcW w:w="1465" w:type="dxa"/>
            <w:hideMark/>
          </w:tcPr>
          <w:p w14:paraId="248CA438" w14:textId="7C1B8B45" w:rsidR="00F94040" w:rsidRPr="00D868ED" w:rsidRDefault="00363147"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1.935***</w:t>
            </w:r>
          </w:p>
          <w:p w14:paraId="412E290B" w14:textId="656310E9" w:rsidR="00363147" w:rsidRPr="00D868ED" w:rsidRDefault="003051D3"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(0.083)</w:t>
            </w:r>
          </w:p>
        </w:tc>
        <w:tc>
          <w:tcPr>
            <w:tcW w:w="2730" w:type="dxa"/>
            <w:hideMark/>
          </w:tcPr>
          <w:p w14:paraId="7BB889A3" w14:textId="77777777" w:rsidR="00363147" w:rsidRPr="00D868ED" w:rsidRDefault="00363147"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1.942***</w:t>
            </w:r>
          </w:p>
          <w:p w14:paraId="22E964C3" w14:textId="71853C01" w:rsidR="003051D3" w:rsidRPr="00D868ED" w:rsidRDefault="003051D3"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(0.081)</w:t>
            </w:r>
          </w:p>
        </w:tc>
      </w:tr>
      <w:tr w:rsidR="00363147" w:rsidRPr="00D868ED" w14:paraId="530B836E" w14:textId="77777777" w:rsidTr="00F94040">
        <w:tc>
          <w:tcPr>
            <w:tcW w:w="0" w:type="auto"/>
            <w:hideMark/>
          </w:tcPr>
          <w:p w14:paraId="26AAC0BC" w14:textId="77777777" w:rsidR="00363147" w:rsidRPr="00D868ED" w:rsidRDefault="00363147" w:rsidP="00CE5C32">
            <w:pPr>
              <w:bidi w:val="0"/>
              <w:contextualSpacing/>
              <w:jc w:val="both"/>
              <w:rPr>
                <w:rFonts w:ascii="Times New Roman" w:hAnsi="Times New Roman"/>
                <w:kern w:val="0"/>
                <w14:ligatures w14:val="none"/>
              </w:rPr>
            </w:pPr>
            <w:r w:rsidRPr="00D868ED">
              <w:rPr>
                <w:rFonts w:ascii="Times New Roman" w:hAnsi="Times New Roman"/>
                <w:kern w:val="0"/>
                <w14:ligatures w14:val="none"/>
              </w:rPr>
              <w:t>Joint EAEU membership</w:t>
            </w:r>
          </w:p>
        </w:tc>
        <w:tc>
          <w:tcPr>
            <w:tcW w:w="1465" w:type="dxa"/>
            <w:hideMark/>
          </w:tcPr>
          <w:p w14:paraId="737AD1A8" w14:textId="77777777" w:rsidR="00363147" w:rsidRPr="00D868ED" w:rsidRDefault="00363147"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0.529***</w:t>
            </w:r>
          </w:p>
          <w:p w14:paraId="7FB0A3D1" w14:textId="49CA12BE" w:rsidR="003051D3" w:rsidRPr="00D868ED" w:rsidRDefault="003051D3"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(0.111)</w:t>
            </w:r>
          </w:p>
        </w:tc>
        <w:tc>
          <w:tcPr>
            <w:tcW w:w="2730" w:type="dxa"/>
            <w:hideMark/>
          </w:tcPr>
          <w:p w14:paraId="68310346" w14:textId="77777777" w:rsidR="00363147" w:rsidRPr="00D868ED" w:rsidRDefault="00363147"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0.536***</w:t>
            </w:r>
          </w:p>
          <w:p w14:paraId="3689799E" w14:textId="3B578B91" w:rsidR="003051D3" w:rsidRPr="00D868ED" w:rsidRDefault="003051D3"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(0.116)</w:t>
            </w:r>
          </w:p>
        </w:tc>
      </w:tr>
      <w:tr w:rsidR="00363147" w:rsidRPr="00D868ED" w14:paraId="52435F4F" w14:textId="77777777" w:rsidTr="00F94040">
        <w:tc>
          <w:tcPr>
            <w:tcW w:w="0" w:type="auto"/>
            <w:hideMark/>
          </w:tcPr>
          <w:p w14:paraId="13618421" w14:textId="77777777" w:rsidR="00363147" w:rsidRPr="00D868ED" w:rsidRDefault="00363147" w:rsidP="00CE5C32">
            <w:pPr>
              <w:bidi w:val="0"/>
              <w:contextualSpacing/>
              <w:jc w:val="both"/>
              <w:rPr>
                <w:rFonts w:ascii="Times New Roman" w:hAnsi="Times New Roman"/>
                <w:kern w:val="0"/>
                <w14:ligatures w14:val="none"/>
              </w:rPr>
            </w:pPr>
            <w:r w:rsidRPr="00D868ED">
              <w:rPr>
                <w:rFonts w:ascii="Times New Roman" w:hAnsi="Times New Roman"/>
                <w:kern w:val="0"/>
                <w14:ligatures w14:val="none"/>
              </w:rPr>
              <w:t>R²</w:t>
            </w:r>
          </w:p>
        </w:tc>
        <w:tc>
          <w:tcPr>
            <w:tcW w:w="1465" w:type="dxa"/>
            <w:hideMark/>
          </w:tcPr>
          <w:p w14:paraId="1F169E43" w14:textId="77777777" w:rsidR="00363147" w:rsidRPr="00D868ED" w:rsidRDefault="00363147"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0.795</w:t>
            </w:r>
          </w:p>
        </w:tc>
        <w:tc>
          <w:tcPr>
            <w:tcW w:w="2730" w:type="dxa"/>
            <w:hideMark/>
          </w:tcPr>
          <w:p w14:paraId="41C233A0" w14:textId="77777777" w:rsidR="00363147" w:rsidRPr="00D868ED" w:rsidRDefault="00363147"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0.445</w:t>
            </w:r>
          </w:p>
        </w:tc>
      </w:tr>
      <w:tr w:rsidR="00363147" w:rsidRPr="00D868ED" w14:paraId="65BE9E9F" w14:textId="77777777" w:rsidTr="00F94040">
        <w:tc>
          <w:tcPr>
            <w:tcW w:w="0" w:type="auto"/>
            <w:hideMark/>
          </w:tcPr>
          <w:p w14:paraId="7DAC3FE6" w14:textId="77777777" w:rsidR="00363147" w:rsidRPr="00D868ED" w:rsidRDefault="00363147" w:rsidP="00CE5C32">
            <w:pPr>
              <w:bidi w:val="0"/>
              <w:contextualSpacing/>
              <w:jc w:val="both"/>
              <w:rPr>
                <w:rFonts w:ascii="Times New Roman" w:hAnsi="Times New Roman"/>
                <w:kern w:val="0"/>
                <w14:ligatures w14:val="none"/>
              </w:rPr>
            </w:pPr>
            <w:r w:rsidRPr="00D868ED">
              <w:rPr>
                <w:rFonts w:ascii="Times New Roman" w:hAnsi="Times New Roman"/>
                <w:kern w:val="0"/>
                <w14:ligatures w14:val="none"/>
              </w:rPr>
              <w:t>Within R²</w:t>
            </w:r>
          </w:p>
        </w:tc>
        <w:tc>
          <w:tcPr>
            <w:tcW w:w="1465" w:type="dxa"/>
            <w:hideMark/>
          </w:tcPr>
          <w:p w14:paraId="541C5177" w14:textId="77777777" w:rsidR="00363147" w:rsidRPr="00D868ED" w:rsidRDefault="00363147"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0.449</w:t>
            </w:r>
          </w:p>
        </w:tc>
        <w:tc>
          <w:tcPr>
            <w:tcW w:w="2730" w:type="dxa"/>
            <w:hideMark/>
          </w:tcPr>
          <w:p w14:paraId="5D6E2642" w14:textId="77777777" w:rsidR="00363147" w:rsidRPr="00D868ED" w:rsidRDefault="00363147"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w:t>
            </w:r>
          </w:p>
        </w:tc>
      </w:tr>
      <w:tr w:rsidR="00363147" w:rsidRPr="00D868ED" w14:paraId="5578B4F2" w14:textId="77777777" w:rsidTr="00F94040">
        <w:tc>
          <w:tcPr>
            <w:tcW w:w="0" w:type="auto"/>
            <w:hideMark/>
          </w:tcPr>
          <w:p w14:paraId="5CD82223" w14:textId="77777777" w:rsidR="00363147" w:rsidRPr="00D868ED" w:rsidRDefault="00363147" w:rsidP="00CE5C32">
            <w:pPr>
              <w:bidi w:val="0"/>
              <w:contextualSpacing/>
              <w:jc w:val="both"/>
              <w:rPr>
                <w:rFonts w:ascii="Times New Roman" w:hAnsi="Times New Roman"/>
                <w:kern w:val="0"/>
                <w14:ligatures w14:val="none"/>
              </w:rPr>
            </w:pPr>
            <w:r w:rsidRPr="00D868ED">
              <w:rPr>
                <w:rFonts w:ascii="Times New Roman" w:hAnsi="Times New Roman"/>
                <w:kern w:val="0"/>
                <w14:ligatures w14:val="none"/>
              </w:rPr>
              <w:t>RMSE</w:t>
            </w:r>
          </w:p>
        </w:tc>
        <w:tc>
          <w:tcPr>
            <w:tcW w:w="1465" w:type="dxa"/>
            <w:hideMark/>
          </w:tcPr>
          <w:p w14:paraId="6AA27387" w14:textId="77777777" w:rsidR="00363147" w:rsidRPr="00D868ED" w:rsidRDefault="00363147"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1.31</w:t>
            </w:r>
          </w:p>
        </w:tc>
        <w:tc>
          <w:tcPr>
            <w:tcW w:w="2730" w:type="dxa"/>
            <w:hideMark/>
          </w:tcPr>
          <w:p w14:paraId="7536E193" w14:textId="77777777" w:rsidR="00363147" w:rsidRPr="00D868ED" w:rsidRDefault="00363147" w:rsidP="00CE5C32">
            <w:pPr>
              <w:bidi w:val="0"/>
              <w:contextualSpacing/>
              <w:jc w:val="center"/>
              <w:rPr>
                <w:rFonts w:ascii="Times New Roman" w:hAnsi="Times New Roman"/>
                <w:kern w:val="0"/>
                <w14:ligatures w14:val="none"/>
              </w:rPr>
            </w:pPr>
            <w:r w:rsidRPr="00D868ED">
              <w:rPr>
                <w:rFonts w:ascii="Times New Roman" w:hAnsi="Times New Roman"/>
                <w:kern w:val="0"/>
                <w14:ligatures w14:val="none"/>
              </w:rPr>
              <w:t>1.32</w:t>
            </w:r>
          </w:p>
        </w:tc>
      </w:tr>
    </w:tbl>
    <w:p w14:paraId="6DB96C5B" w14:textId="14332299" w:rsidR="00F94040" w:rsidRPr="00D868ED" w:rsidRDefault="00F94040" w:rsidP="00CE5C32">
      <w:pPr>
        <w:bidi w:val="0"/>
        <w:spacing w:before="120" w:after="120" w:line="288" w:lineRule="auto"/>
        <w:jc w:val="both"/>
        <w:rPr>
          <w:rFonts w:ascii="Times New Roman" w:hAnsi="Times New Roman"/>
          <w:kern w:val="0"/>
          <w14:ligatures w14:val="none"/>
        </w:rPr>
      </w:pPr>
      <w:r w:rsidRPr="00D868ED">
        <w:rPr>
          <w:rFonts w:ascii="Times New Roman" w:hAnsi="Times New Roman"/>
          <w:kern w:val="0"/>
          <w14:ligatures w14:val="none"/>
        </w:rPr>
        <w:t>Notes: Robust standard errors in parentheses. Fixed-effects model includes exporter and importer fixed effects. (</w:t>
      </w:r>
      <w:r w:rsidR="0031283B" w:rsidRPr="00D868ED">
        <w:rPr>
          <w:rFonts w:ascii="Times New Roman" w:hAnsi="Times New Roman"/>
          <w:kern w:val="0"/>
          <w14:ligatures w14:val="none"/>
        </w:rPr>
        <w:t xml:space="preserve">* </w:t>
      </w:r>
      <w:r w:rsidRPr="00D868ED">
        <w:rPr>
          <w:rFonts w:ascii="Times New Roman" w:hAnsi="Times New Roman"/>
          <w:kern w:val="0"/>
          <w14:ligatures w14:val="none"/>
        </w:rPr>
        <w:t>p &lt; 0.10, ** p &lt; 0.05, *** p &lt; 0.01)</w:t>
      </w:r>
    </w:p>
    <w:p w14:paraId="56228408" w14:textId="0ABF735D" w:rsidR="00363147" w:rsidRPr="00D868ED" w:rsidRDefault="00363147" w:rsidP="00CE5C32">
      <w:pPr>
        <w:bidi w:val="0"/>
        <w:spacing w:before="120" w:after="120" w:line="288" w:lineRule="auto"/>
        <w:jc w:val="both"/>
        <w:rPr>
          <w:rFonts w:ascii="Times New Roman" w:hAnsi="Times New Roman"/>
          <w:kern w:val="0"/>
          <w14:ligatures w14:val="none"/>
        </w:rPr>
      </w:pPr>
      <w:r w:rsidRPr="00D868ED">
        <w:rPr>
          <w:rFonts w:ascii="Times New Roman" w:hAnsi="Times New Roman"/>
          <w:kern w:val="0"/>
          <w14:ligatures w14:val="none"/>
        </w:rPr>
        <w:t>The coefficient on distance is large, negative, and highly significant in both models. In the fixed-effects specification, a 1 percent increase in weighted bilateral distance is associated with roughly a 1.52 percent decline in bilateral trade. This result strongly supports the core gravity prediction that geographic trade costs remain an important constraint on trade within the post-Soviet region, despite the countries’ common historical background.</w:t>
      </w:r>
    </w:p>
    <w:p w14:paraId="052FFA88" w14:textId="54C2A318" w:rsidR="00363147" w:rsidRPr="00D868ED" w:rsidRDefault="00363147" w:rsidP="00CE5C32">
      <w:pPr>
        <w:bidi w:val="0"/>
        <w:spacing w:after="120" w:line="288" w:lineRule="auto"/>
        <w:jc w:val="both"/>
        <w:rPr>
          <w:rFonts w:ascii="Times New Roman" w:hAnsi="Times New Roman"/>
          <w:kern w:val="0"/>
          <w14:ligatures w14:val="none"/>
        </w:rPr>
      </w:pPr>
      <w:r w:rsidRPr="00D868ED">
        <w:rPr>
          <w:rFonts w:ascii="Times New Roman" w:hAnsi="Times New Roman"/>
          <w:kern w:val="0"/>
          <w14:ligatures w14:val="none"/>
        </w:rPr>
        <w:t xml:space="preserve">A more surprising result concerns the signs of common language and contiguity. In both specifications, the coefficients on </w:t>
      </w:r>
      <w:r w:rsidRPr="00D868ED">
        <w:rPr>
          <w:rFonts w:ascii="Times New Roman" w:hAnsi="Times New Roman"/>
          <w:i/>
          <w:iCs/>
          <w:kern w:val="0"/>
          <w14:ligatures w14:val="none"/>
        </w:rPr>
        <w:t>comlang_off</w:t>
      </w:r>
      <w:r w:rsidRPr="00D868ED">
        <w:rPr>
          <w:rFonts w:ascii="Times New Roman" w:hAnsi="Times New Roman"/>
          <w:kern w:val="0"/>
          <w14:ligatures w14:val="none"/>
        </w:rPr>
        <w:t xml:space="preserve"> and </w:t>
      </w:r>
      <w:r w:rsidRPr="00D868ED">
        <w:rPr>
          <w:rFonts w:ascii="Times New Roman" w:hAnsi="Times New Roman"/>
          <w:i/>
          <w:iCs/>
          <w:kern w:val="0"/>
          <w14:ligatures w14:val="none"/>
        </w:rPr>
        <w:t>contig</w:t>
      </w:r>
      <w:r w:rsidRPr="00D868ED">
        <w:rPr>
          <w:rFonts w:ascii="Times New Roman" w:hAnsi="Times New Roman"/>
          <w:kern w:val="0"/>
          <w14:ligatures w14:val="none"/>
        </w:rPr>
        <w:t xml:space="preserve"> are negative, although the contiguity estimate is weaker in the double-demeaned model. Conditional on exporter and importer fixed effects, sharing an official language or a land border is not associated with higher trade. This should not be overinterpreted as evidence that language and borders reduce trade in an absolute sense. Rather, within this restricted regional sample, and after controlling for broad country-specific factors, these variables may be picking up unobserved border frictions, conflict exposure, or infrastructure bottlenecks that offset the usual proximity advantage.</w:t>
      </w:r>
      <w:r w:rsidR="000A092C" w:rsidRPr="00D868ED">
        <w:rPr>
          <w:rFonts w:ascii="Times New Roman" w:hAnsi="Times New Roman"/>
          <w:kern w:val="0"/>
          <w14:ligatures w14:val="none"/>
        </w:rPr>
        <w:t xml:space="preserve"> This pattern is also consistent with the restricted nature of the intra-post-Soviet sample. Because all countries share some degree of Soviet-era institutional and linguistic legacy, the official-language dummy captures only a narrow formal dimension of linguistic proximity and does not reflect the broader use of Russian as a regional lingua franca. Similarly, contiguity may proxy politically sensitive borders, transit bottlenecks, or conflict-affected corridors rather than simple geographic proximity. In this setting, neighboring country pairs are not necessarily the most economically complementary pairs once exporter and importer heterogeneity is controlled for. The negative coefficients should therefore be interpreted as conditional within-sample associations rather than as general evidence against the standard gravity prediction.</w:t>
      </w:r>
    </w:p>
    <w:p w14:paraId="1CAADBCC" w14:textId="77777777" w:rsidR="00363147" w:rsidRPr="00D868ED" w:rsidRDefault="00363147" w:rsidP="00CE5C32">
      <w:pPr>
        <w:bidi w:val="0"/>
        <w:spacing w:after="120" w:line="288" w:lineRule="auto"/>
        <w:jc w:val="both"/>
        <w:rPr>
          <w:rFonts w:ascii="Times New Roman" w:hAnsi="Times New Roman"/>
          <w:kern w:val="0"/>
          <w14:ligatures w14:val="none"/>
        </w:rPr>
      </w:pPr>
      <w:r w:rsidRPr="00D868ED">
        <w:rPr>
          <w:rFonts w:ascii="Times New Roman" w:hAnsi="Times New Roman"/>
          <w:kern w:val="0"/>
          <w14:ligatures w14:val="none"/>
        </w:rPr>
        <w:t>By contrast, the institutional variables are strongly positive. Joint WTO membership is associated with substantially higher bilateral trade, with a coefficient of about 0.86 in both models. Joint EU membership has the largest effect, with coefficients close to 1.94, while joint EAEU membership is also positive and significant, with coefficients around 0.53. These results suggest that, once exporter and importer heterogeneity is absorbed, institutional alignment is strongly associated with higher intra-regional trade, especially in the case of the EU.</w:t>
      </w:r>
    </w:p>
    <w:p w14:paraId="61BED0E9" w14:textId="77777777" w:rsidR="00363147" w:rsidRPr="00D868ED" w:rsidRDefault="00363147" w:rsidP="00CE5C32">
      <w:pPr>
        <w:bidi w:val="0"/>
        <w:spacing w:after="120" w:line="288" w:lineRule="auto"/>
        <w:jc w:val="both"/>
        <w:rPr>
          <w:rFonts w:ascii="Times New Roman" w:hAnsi="Times New Roman"/>
          <w:b/>
          <w:bCs/>
          <w:kern w:val="0"/>
          <w14:ligatures w14:val="none"/>
        </w:rPr>
      </w:pPr>
      <w:r w:rsidRPr="00D868ED">
        <w:rPr>
          <w:rFonts w:ascii="Times New Roman" w:hAnsi="Times New Roman"/>
          <w:b/>
          <w:bCs/>
          <w:kern w:val="0"/>
          <w14:ligatures w14:val="none"/>
        </w:rPr>
        <w:t>5.2 Normalized gravity results</w:t>
      </w:r>
    </w:p>
    <w:p w14:paraId="70617680" w14:textId="1BA0F30F" w:rsidR="00363147" w:rsidRPr="00D868ED" w:rsidRDefault="00695AFE" w:rsidP="00CE5C32">
      <w:pPr>
        <w:bidi w:val="0"/>
        <w:spacing w:after="120" w:line="288" w:lineRule="auto"/>
        <w:jc w:val="both"/>
        <w:rPr>
          <w:rFonts w:ascii="Times New Roman" w:hAnsi="Times New Roman"/>
          <w:kern w:val="0"/>
          <w14:ligatures w14:val="none"/>
        </w:rPr>
      </w:pPr>
      <w:r w:rsidRPr="00D868ED">
        <w:rPr>
          <w:rFonts w:ascii="Times New Roman" w:hAnsi="Times New Roman"/>
          <w:kern w:val="0"/>
          <w14:ligatures w14:val="none"/>
        </w:rPr>
        <w:fldChar w:fldCharType="begin"/>
      </w:r>
      <w:r w:rsidRPr="00D868ED">
        <w:rPr>
          <w:rFonts w:ascii="Times New Roman" w:hAnsi="Times New Roman"/>
          <w:kern w:val="0"/>
          <w14:ligatures w14:val="none"/>
        </w:rPr>
        <w:instrText xml:space="preserve"> REF _Ref224736102 \h  \* MERGEFORMAT </w:instrText>
      </w:r>
      <w:r w:rsidRPr="00D868ED">
        <w:rPr>
          <w:rFonts w:ascii="Times New Roman" w:hAnsi="Times New Roman"/>
          <w:kern w:val="0"/>
          <w14:ligatures w14:val="none"/>
        </w:rPr>
      </w:r>
      <w:r w:rsidRPr="00D868ED">
        <w:rPr>
          <w:rFonts w:ascii="Times New Roman" w:hAnsi="Times New Roman"/>
          <w:kern w:val="0"/>
          <w14:ligatures w14:val="none"/>
        </w:rPr>
        <w:fldChar w:fldCharType="separate"/>
      </w:r>
      <w:r w:rsidR="00EC28FA" w:rsidRPr="00D868ED">
        <w:rPr>
          <w:rFonts w:asciiTheme="majorBidi" w:hAnsiTheme="majorBidi" w:cstheme="majorBidi"/>
        </w:rPr>
        <w:t xml:space="preserve">Table </w:t>
      </w:r>
      <w:r w:rsidR="00EC28FA" w:rsidRPr="00D868ED">
        <w:rPr>
          <w:rFonts w:asciiTheme="majorBidi" w:hAnsiTheme="majorBidi" w:cstheme="majorBidi"/>
          <w:noProof/>
        </w:rPr>
        <w:t>6</w:t>
      </w:r>
      <w:r w:rsidRPr="00D868ED">
        <w:rPr>
          <w:rFonts w:ascii="Times New Roman" w:hAnsi="Times New Roman"/>
          <w:kern w:val="0"/>
          <w14:ligatures w14:val="none"/>
        </w:rPr>
        <w:fldChar w:fldCharType="end"/>
      </w:r>
      <w:r w:rsidRPr="00D868ED">
        <w:rPr>
          <w:rFonts w:ascii="Times New Roman" w:hAnsi="Times New Roman"/>
          <w:kern w:val="0"/>
          <w14:ligatures w14:val="none"/>
        </w:rPr>
        <w:t xml:space="preserve"> </w:t>
      </w:r>
      <w:r w:rsidR="00363147" w:rsidRPr="00D868ED">
        <w:rPr>
          <w:rFonts w:ascii="Times New Roman" w:hAnsi="Times New Roman"/>
          <w:kern w:val="0"/>
          <w14:ligatures w14:val="none"/>
        </w:rPr>
        <w:t>compares the classic log-linear gravity model with the normalized BVU specification. This comparison is useful because it distinguishes scale effects from trade intensity effects. The classic model explains the level of bilateral trade, while the BVU model explains trade relative to the economic size of the trading partners.</w:t>
      </w:r>
    </w:p>
    <w:p w14:paraId="660BF001" w14:textId="2DBDDDD5" w:rsidR="00363147" w:rsidRPr="00D868ED" w:rsidRDefault="00695AFE" w:rsidP="00CE5C32">
      <w:pPr>
        <w:pStyle w:val="Caption"/>
        <w:bidi w:val="0"/>
        <w:rPr>
          <w:rFonts w:asciiTheme="majorBidi" w:hAnsiTheme="majorBidi" w:cstheme="majorBidi"/>
          <w:i w:val="0"/>
          <w:iCs w:val="0"/>
          <w:color w:val="auto"/>
          <w:kern w:val="0"/>
          <w:sz w:val="24"/>
          <w:szCs w:val="24"/>
          <w14:ligatures w14:val="none"/>
        </w:rPr>
      </w:pPr>
      <w:bookmarkStart w:id="22" w:name="_Ref224736102"/>
      <w:r w:rsidRPr="00D868ED">
        <w:rPr>
          <w:rFonts w:asciiTheme="majorBidi" w:hAnsiTheme="majorBidi" w:cstheme="majorBidi"/>
          <w:i w:val="0"/>
          <w:iCs w:val="0"/>
          <w:color w:val="auto"/>
          <w:sz w:val="24"/>
          <w:szCs w:val="24"/>
        </w:rPr>
        <w:t xml:space="preserve">Table </w:t>
      </w:r>
      <w:r w:rsidRPr="00D868ED">
        <w:rPr>
          <w:rFonts w:asciiTheme="majorBidi" w:hAnsiTheme="majorBidi" w:cstheme="majorBidi"/>
          <w:i w:val="0"/>
          <w:iCs w:val="0"/>
          <w:color w:val="auto"/>
          <w:sz w:val="24"/>
          <w:szCs w:val="24"/>
        </w:rPr>
        <w:fldChar w:fldCharType="begin"/>
      </w:r>
      <w:r w:rsidRPr="00D868ED">
        <w:rPr>
          <w:rFonts w:asciiTheme="majorBidi" w:hAnsiTheme="majorBidi" w:cstheme="majorBidi"/>
          <w:i w:val="0"/>
          <w:iCs w:val="0"/>
          <w:color w:val="auto"/>
          <w:sz w:val="24"/>
          <w:szCs w:val="24"/>
        </w:rPr>
        <w:instrText xml:space="preserve"> SEQ Table \* ARABIC </w:instrText>
      </w:r>
      <w:r w:rsidRPr="00D868ED">
        <w:rPr>
          <w:rFonts w:asciiTheme="majorBidi" w:hAnsiTheme="majorBidi" w:cstheme="majorBidi"/>
          <w:i w:val="0"/>
          <w:iCs w:val="0"/>
          <w:color w:val="auto"/>
          <w:sz w:val="24"/>
          <w:szCs w:val="24"/>
        </w:rPr>
        <w:fldChar w:fldCharType="separate"/>
      </w:r>
      <w:r w:rsidR="00EC28FA" w:rsidRPr="00D868ED">
        <w:rPr>
          <w:rFonts w:asciiTheme="majorBidi" w:hAnsiTheme="majorBidi" w:cstheme="majorBidi"/>
          <w:i w:val="0"/>
          <w:iCs w:val="0"/>
          <w:noProof/>
          <w:color w:val="auto"/>
          <w:sz w:val="24"/>
          <w:szCs w:val="24"/>
        </w:rPr>
        <w:t>6</w:t>
      </w:r>
      <w:r w:rsidRPr="00D868ED">
        <w:rPr>
          <w:rFonts w:asciiTheme="majorBidi" w:hAnsiTheme="majorBidi" w:cstheme="majorBidi"/>
          <w:i w:val="0"/>
          <w:iCs w:val="0"/>
          <w:color w:val="auto"/>
          <w:sz w:val="24"/>
          <w:szCs w:val="24"/>
        </w:rPr>
        <w:fldChar w:fldCharType="end"/>
      </w:r>
      <w:bookmarkEnd w:id="22"/>
      <w:r w:rsidRPr="00D868ED">
        <w:rPr>
          <w:rFonts w:asciiTheme="majorBidi" w:hAnsiTheme="majorBidi" w:cstheme="majorBidi"/>
          <w:i w:val="0"/>
          <w:iCs w:val="0"/>
          <w:color w:val="auto"/>
          <w:sz w:val="24"/>
          <w:szCs w:val="24"/>
        </w:rPr>
        <w:t xml:space="preserve">. </w:t>
      </w:r>
      <w:r w:rsidR="00363147" w:rsidRPr="00D868ED">
        <w:rPr>
          <w:rFonts w:asciiTheme="majorBidi" w:hAnsiTheme="majorBidi" w:cstheme="majorBidi"/>
          <w:i w:val="0"/>
          <w:iCs w:val="0"/>
          <w:color w:val="auto"/>
          <w:kern w:val="0"/>
          <w:sz w:val="24"/>
          <w:szCs w:val="24"/>
          <w14:ligatures w14:val="none"/>
        </w:rPr>
        <w:t>Classic gravity model and normalized BVU specification</w:t>
      </w:r>
    </w:p>
    <w:tbl>
      <w:tblPr>
        <w:tblStyle w:val="TableGrid"/>
        <w:tblW w:w="0" w:type="auto"/>
        <w:tblLook w:val="04A0" w:firstRow="1" w:lastRow="0" w:firstColumn="1" w:lastColumn="0" w:noHBand="0" w:noVBand="1"/>
      </w:tblPr>
      <w:tblGrid>
        <w:gridCol w:w="2630"/>
        <w:gridCol w:w="2774"/>
        <w:gridCol w:w="2630"/>
      </w:tblGrid>
      <w:tr w:rsidR="00363147" w:rsidRPr="00D868ED" w14:paraId="2F2AA311" w14:textId="77777777" w:rsidTr="00F94040">
        <w:tc>
          <w:tcPr>
            <w:tcW w:w="0" w:type="auto"/>
            <w:hideMark/>
          </w:tcPr>
          <w:p w14:paraId="73033897" w14:textId="77777777" w:rsidR="00363147" w:rsidRPr="00D868ED" w:rsidRDefault="00363147" w:rsidP="00CE5C32">
            <w:pPr>
              <w:bidi w:val="0"/>
              <w:jc w:val="both"/>
              <w:rPr>
                <w:rFonts w:ascii="Times New Roman" w:hAnsi="Times New Roman"/>
                <w:b/>
                <w:bCs/>
                <w:kern w:val="0"/>
                <w14:ligatures w14:val="none"/>
              </w:rPr>
            </w:pPr>
            <w:r w:rsidRPr="00D868ED">
              <w:rPr>
                <w:rFonts w:ascii="Times New Roman" w:hAnsi="Times New Roman"/>
                <w:b/>
                <w:bCs/>
                <w:kern w:val="0"/>
                <w14:ligatures w14:val="none"/>
              </w:rPr>
              <w:t>Variable</w:t>
            </w:r>
          </w:p>
        </w:tc>
        <w:tc>
          <w:tcPr>
            <w:tcW w:w="2774" w:type="dxa"/>
            <w:hideMark/>
          </w:tcPr>
          <w:p w14:paraId="5D9EFE14" w14:textId="77777777" w:rsidR="00363147" w:rsidRPr="00D868ED" w:rsidRDefault="00363147" w:rsidP="00CE5C32">
            <w:pPr>
              <w:bidi w:val="0"/>
              <w:jc w:val="center"/>
              <w:rPr>
                <w:rFonts w:ascii="Times New Roman" w:hAnsi="Times New Roman"/>
                <w:b/>
                <w:bCs/>
                <w:kern w:val="0"/>
                <w14:ligatures w14:val="none"/>
              </w:rPr>
            </w:pPr>
            <w:r w:rsidRPr="00D868ED">
              <w:rPr>
                <w:rFonts w:ascii="Times New Roman" w:hAnsi="Times New Roman"/>
                <w:b/>
                <w:bCs/>
                <w:kern w:val="0"/>
                <w14:ligatures w14:val="none"/>
              </w:rPr>
              <w:t>Classic log-linear OLS</w:t>
            </w:r>
          </w:p>
        </w:tc>
        <w:tc>
          <w:tcPr>
            <w:tcW w:w="0" w:type="auto"/>
            <w:hideMark/>
          </w:tcPr>
          <w:p w14:paraId="37861D9B" w14:textId="77777777" w:rsidR="00363147" w:rsidRPr="00D868ED" w:rsidRDefault="00363147" w:rsidP="00CE5C32">
            <w:pPr>
              <w:bidi w:val="0"/>
              <w:jc w:val="center"/>
              <w:rPr>
                <w:rFonts w:ascii="Times New Roman" w:hAnsi="Times New Roman"/>
                <w:b/>
                <w:bCs/>
                <w:kern w:val="0"/>
                <w14:ligatures w14:val="none"/>
              </w:rPr>
            </w:pPr>
            <w:r w:rsidRPr="00D868ED">
              <w:rPr>
                <w:rFonts w:ascii="Times New Roman" w:hAnsi="Times New Roman"/>
                <w:b/>
                <w:bCs/>
                <w:kern w:val="0"/>
                <w14:ligatures w14:val="none"/>
              </w:rPr>
              <w:t>BVU normalized model</w:t>
            </w:r>
          </w:p>
        </w:tc>
      </w:tr>
      <w:tr w:rsidR="00363147" w:rsidRPr="00D868ED" w14:paraId="1ABB5AE0" w14:textId="77777777" w:rsidTr="00F94040">
        <w:tc>
          <w:tcPr>
            <w:tcW w:w="0" w:type="auto"/>
            <w:hideMark/>
          </w:tcPr>
          <w:p w14:paraId="11BEA243" w14:textId="77777777" w:rsidR="00363147" w:rsidRPr="00D868ED" w:rsidRDefault="00363147" w:rsidP="00CE5C32">
            <w:pPr>
              <w:bidi w:val="0"/>
              <w:jc w:val="both"/>
              <w:rPr>
                <w:rFonts w:ascii="Times New Roman" w:hAnsi="Times New Roman"/>
                <w:kern w:val="0"/>
                <w14:ligatures w14:val="none"/>
              </w:rPr>
            </w:pPr>
            <w:r w:rsidRPr="00D868ED">
              <w:rPr>
                <w:rFonts w:ascii="Times New Roman" w:hAnsi="Times New Roman"/>
                <w:kern w:val="0"/>
                <w14:ligatures w14:val="none"/>
              </w:rPr>
              <w:t>Log GDP, exporter</w:t>
            </w:r>
          </w:p>
        </w:tc>
        <w:tc>
          <w:tcPr>
            <w:tcW w:w="2774" w:type="dxa"/>
            <w:hideMark/>
          </w:tcPr>
          <w:p w14:paraId="3241AA6E"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0.918***</w:t>
            </w:r>
          </w:p>
          <w:p w14:paraId="5963AB12" w14:textId="1C340FDC" w:rsidR="00E0088E" w:rsidRPr="00D868ED" w:rsidRDefault="00E0088E" w:rsidP="00CE5C32">
            <w:pPr>
              <w:bidi w:val="0"/>
              <w:jc w:val="center"/>
              <w:rPr>
                <w:rFonts w:ascii="Times New Roman" w:hAnsi="Times New Roman"/>
                <w:kern w:val="0"/>
                <w14:ligatures w14:val="none"/>
              </w:rPr>
            </w:pPr>
            <w:r w:rsidRPr="00D868ED">
              <w:rPr>
                <w:rFonts w:ascii="Times New Roman" w:hAnsi="Times New Roman"/>
                <w:kern w:val="0"/>
                <w14:ligatures w14:val="none"/>
              </w:rPr>
              <w:t>(0.012)</w:t>
            </w:r>
          </w:p>
        </w:tc>
        <w:tc>
          <w:tcPr>
            <w:tcW w:w="0" w:type="auto"/>
            <w:hideMark/>
          </w:tcPr>
          <w:p w14:paraId="5FA6BD5C"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w:t>
            </w:r>
          </w:p>
        </w:tc>
      </w:tr>
      <w:tr w:rsidR="00363147" w:rsidRPr="00D868ED" w14:paraId="753C4D22" w14:textId="77777777" w:rsidTr="00F94040">
        <w:tc>
          <w:tcPr>
            <w:tcW w:w="0" w:type="auto"/>
            <w:hideMark/>
          </w:tcPr>
          <w:p w14:paraId="2731B9CA" w14:textId="77777777" w:rsidR="00363147" w:rsidRPr="00D868ED" w:rsidRDefault="00363147" w:rsidP="00CE5C32">
            <w:pPr>
              <w:bidi w:val="0"/>
              <w:jc w:val="both"/>
              <w:rPr>
                <w:rFonts w:ascii="Times New Roman" w:hAnsi="Times New Roman"/>
                <w:kern w:val="0"/>
                <w14:ligatures w14:val="none"/>
              </w:rPr>
            </w:pPr>
            <w:r w:rsidRPr="00D868ED">
              <w:rPr>
                <w:rFonts w:ascii="Times New Roman" w:hAnsi="Times New Roman"/>
                <w:kern w:val="0"/>
                <w14:ligatures w14:val="none"/>
              </w:rPr>
              <w:t>Log GDP, importer</w:t>
            </w:r>
          </w:p>
        </w:tc>
        <w:tc>
          <w:tcPr>
            <w:tcW w:w="2774" w:type="dxa"/>
            <w:hideMark/>
          </w:tcPr>
          <w:p w14:paraId="747FF8D8"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0.624***</w:t>
            </w:r>
          </w:p>
          <w:p w14:paraId="39B148E9" w14:textId="6C7A7907" w:rsidR="00E0088E" w:rsidRPr="00D868ED" w:rsidRDefault="00E0088E" w:rsidP="00CE5C32">
            <w:pPr>
              <w:bidi w:val="0"/>
              <w:jc w:val="center"/>
              <w:rPr>
                <w:rFonts w:ascii="Times New Roman" w:hAnsi="Times New Roman"/>
                <w:kern w:val="0"/>
                <w14:ligatures w14:val="none"/>
              </w:rPr>
            </w:pPr>
            <w:r w:rsidRPr="00D868ED">
              <w:rPr>
                <w:rFonts w:ascii="Times New Roman" w:hAnsi="Times New Roman"/>
                <w:kern w:val="0"/>
                <w14:ligatures w14:val="none"/>
              </w:rPr>
              <w:t>(0.013)</w:t>
            </w:r>
          </w:p>
        </w:tc>
        <w:tc>
          <w:tcPr>
            <w:tcW w:w="0" w:type="auto"/>
            <w:hideMark/>
          </w:tcPr>
          <w:p w14:paraId="6146D3E8"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w:t>
            </w:r>
          </w:p>
        </w:tc>
      </w:tr>
      <w:tr w:rsidR="00363147" w:rsidRPr="00D868ED" w14:paraId="75F43171" w14:textId="77777777" w:rsidTr="00F94040">
        <w:tc>
          <w:tcPr>
            <w:tcW w:w="0" w:type="auto"/>
            <w:hideMark/>
          </w:tcPr>
          <w:p w14:paraId="4906FDE5" w14:textId="77777777" w:rsidR="00363147" w:rsidRPr="00D868ED" w:rsidRDefault="00363147" w:rsidP="00CE5C32">
            <w:pPr>
              <w:bidi w:val="0"/>
              <w:jc w:val="both"/>
              <w:rPr>
                <w:rFonts w:ascii="Times New Roman" w:hAnsi="Times New Roman"/>
                <w:kern w:val="0"/>
                <w14:ligatures w14:val="none"/>
              </w:rPr>
            </w:pPr>
            <w:r w:rsidRPr="00D868ED">
              <w:rPr>
                <w:rFonts w:ascii="Times New Roman" w:hAnsi="Times New Roman"/>
                <w:kern w:val="0"/>
                <w14:ligatures w14:val="none"/>
              </w:rPr>
              <w:t>Log distance</w:t>
            </w:r>
          </w:p>
        </w:tc>
        <w:tc>
          <w:tcPr>
            <w:tcW w:w="2774" w:type="dxa"/>
            <w:hideMark/>
          </w:tcPr>
          <w:p w14:paraId="049CF10D"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-1.205***</w:t>
            </w:r>
          </w:p>
          <w:p w14:paraId="2C47202C" w14:textId="13D83FA4" w:rsidR="00E0088E" w:rsidRPr="00D868ED" w:rsidRDefault="00E0088E" w:rsidP="00CE5C32">
            <w:pPr>
              <w:bidi w:val="0"/>
              <w:jc w:val="center"/>
              <w:rPr>
                <w:rFonts w:ascii="Times New Roman" w:hAnsi="Times New Roman"/>
                <w:kern w:val="0"/>
                <w14:ligatures w14:val="none"/>
              </w:rPr>
            </w:pPr>
            <w:r w:rsidRPr="00D868ED">
              <w:rPr>
                <w:rFonts w:ascii="Times New Roman" w:hAnsi="Times New Roman"/>
                <w:kern w:val="0"/>
                <w14:ligatures w14:val="none"/>
              </w:rPr>
              <w:t>(0.037)</w:t>
            </w:r>
          </w:p>
        </w:tc>
        <w:tc>
          <w:tcPr>
            <w:tcW w:w="0" w:type="auto"/>
            <w:hideMark/>
          </w:tcPr>
          <w:p w14:paraId="341631B1"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-1.398***</w:t>
            </w:r>
          </w:p>
          <w:p w14:paraId="3FA9F3A1" w14:textId="527D11DD" w:rsidR="00E0088E" w:rsidRPr="00D868ED" w:rsidRDefault="00E0088E" w:rsidP="00CE5C32">
            <w:pPr>
              <w:bidi w:val="0"/>
              <w:jc w:val="center"/>
              <w:rPr>
                <w:rFonts w:ascii="Times New Roman" w:hAnsi="Times New Roman"/>
                <w:kern w:val="0"/>
                <w14:ligatures w14:val="none"/>
              </w:rPr>
            </w:pPr>
            <w:r w:rsidRPr="00D868ED">
              <w:rPr>
                <w:rFonts w:ascii="Times New Roman" w:hAnsi="Times New Roman"/>
                <w:kern w:val="0"/>
                <w14:ligatures w14:val="none"/>
              </w:rPr>
              <w:t>(0.041)</w:t>
            </w:r>
          </w:p>
        </w:tc>
      </w:tr>
      <w:tr w:rsidR="00363147" w:rsidRPr="00D868ED" w14:paraId="46E0E9D5" w14:textId="77777777" w:rsidTr="00F94040">
        <w:tc>
          <w:tcPr>
            <w:tcW w:w="0" w:type="auto"/>
            <w:hideMark/>
          </w:tcPr>
          <w:p w14:paraId="3419A09B" w14:textId="77777777" w:rsidR="00363147" w:rsidRPr="00D868ED" w:rsidRDefault="00363147" w:rsidP="00CE5C32">
            <w:pPr>
              <w:bidi w:val="0"/>
              <w:jc w:val="both"/>
              <w:rPr>
                <w:rFonts w:ascii="Times New Roman" w:hAnsi="Times New Roman"/>
                <w:kern w:val="0"/>
                <w14:ligatures w14:val="none"/>
              </w:rPr>
            </w:pPr>
          </w:p>
        </w:tc>
        <w:tc>
          <w:tcPr>
            <w:tcW w:w="2774" w:type="dxa"/>
            <w:hideMark/>
          </w:tcPr>
          <w:p w14:paraId="56332B28" w14:textId="4E5C4A0E" w:rsidR="00363147" w:rsidRPr="00D868ED" w:rsidRDefault="00363147" w:rsidP="00CE5C32">
            <w:pPr>
              <w:bidi w:val="0"/>
              <w:jc w:val="center"/>
              <w:rPr>
                <w:rFonts w:ascii="Times New Roman" w:hAnsi="Times New Roman"/>
                <w:kern w:val="0"/>
                <w14:ligatures w14:val="none"/>
              </w:rPr>
            </w:pPr>
          </w:p>
        </w:tc>
        <w:tc>
          <w:tcPr>
            <w:tcW w:w="0" w:type="auto"/>
            <w:hideMark/>
          </w:tcPr>
          <w:p w14:paraId="040B7700" w14:textId="5BEB1541" w:rsidR="00363147" w:rsidRPr="00D868ED" w:rsidRDefault="00363147" w:rsidP="00CE5C32">
            <w:pPr>
              <w:bidi w:val="0"/>
              <w:jc w:val="center"/>
              <w:rPr>
                <w:rFonts w:ascii="Times New Roman" w:hAnsi="Times New Roman"/>
                <w:kern w:val="0"/>
                <w14:ligatures w14:val="none"/>
              </w:rPr>
            </w:pPr>
          </w:p>
        </w:tc>
      </w:tr>
      <w:tr w:rsidR="00363147" w:rsidRPr="00D868ED" w14:paraId="5F35ED6C" w14:textId="77777777" w:rsidTr="00F94040">
        <w:tc>
          <w:tcPr>
            <w:tcW w:w="0" w:type="auto"/>
            <w:hideMark/>
          </w:tcPr>
          <w:p w14:paraId="3D775803" w14:textId="77777777" w:rsidR="00363147" w:rsidRPr="00D868ED" w:rsidRDefault="00363147" w:rsidP="00CE5C32">
            <w:pPr>
              <w:bidi w:val="0"/>
              <w:jc w:val="both"/>
              <w:rPr>
                <w:rFonts w:ascii="Times New Roman" w:hAnsi="Times New Roman"/>
                <w:kern w:val="0"/>
                <w14:ligatures w14:val="none"/>
              </w:rPr>
            </w:pPr>
            <w:r w:rsidRPr="00D868ED">
              <w:rPr>
                <w:rFonts w:ascii="Times New Roman" w:hAnsi="Times New Roman"/>
                <w:kern w:val="0"/>
                <w14:ligatures w14:val="none"/>
              </w:rPr>
              <w:t>Common language</w:t>
            </w:r>
          </w:p>
        </w:tc>
        <w:tc>
          <w:tcPr>
            <w:tcW w:w="2774" w:type="dxa"/>
            <w:hideMark/>
          </w:tcPr>
          <w:p w14:paraId="2703C23F"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1.010***</w:t>
            </w:r>
          </w:p>
          <w:p w14:paraId="26783772" w14:textId="563FA2B5" w:rsidR="00695AFE" w:rsidRPr="00D868ED" w:rsidRDefault="00695AFE" w:rsidP="00CE5C32">
            <w:pPr>
              <w:bidi w:val="0"/>
              <w:jc w:val="center"/>
              <w:rPr>
                <w:rFonts w:ascii="Times New Roman" w:hAnsi="Times New Roman"/>
                <w:kern w:val="0"/>
                <w14:ligatures w14:val="none"/>
              </w:rPr>
            </w:pPr>
            <w:r w:rsidRPr="00D868ED">
              <w:rPr>
                <w:rFonts w:ascii="Times New Roman" w:hAnsi="Times New Roman"/>
                <w:kern w:val="0"/>
                <w14:ligatures w14:val="none"/>
              </w:rPr>
              <w:t>(0.079)</w:t>
            </w:r>
          </w:p>
        </w:tc>
        <w:tc>
          <w:tcPr>
            <w:tcW w:w="0" w:type="auto"/>
            <w:hideMark/>
          </w:tcPr>
          <w:p w14:paraId="41F0FAAF"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0.761***</w:t>
            </w:r>
          </w:p>
          <w:p w14:paraId="6CF3C769" w14:textId="54CDEFE7" w:rsidR="00695AFE" w:rsidRPr="00D868ED" w:rsidRDefault="00695AFE" w:rsidP="00CE5C32">
            <w:pPr>
              <w:bidi w:val="0"/>
              <w:jc w:val="center"/>
              <w:rPr>
                <w:rFonts w:ascii="Times New Roman" w:hAnsi="Times New Roman"/>
                <w:kern w:val="0"/>
                <w14:ligatures w14:val="none"/>
              </w:rPr>
            </w:pPr>
            <w:r w:rsidRPr="00D868ED">
              <w:rPr>
                <w:rFonts w:ascii="Times New Roman" w:hAnsi="Times New Roman"/>
                <w:kern w:val="0"/>
                <w14:ligatures w14:val="none"/>
              </w:rPr>
              <w:t>(0.087)</w:t>
            </w:r>
          </w:p>
        </w:tc>
      </w:tr>
      <w:tr w:rsidR="00363147" w:rsidRPr="00D868ED" w14:paraId="17AA9246" w14:textId="77777777" w:rsidTr="00F94040">
        <w:tc>
          <w:tcPr>
            <w:tcW w:w="0" w:type="auto"/>
            <w:hideMark/>
          </w:tcPr>
          <w:p w14:paraId="73AE8823" w14:textId="77777777" w:rsidR="00363147" w:rsidRPr="00D868ED" w:rsidRDefault="00363147" w:rsidP="00CE5C32">
            <w:pPr>
              <w:bidi w:val="0"/>
              <w:jc w:val="both"/>
              <w:rPr>
                <w:rFonts w:ascii="Times New Roman" w:hAnsi="Times New Roman"/>
                <w:kern w:val="0"/>
                <w14:ligatures w14:val="none"/>
              </w:rPr>
            </w:pPr>
            <w:r w:rsidRPr="00D868ED">
              <w:rPr>
                <w:rFonts w:ascii="Times New Roman" w:hAnsi="Times New Roman"/>
                <w:kern w:val="0"/>
                <w14:ligatures w14:val="none"/>
              </w:rPr>
              <w:t>Contiguity</w:t>
            </w:r>
          </w:p>
        </w:tc>
        <w:tc>
          <w:tcPr>
            <w:tcW w:w="2774" w:type="dxa"/>
            <w:hideMark/>
          </w:tcPr>
          <w:p w14:paraId="4E213CA4"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0.644***</w:t>
            </w:r>
          </w:p>
          <w:p w14:paraId="09A99D68" w14:textId="6C20428E" w:rsidR="00695AFE" w:rsidRPr="00D868ED" w:rsidRDefault="00695AFE" w:rsidP="00CE5C32">
            <w:pPr>
              <w:bidi w:val="0"/>
              <w:jc w:val="center"/>
              <w:rPr>
                <w:rFonts w:ascii="Times New Roman" w:hAnsi="Times New Roman"/>
                <w:kern w:val="0"/>
                <w14:ligatures w14:val="none"/>
              </w:rPr>
            </w:pPr>
            <w:r w:rsidRPr="00D868ED">
              <w:rPr>
                <w:rFonts w:ascii="Times New Roman" w:hAnsi="Times New Roman"/>
                <w:kern w:val="0"/>
                <w14:ligatures w14:val="none"/>
              </w:rPr>
              <w:t>(0.060)</w:t>
            </w:r>
          </w:p>
        </w:tc>
        <w:tc>
          <w:tcPr>
            <w:tcW w:w="0" w:type="auto"/>
            <w:hideMark/>
          </w:tcPr>
          <w:p w14:paraId="53D19F26"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0.052</w:t>
            </w:r>
          </w:p>
          <w:p w14:paraId="4B084778" w14:textId="2BD362BA" w:rsidR="00695AFE" w:rsidRPr="00D868ED" w:rsidRDefault="00695AFE" w:rsidP="00CE5C32">
            <w:pPr>
              <w:bidi w:val="0"/>
              <w:jc w:val="center"/>
              <w:rPr>
                <w:rFonts w:ascii="Times New Roman" w:hAnsi="Times New Roman"/>
                <w:kern w:val="0"/>
                <w14:ligatures w14:val="none"/>
              </w:rPr>
            </w:pPr>
            <w:r w:rsidRPr="00D868ED">
              <w:rPr>
                <w:rFonts w:ascii="Times New Roman" w:hAnsi="Times New Roman"/>
                <w:kern w:val="0"/>
                <w14:ligatures w14:val="none"/>
              </w:rPr>
              <w:t>(0.065)</w:t>
            </w:r>
          </w:p>
        </w:tc>
      </w:tr>
      <w:tr w:rsidR="00363147" w:rsidRPr="00D868ED" w14:paraId="02B8AA73" w14:textId="77777777" w:rsidTr="00F94040">
        <w:tc>
          <w:tcPr>
            <w:tcW w:w="0" w:type="auto"/>
            <w:hideMark/>
          </w:tcPr>
          <w:p w14:paraId="5B169A73" w14:textId="77777777" w:rsidR="00363147" w:rsidRPr="00D868ED" w:rsidRDefault="00363147" w:rsidP="00CE5C32">
            <w:pPr>
              <w:bidi w:val="0"/>
              <w:jc w:val="both"/>
              <w:rPr>
                <w:rFonts w:ascii="Times New Roman" w:hAnsi="Times New Roman"/>
                <w:kern w:val="0"/>
                <w14:ligatures w14:val="none"/>
              </w:rPr>
            </w:pPr>
            <w:r w:rsidRPr="00D868ED">
              <w:rPr>
                <w:rFonts w:ascii="Times New Roman" w:hAnsi="Times New Roman"/>
                <w:kern w:val="0"/>
                <w14:ligatures w14:val="none"/>
              </w:rPr>
              <w:t>Joint WTO membership</w:t>
            </w:r>
          </w:p>
        </w:tc>
        <w:tc>
          <w:tcPr>
            <w:tcW w:w="2774" w:type="dxa"/>
            <w:hideMark/>
          </w:tcPr>
          <w:p w14:paraId="1DDA1C2E"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-0.559***</w:t>
            </w:r>
          </w:p>
          <w:p w14:paraId="0D3005E5" w14:textId="5377DEC9" w:rsidR="00695AFE" w:rsidRPr="00D868ED" w:rsidRDefault="00695AFE" w:rsidP="00CE5C32">
            <w:pPr>
              <w:bidi w:val="0"/>
              <w:jc w:val="center"/>
              <w:rPr>
                <w:rFonts w:ascii="Times New Roman" w:hAnsi="Times New Roman"/>
                <w:kern w:val="0"/>
                <w14:ligatures w14:val="none"/>
              </w:rPr>
            </w:pPr>
            <w:r w:rsidRPr="00D868ED">
              <w:rPr>
                <w:rFonts w:ascii="Times New Roman" w:hAnsi="Times New Roman"/>
                <w:kern w:val="0"/>
                <w14:ligatures w14:val="none"/>
              </w:rPr>
              <w:t>(0.048)</w:t>
            </w:r>
          </w:p>
        </w:tc>
        <w:tc>
          <w:tcPr>
            <w:tcW w:w="0" w:type="auto"/>
            <w:hideMark/>
          </w:tcPr>
          <w:p w14:paraId="72B510CC"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-0.682***</w:t>
            </w:r>
          </w:p>
          <w:p w14:paraId="065EED0C" w14:textId="27525F51" w:rsidR="00695AFE" w:rsidRPr="00D868ED" w:rsidRDefault="00695AFE" w:rsidP="00CE5C32">
            <w:pPr>
              <w:bidi w:val="0"/>
              <w:jc w:val="center"/>
              <w:rPr>
                <w:rFonts w:ascii="Times New Roman" w:hAnsi="Times New Roman"/>
                <w:kern w:val="0"/>
                <w14:ligatures w14:val="none"/>
              </w:rPr>
            </w:pPr>
            <w:r w:rsidRPr="00D868ED">
              <w:rPr>
                <w:rFonts w:ascii="Times New Roman" w:hAnsi="Times New Roman"/>
                <w:kern w:val="0"/>
                <w14:ligatures w14:val="none"/>
              </w:rPr>
              <w:t>(0.050)</w:t>
            </w:r>
          </w:p>
        </w:tc>
      </w:tr>
      <w:tr w:rsidR="00363147" w:rsidRPr="00D868ED" w14:paraId="79542704" w14:textId="77777777" w:rsidTr="00F94040">
        <w:tc>
          <w:tcPr>
            <w:tcW w:w="0" w:type="auto"/>
            <w:hideMark/>
          </w:tcPr>
          <w:p w14:paraId="55A4D5D3" w14:textId="77777777" w:rsidR="00363147" w:rsidRPr="00D868ED" w:rsidRDefault="00363147" w:rsidP="00CE5C32">
            <w:pPr>
              <w:bidi w:val="0"/>
              <w:jc w:val="both"/>
              <w:rPr>
                <w:rFonts w:ascii="Times New Roman" w:hAnsi="Times New Roman"/>
                <w:kern w:val="0"/>
                <w14:ligatures w14:val="none"/>
              </w:rPr>
            </w:pPr>
            <w:r w:rsidRPr="00D868ED">
              <w:rPr>
                <w:rFonts w:ascii="Times New Roman" w:hAnsi="Times New Roman"/>
                <w:kern w:val="0"/>
                <w14:ligatures w14:val="none"/>
              </w:rPr>
              <w:t>Joint EU membership</w:t>
            </w:r>
          </w:p>
        </w:tc>
        <w:tc>
          <w:tcPr>
            <w:tcW w:w="2774" w:type="dxa"/>
            <w:hideMark/>
          </w:tcPr>
          <w:p w14:paraId="05BE9D3C"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1.708***</w:t>
            </w:r>
          </w:p>
          <w:p w14:paraId="2FABF0A5" w14:textId="7CA2A7C3" w:rsidR="00695AFE" w:rsidRPr="00D868ED" w:rsidRDefault="00695AFE" w:rsidP="00CE5C32">
            <w:pPr>
              <w:bidi w:val="0"/>
              <w:jc w:val="center"/>
              <w:rPr>
                <w:rFonts w:ascii="Times New Roman" w:hAnsi="Times New Roman"/>
                <w:kern w:val="0"/>
                <w14:ligatures w14:val="none"/>
              </w:rPr>
            </w:pPr>
            <w:r w:rsidRPr="00D868ED">
              <w:rPr>
                <w:rFonts w:ascii="Times New Roman" w:hAnsi="Times New Roman"/>
                <w:kern w:val="0"/>
                <w14:ligatures w14:val="none"/>
              </w:rPr>
              <w:t>(0.072)</w:t>
            </w:r>
          </w:p>
        </w:tc>
        <w:tc>
          <w:tcPr>
            <w:tcW w:w="0" w:type="auto"/>
            <w:hideMark/>
          </w:tcPr>
          <w:p w14:paraId="4B03921F"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1.541***</w:t>
            </w:r>
          </w:p>
          <w:p w14:paraId="723BC07B" w14:textId="63098A4C" w:rsidR="00695AFE" w:rsidRPr="00D868ED" w:rsidRDefault="00695AFE" w:rsidP="00CE5C32">
            <w:pPr>
              <w:bidi w:val="0"/>
              <w:jc w:val="center"/>
              <w:rPr>
                <w:rFonts w:ascii="Times New Roman" w:hAnsi="Times New Roman"/>
                <w:kern w:val="0"/>
                <w14:ligatures w14:val="none"/>
              </w:rPr>
            </w:pPr>
            <w:r w:rsidRPr="00D868ED">
              <w:rPr>
                <w:rFonts w:ascii="Times New Roman" w:hAnsi="Times New Roman"/>
                <w:kern w:val="0"/>
                <w14:ligatures w14:val="none"/>
              </w:rPr>
              <w:t>(0.068)</w:t>
            </w:r>
          </w:p>
        </w:tc>
      </w:tr>
      <w:tr w:rsidR="00363147" w:rsidRPr="00D868ED" w14:paraId="2DD25127" w14:textId="77777777" w:rsidTr="00F94040">
        <w:tc>
          <w:tcPr>
            <w:tcW w:w="0" w:type="auto"/>
            <w:hideMark/>
          </w:tcPr>
          <w:p w14:paraId="62A65EA9" w14:textId="77777777" w:rsidR="00363147" w:rsidRPr="00D868ED" w:rsidRDefault="00363147" w:rsidP="00CE5C32">
            <w:pPr>
              <w:bidi w:val="0"/>
              <w:jc w:val="both"/>
              <w:rPr>
                <w:rFonts w:ascii="Times New Roman" w:hAnsi="Times New Roman"/>
                <w:kern w:val="0"/>
                <w14:ligatures w14:val="none"/>
              </w:rPr>
            </w:pPr>
            <w:r w:rsidRPr="00D868ED">
              <w:rPr>
                <w:rFonts w:ascii="Times New Roman" w:hAnsi="Times New Roman"/>
                <w:kern w:val="0"/>
                <w14:ligatures w14:val="none"/>
              </w:rPr>
              <w:t>Joint EAEU membership</w:t>
            </w:r>
          </w:p>
        </w:tc>
        <w:tc>
          <w:tcPr>
            <w:tcW w:w="2774" w:type="dxa"/>
            <w:hideMark/>
          </w:tcPr>
          <w:p w14:paraId="4788F744"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0.008</w:t>
            </w:r>
          </w:p>
          <w:p w14:paraId="238A6D29" w14:textId="6C82BAC0" w:rsidR="00695AFE" w:rsidRPr="00D868ED" w:rsidRDefault="00695AFE" w:rsidP="00CE5C32">
            <w:pPr>
              <w:bidi w:val="0"/>
              <w:jc w:val="center"/>
              <w:rPr>
                <w:rFonts w:ascii="Times New Roman" w:hAnsi="Times New Roman"/>
                <w:kern w:val="0"/>
                <w14:ligatures w14:val="none"/>
              </w:rPr>
            </w:pPr>
            <w:r w:rsidRPr="00D868ED">
              <w:rPr>
                <w:rFonts w:ascii="Times New Roman" w:hAnsi="Times New Roman"/>
                <w:kern w:val="0"/>
                <w14:ligatures w14:val="none"/>
              </w:rPr>
              <w:t>(0.125)</w:t>
            </w:r>
          </w:p>
        </w:tc>
        <w:tc>
          <w:tcPr>
            <w:tcW w:w="0" w:type="auto"/>
            <w:hideMark/>
          </w:tcPr>
          <w:p w14:paraId="5FFA510A"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-0.405***</w:t>
            </w:r>
          </w:p>
          <w:p w14:paraId="108A89BA" w14:textId="2103D65C" w:rsidR="00695AFE" w:rsidRPr="00D868ED" w:rsidRDefault="00695AFE" w:rsidP="00CE5C32">
            <w:pPr>
              <w:bidi w:val="0"/>
              <w:jc w:val="center"/>
              <w:rPr>
                <w:rFonts w:ascii="Times New Roman" w:hAnsi="Times New Roman"/>
                <w:kern w:val="0"/>
                <w14:ligatures w14:val="none"/>
              </w:rPr>
            </w:pPr>
            <w:r w:rsidRPr="00D868ED">
              <w:rPr>
                <w:rFonts w:ascii="Times New Roman" w:hAnsi="Times New Roman"/>
                <w:kern w:val="0"/>
                <w14:ligatures w14:val="none"/>
              </w:rPr>
              <w:t>(0.114)</w:t>
            </w:r>
          </w:p>
        </w:tc>
      </w:tr>
      <w:tr w:rsidR="00363147" w:rsidRPr="00D868ED" w14:paraId="294293C8" w14:textId="77777777" w:rsidTr="00F94040">
        <w:tc>
          <w:tcPr>
            <w:tcW w:w="0" w:type="auto"/>
            <w:hideMark/>
          </w:tcPr>
          <w:p w14:paraId="7C39E533" w14:textId="77777777" w:rsidR="00363147" w:rsidRPr="00D868ED" w:rsidRDefault="00363147" w:rsidP="00CE5C32">
            <w:pPr>
              <w:bidi w:val="0"/>
              <w:jc w:val="both"/>
              <w:rPr>
                <w:rFonts w:ascii="Times New Roman" w:hAnsi="Times New Roman"/>
                <w:kern w:val="0"/>
                <w14:ligatures w14:val="none"/>
              </w:rPr>
            </w:pPr>
            <w:r w:rsidRPr="00D868ED">
              <w:rPr>
                <w:rFonts w:ascii="Times New Roman" w:hAnsi="Times New Roman"/>
                <w:kern w:val="0"/>
                <w14:ligatures w14:val="none"/>
              </w:rPr>
              <w:t>R²</w:t>
            </w:r>
          </w:p>
        </w:tc>
        <w:tc>
          <w:tcPr>
            <w:tcW w:w="2774" w:type="dxa"/>
            <w:hideMark/>
          </w:tcPr>
          <w:p w14:paraId="541AC266"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0.700</w:t>
            </w:r>
          </w:p>
        </w:tc>
        <w:tc>
          <w:tcPr>
            <w:tcW w:w="0" w:type="auto"/>
            <w:hideMark/>
          </w:tcPr>
          <w:p w14:paraId="21A09A0C"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0.318</w:t>
            </w:r>
          </w:p>
        </w:tc>
      </w:tr>
      <w:tr w:rsidR="00363147" w:rsidRPr="00D868ED" w14:paraId="7BC3324D" w14:textId="77777777" w:rsidTr="00F94040">
        <w:tc>
          <w:tcPr>
            <w:tcW w:w="0" w:type="auto"/>
            <w:hideMark/>
          </w:tcPr>
          <w:p w14:paraId="7A2C15D4" w14:textId="77777777" w:rsidR="00363147" w:rsidRPr="00D868ED" w:rsidRDefault="00363147" w:rsidP="00CE5C32">
            <w:pPr>
              <w:bidi w:val="0"/>
              <w:jc w:val="both"/>
              <w:rPr>
                <w:rFonts w:ascii="Times New Roman" w:hAnsi="Times New Roman"/>
                <w:kern w:val="0"/>
                <w14:ligatures w14:val="none"/>
              </w:rPr>
            </w:pPr>
            <w:r w:rsidRPr="00D868ED">
              <w:rPr>
                <w:rFonts w:ascii="Times New Roman" w:hAnsi="Times New Roman"/>
                <w:kern w:val="0"/>
                <w14:ligatures w14:val="none"/>
              </w:rPr>
              <w:t>RMSE</w:t>
            </w:r>
          </w:p>
        </w:tc>
        <w:tc>
          <w:tcPr>
            <w:tcW w:w="2774" w:type="dxa"/>
            <w:hideMark/>
          </w:tcPr>
          <w:p w14:paraId="084E4C5F"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1.58</w:t>
            </w:r>
          </w:p>
        </w:tc>
        <w:tc>
          <w:tcPr>
            <w:tcW w:w="0" w:type="auto"/>
            <w:hideMark/>
          </w:tcPr>
          <w:p w14:paraId="3ED490C9"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1.69</w:t>
            </w:r>
          </w:p>
        </w:tc>
      </w:tr>
    </w:tbl>
    <w:p w14:paraId="344EF6B1" w14:textId="261E3CFA" w:rsidR="00F94040" w:rsidRPr="00D868ED" w:rsidRDefault="00F94040" w:rsidP="00CE5C32">
      <w:pPr>
        <w:bidi w:val="0"/>
        <w:spacing w:before="120" w:after="120" w:line="288" w:lineRule="auto"/>
        <w:jc w:val="both"/>
        <w:rPr>
          <w:rFonts w:ascii="Times New Roman" w:hAnsi="Times New Roman"/>
          <w:kern w:val="0"/>
          <w14:ligatures w14:val="none"/>
        </w:rPr>
      </w:pPr>
      <w:r w:rsidRPr="00D868ED">
        <w:rPr>
          <w:rFonts w:ascii="Times New Roman" w:hAnsi="Times New Roman"/>
          <w:kern w:val="0"/>
          <w14:ligatures w14:val="none"/>
        </w:rPr>
        <w:t>Notes: Robust standard errors in parentheses. (</w:t>
      </w:r>
      <w:r w:rsidR="0031283B" w:rsidRPr="00D868ED">
        <w:rPr>
          <w:rFonts w:ascii="Times New Roman" w:hAnsi="Times New Roman"/>
          <w:kern w:val="0"/>
          <w14:ligatures w14:val="none"/>
        </w:rPr>
        <w:t xml:space="preserve">* </w:t>
      </w:r>
      <w:r w:rsidRPr="00D868ED">
        <w:rPr>
          <w:rFonts w:ascii="Times New Roman" w:hAnsi="Times New Roman"/>
          <w:kern w:val="0"/>
          <w14:ligatures w14:val="none"/>
        </w:rPr>
        <w:t>p &lt; 0.10, ** p &lt; 0.05, *** p &lt; 0.01)</w:t>
      </w:r>
    </w:p>
    <w:p w14:paraId="4E861ABC" w14:textId="6EBF19D5" w:rsidR="00363147" w:rsidRPr="00D868ED" w:rsidRDefault="00363147" w:rsidP="00CE5C32">
      <w:pPr>
        <w:bidi w:val="0"/>
        <w:spacing w:before="120" w:after="120" w:line="288" w:lineRule="auto"/>
        <w:jc w:val="both"/>
        <w:rPr>
          <w:rFonts w:ascii="Times New Roman" w:hAnsi="Times New Roman"/>
          <w:kern w:val="0"/>
          <w14:ligatures w14:val="none"/>
        </w:rPr>
      </w:pPr>
      <w:r w:rsidRPr="00D868ED">
        <w:rPr>
          <w:rFonts w:ascii="Times New Roman" w:hAnsi="Times New Roman"/>
          <w:kern w:val="0"/>
          <w14:ligatures w14:val="none"/>
        </w:rPr>
        <w:t>The classic log-linear model produces the expected positive coefficients on exporter and importer GDP. The exporter GDP elasticity is about 0.92, while the importer GDP elasticity is about 0.62, indicating that production capacity is more strongly associated with bilateral trade than destination market size. Distance remains strongly negative, with an elasticity of about -1.21, while common language and contiguity both enter positively.</w:t>
      </w:r>
    </w:p>
    <w:p w14:paraId="09BC7E22" w14:textId="77777777" w:rsidR="00363147" w:rsidRPr="00D868ED" w:rsidRDefault="00363147" w:rsidP="00CE5C32">
      <w:pPr>
        <w:bidi w:val="0"/>
        <w:spacing w:after="120" w:line="288" w:lineRule="auto"/>
        <w:jc w:val="both"/>
        <w:rPr>
          <w:rFonts w:ascii="Times New Roman" w:hAnsi="Times New Roman"/>
          <w:kern w:val="0"/>
          <w14:ligatures w14:val="none"/>
        </w:rPr>
      </w:pPr>
      <w:r w:rsidRPr="00D868ED">
        <w:rPr>
          <w:rFonts w:ascii="Times New Roman" w:hAnsi="Times New Roman"/>
          <w:kern w:val="0"/>
          <w14:ligatures w14:val="none"/>
        </w:rPr>
        <w:t>Once trade is normalized by the product of exporter and importer GDP, several coefficients change in meaningful ways. The distance effect becomes even more negative at about -1.40, suggesting that geography matters strongly not only for trade levels but also for trade intensity relative to economic size. Common language remains positive and significant, but contiguity becomes statistically insignificant. This implies that neighboring countries do not necessarily trade more than expected once trade is scaled by market size.</w:t>
      </w:r>
    </w:p>
    <w:p w14:paraId="1F3F9E0B" w14:textId="77777777" w:rsidR="00363147" w:rsidRPr="00D868ED" w:rsidRDefault="00363147" w:rsidP="00CE5C32">
      <w:pPr>
        <w:bidi w:val="0"/>
        <w:spacing w:after="120" w:line="288" w:lineRule="auto"/>
        <w:jc w:val="both"/>
        <w:rPr>
          <w:rFonts w:ascii="Times New Roman" w:hAnsi="Times New Roman"/>
          <w:kern w:val="0"/>
          <w14:ligatures w14:val="none"/>
        </w:rPr>
      </w:pPr>
      <w:r w:rsidRPr="00D868ED">
        <w:rPr>
          <w:rFonts w:ascii="Times New Roman" w:hAnsi="Times New Roman"/>
          <w:kern w:val="0"/>
          <w14:ligatures w14:val="none"/>
        </w:rPr>
        <w:t>The most notable changes concern the institutional variables. Joint EU membership remains strongly positive and highly significant in both models, which indicates that the EU effect is robust to normalization. By contrast, joint WTO membership is negative and significant in both the classic and BVU models, and joint EAEU membership turns negative and significant in the BVU model after being essentially zero in the classic specification. These contrasts are important because they show that institutional effects are sensitive to the modeling of scale. In particular, the positive institutional effects found in the fixed-effects model do not carry over uniformly once trade is normalized by GDP. This suggests that some of the estimated institutional coefficients are intertwined with scale and composition effects.</w:t>
      </w:r>
    </w:p>
    <w:p w14:paraId="669ECE9B" w14:textId="77777777" w:rsidR="00363147" w:rsidRPr="00D868ED" w:rsidRDefault="00363147" w:rsidP="00CE5C32">
      <w:pPr>
        <w:bidi w:val="0"/>
        <w:spacing w:after="120" w:line="288" w:lineRule="auto"/>
        <w:jc w:val="both"/>
        <w:rPr>
          <w:rFonts w:ascii="Times New Roman" w:hAnsi="Times New Roman"/>
          <w:b/>
          <w:bCs/>
          <w:kern w:val="0"/>
          <w14:ligatures w14:val="none"/>
        </w:rPr>
      </w:pPr>
      <w:r w:rsidRPr="00D868ED">
        <w:rPr>
          <w:rFonts w:ascii="Times New Roman" w:hAnsi="Times New Roman"/>
          <w:b/>
          <w:bCs/>
          <w:kern w:val="0"/>
          <w14:ligatures w14:val="none"/>
        </w:rPr>
        <w:t>5.3 PPML and GPML results</w:t>
      </w:r>
    </w:p>
    <w:p w14:paraId="7568FC81" w14:textId="1AAC1B17" w:rsidR="00363147" w:rsidRPr="00D868ED" w:rsidRDefault="00363147" w:rsidP="00CE5C32">
      <w:pPr>
        <w:bidi w:val="0"/>
        <w:spacing w:after="120" w:line="288" w:lineRule="auto"/>
        <w:jc w:val="both"/>
        <w:rPr>
          <w:rFonts w:ascii="Times New Roman" w:hAnsi="Times New Roman"/>
          <w:kern w:val="0"/>
          <w14:ligatures w14:val="none"/>
        </w:rPr>
      </w:pPr>
      <w:r w:rsidRPr="00D868ED">
        <w:rPr>
          <w:rFonts w:ascii="Times New Roman" w:hAnsi="Times New Roman"/>
          <w:kern w:val="0"/>
          <w14:ligatures w14:val="none"/>
        </w:rPr>
        <w:t xml:space="preserve">The final set of results comes from the multiplicative estimators. </w:t>
      </w:r>
      <w:r w:rsidR="009922BD" w:rsidRPr="00D868ED">
        <w:rPr>
          <w:rFonts w:ascii="Times New Roman" w:hAnsi="Times New Roman"/>
          <w:kern w:val="0"/>
          <w14:ligatures w14:val="none"/>
        </w:rPr>
        <w:fldChar w:fldCharType="begin"/>
      </w:r>
      <w:r w:rsidR="009922BD" w:rsidRPr="00D868ED">
        <w:rPr>
          <w:rFonts w:ascii="Times New Roman" w:hAnsi="Times New Roman"/>
          <w:kern w:val="0"/>
          <w14:ligatures w14:val="none"/>
        </w:rPr>
        <w:instrText xml:space="preserve"> REF _Ref224736347 \h  \* MERGEFORMAT </w:instrText>
      </w:r>
      <w:r w:rsidR="009922BD" w:rsidRPr="00D868ED">
        <w:rPr>
          <w:rFonts w:ascii="Times New Roman" w:hAnsi="Times New Roman"/>
          <w:kern w:val="0"/>
          <w14:ligatures w14:val="none"/>
        </w:rPr>
      </w:r>
      <w:r w:rsidR="009922BD" w:rsidRPr="00D868ED">
        <w:rPr>
          <w:rFonts w:ascii="Times New Roman" w:hAnsi="Times New Roman"/>
          <w:kern w:val="0"/>
          <w14:ligatures w14:val="none"/>
        </w:rPr>
        <w:fldChar w:fldCharType="separate"/>
      </w:r>
      <w:r w:rsidR="00EC28FA" w:rsidRPr="00D868ED">
        <w:rPr>
          <w:rFonts w:ascii="Times New Roman" w:hAnsi="Times New Roman" w:cs="Times New Roman"/>
        </w:rPr>
        <w:t xml:space="preserve">Table </w:t>
      </w:r>
      <w:r w:rsidR="00EC28FA" w:rsidRPr="00D868ED">
        <w:rPr>
          <w:rFonts w:ascii="Times New Roman" w:hAnsi="Times New Roman" w:cs="Times New Roman"/>
          <w:noProof/>
        </w:rPr>
        <w:t>7</w:t>
      </w:r>
      <w:r w:rsidR="009922BD" w:rsidRPr="00D868ED">
        <w:rPr>
          <w:rFonts w:ascii="Times New Roman" w:hAnsi="Times New Roman"/>
          <w:kern w:val="0"/>
          <w14:ligatures w14:val="none"/>
        </w:rPr>
        <w:fldChar w:fldCharType="end"/>
      </w:r>
      <w:r w:rsidR="009922BD" w:rsidRPr="00D868ED">
        <w:rPr>
          <w:rFonts w:ascii="Times New Roman" w:hAnsi="Times New Roman"/>
          <w:kern w:val="0"/>
          <w14:ligatures w14:val="none"/>
        </w:rPr>
        <w:t xml:space="preserve"> </w:t>
      </w:r>
      <w:r w:rsidRPr="00D868ED">
        <w:rPr>
          <w:rFonts w:ascii="Times New Roman" w:hAnsi="Times New Roman"/>
          <w:kern w:val="0"/>
          <w14:ligatures w14:val="none"/>
        </w:rPr>
        <w:t>reports a PPML specification with explicit GDP controls and a GPML specification with exporter and importer fixed effects. These two estimators are not directly identical, but they are sufficiently close in spirit to assess whether the main findings are robust to alternative multiplicative forms.</w:t>
      </w:r>
    </w:p>
    <w:p w14:paraId="57ABC5CA" w14:textId="2F2B0DC5" w:rsidR="00363147" w:rsidRPr="00D868ED" w:rsidRDefault="003F3162" w:rsidP="00CE5C32">
      <w:pPr>
        <w:pStyle w:val="Caption"/>
        <w:bidi w:val="0"/>
        <w:rPr>
          <w:rFonts w:ascii="Times New Roman" w:hAnsi="Times New Roman" w:cs="Times New Roman"/>
          <w:i w:val="0"/>
          <w:iCs w:val="0"/>
          <w:color w:val="auto"/>
          <w:kern w:val="0"/>
          <w:sz w:val="24"/>
          <w:szCs w:val="24"/>
          <w14:ligatures w14:val="none"/>
        </w:rPr>
      </w:pPr>
      <w:bookmarkStart w:id="23" w:name="_Ref224736347"/>
      <w:r w:rsidRPr="00D868ED">
        <w:rPr>
          <w:rFonts w:ascii="Times New Roman" w:hAnsi="Times New Roman" w:cs="Times New Roman"/>
          <w:i w:val="0"/>
          <w:iCs w:val="0"/>
          <w:color w:val="auto"/>
          <w:sz w:val="24"/>
          <w:szCs w:val="24"/>
        </w:rPr>
        <w:t xml:space="preserve">Table </w:t>
      </w:r>
      <w:r w:rsidRPr="00D868ED">
        <w:rPr>
          <w:rFonts w:ascii="Times New Roman" w:hAnsi="Times New Roman" w:cs="Times New Roman"/>
          <w:i w:val="0"/>
          <w:iCs w:val="0"/>
          <w:color w:val="auto"/>
          <w:sz w:val="24"/>
          <w:szCs w:val="24"/>
        </w:rPr>
        <w:fldChar w:fldCharType="begin"/>
      </w:r>
      <w:r w:rsidRPr="00D868ED">
        <w:rPr>
          <w:rFonts w:ascii="Times New Roman" w:hAnsi="Times New Roman" w:cs="Times New Roman"/>
          <w:i w:val="0"/>
          <w:iCs w:val="0"/>
          <w:color w:val="auto"/>
          <w:sz w:val="24"/>
          <w:szCs w:val="24"/>
        </w:rPr>
        <w:instrText xml:space="preserve"> SEQ Table \* ARABIC </w:instrText>
      </w:r>
      <w:r w:rsidRPr="00D868ED">
        <w:rPr>
          <w:rFonts w:ascii="Times New Roman" w:hAnsi="Times New Roman" w:cs="Times New Roman"/>
          <w:i w:val="0"/>
          <w:iCs w:val="0"/>
          <w:color w:val="auto"/>
          <w:sz w:val="24"/>
          <w:szCs w:val="24"/>
        </w:rPr>
        <w:fldChar w:fldCharType="separate"/>
      </w:r>
      <w:r w:rsidR="00EC28FA" w:rsidRPr="00D868ED">
        <w:rPr>
          <w:rFonts w:ascii="Times New Roman" w:hAnsi="Times New Roman" w:cs="Times New Roman"/>
          <w:i w:val="0"/>
          <w:iCs w:val="0"/>
          <w:noProof/>
          <w:color w:val="auto"/>
          <w:sz w:val="24"/>
          <w:szCs w:val="24"/>
        </w:rPr>
        <w:t>7</w:t>
      </w:r>
      <w:r w:rsidRPr="00D868ED">
        <w:rPr>
          <w:rFonts w:ascii="Times New Roman" w:hAnsi="Times New Roman" w:cs="Times New Roman"/>
          <w:i w:val="0"/>
          <w:iCs w:val="0"/>
          <w:color w:val="auto"/>
          <w:sz w:val="24"/>
          <w:szCs w:val="24"/>
        </w:rPr>
        <w:fldChar w:fldCharType="end"/>
      </w:r>
      <w:bookmarkEnd w:id="23"/>
      <w:r w:rsidRPr="00D868ED">
        <w:rPr>
          <w:rFonts w:ascii="Times New Roman" w:hAnsi="Times New Roman" w:cs="Times New Roman"/>
          <w:i w:val="0"/>
          <w:iCs w:val="0"/>
          <w:color w:val="auto"/>
          <w:sz w:val="24"/>
          <w:szCs w:val="24"/>
        </w:rPr>
        <w:t xml:space="preserve">. </w:t>
      </w:r>
      <w:r w:rsidR="00363147" w:rsidRPr="00D868ED">
        <w:rPr>
          <w:rFonts w:ascii="Times New Roman" w:hAnsi="Times New Roman" w:cs="Times New Roman"/>
          <w:i w:val="0"/>
          <w:iCs w:val="0"/>
          <w:color w:val="auto"/>
          <w:kern w:val="0"/>
          <w:sz w:val="24"/>
          <w:szCs w:val="24"/>
          <w14:ligatures w14:val="none"/>
        </w:rPr>
        <w:t>Multiplicative gravity estimates</w:t>
      </w:r>
    </w:p>
    <w:tbl>
      <w:tblPr>
        <w:tblStyle w:val="TableGrid"/>
        <w:tblW w:w="0" w:type="auto"/>
        <w:tblLook w:val="04A0" w:firstRow="1" w:lastRow="0" w:firstColumn="1" w:lastColumn="0" w:noHBand="0" w:noVBand="1"/>
      </w:tblPr>
      <w:tblGrid>
        <w:gridCol w:w="2630"/>
        <w:gridCol w:w="2045"/>
        <w:gridCol w:w="2520"/>
      </w:tblGrid>
      <w:tr w:rsidR="00363147" w:rsidRPr="00D868ED" w14:paraId="3474BA35" w14:textId="77777777" w:rsidTr="009922BD">
        <w:tc>
          <w:tcPr>
            <w:tcW w:w="0" w:type="auto"/>
            <w:hideMark/>
          </w:tcPr>
          <w:p w14:paraId="73CFC9FF" w14:textId="77777777" w:rsidR="00363147" w:rsidRPr="00D868ED" w:rsidRDefault="00363147" w:rsidP="00CE5C32">
            <w:pPr>
              <w:bidi w:val="0"/>
              <w:jc w:val="both"/>
              <w:rPr>
                <w:rFonts w:ascii="Times New Roman" w:hAnsi="Times New Roman"/>
                <w:b/>
                <w:bCs/>
                <w:kern w:val="0"/>
                <w14:ligatures w14:val="none"/>
              </w:rPr>
            </w:pPr>
            <w:r w:rsidRPr="00D868ED">
              <w:rPr>
                <w:rFonts w:ascii="Times New Roman" w:hAnsi="Times New Roman"/>
                <w:b/>
                <w:bCs/>
                <w:kern w:val="0"/>
                <w14:ligatures w14:val="none"/>
              </w:rPr>
              <w:t>Variable</w:t>
            </w:r>
          </w:p>
        </w:tc>
        <w:tc>
          <w:tcPr>
            <w:tcW w:w="2045" w:type="dxa"/>
            <w:hideMark/>
          </w:tcPr>
          <w:p w14:paraId="05851FE5" w14:textId="77777777" w:rsidR="00363147" w:rsidRPr="00D868ED" w:rsidRDefault="00363147" w:rsidP="00CE5C32">
            <w:pPr>
              <w:bidi w:val="0"/>
              <w:jc w:val="center"/>
              <w:rPr>
                <w:rFonts w:ascii="Times New Roman" w:hAnsi="Times New Roman"/>
                <w:b/>
                <w:bCs/>
                <w:kern w:val="0"/>
                <w14:ligatures w14:val="none"/>
              </w:rPr>
            </w:pPr>
            <w:r w:rsidRPr="00D868ED">
              <w:rPr>
                <w:rFonts w:ascii="Times New Roman" w:hAnsi="Times New Roman"/>
                <w:b/>
                <w:bCs/>
                <w:kern w:val="0"/>
                <w14:ligatures w14:val="none"/>
              </w:rPr>
              <w:t>PPML with GDP controls</w:t>
            </w:r>
          </w:p>
        </w:tc>
        <w:tc>
          <w:tcPr>
            <w:tcW w:w="2520" w:type="dxa"/>
            <w:hideMark/>
          </w:tcPr>
          <w:p w14:paraId="5F25492A" w14:textId="77777777" w:rsidR="00363147" w:rsidRPr="00D868ED" w:rsidRDefault="00363147" w:rsidP="00CE5C32">
            <w:pPr>
              <w:bidi w:val="0"/>
              <w:jc w:val="center"/>
              <w:rPr>
                <w:rFonts w:ascii="Times New Roman" w:hAnsi="Times New Roman"/>
                <w:b/>
                <w:bCs/>
                <w:kern w:val="0"/>
                <w14:ligatures w14:val="none"/>
              </w:rPr>
            </w:pPr>
            <w:r w:rsidRPr="00D868ED">
              <w:rPr>
                <w:rFonts w:ascii="Times New Roman" w:hAnsi="Times New Roman"/>
                <w:b/>
                <w:bCs/>
                <w:kern w:val="0"/>
                <w14:ligatures w14:val="none"/>
              </w:rPr>
              <w:t>GPML with exporter and importer FE</w:t>
            </w:r>
          </w:p>
        </w:tc>
      </w:tr>
      <w:tr w:rsidR="00363147" w:rsidRPr="00D868ED" w14:paraId="1CB81C72" w14:textId="77777777" w:rsidTr="009922BD">
        <w:tc>
          <w:tcPr>
            <w:tcW w:w="0" w:type="auto"/>
            <w:hideMark/>
          </w:tcPr>
          <w:p w14:paraId="7D1856F2" w14:textId="77777777" w:rsidR="00363147" w:rsidRPr="00D868ED" w:rsidRDefault="00363147" w:rsidP="00CE5C32">
            <w:pPr>
              <w:bidi w:val="0"/>
              <w:jc w:val="both"/>
              <w:rPr>
                <w:rFonts w:ascii="Times New Roman" w:hAnsi="Times New Roman"/>
                <w:kern w:val="0"/>
                <w14:ligatures w14:val="none"/>
              </w:rPr>
            </w:pPr>
            <w:r w:rsidRPr="00D868ED">
              <w:rPr>
                <w:rFonts w:ascii="Times New Roman" w:hAnsi="Times New Roman"/>
                <w:kern w:val="0"/>
                <w14:ligatures w14:val="none"/>
              </w:rPr>
              <w:t>Log GDP, exporter</w:t>
            </w:r>
          </w:p>
        </w:tc>
        <w:tc>
          <w:tcPr>
            <w:tcW w:w="2045" w:type="dxa"/>
            <w:hideMark/>
          </w:tcPr>
          <w:p w14:paraId="011D09B1"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0.833***</w:t>
            </w:r>
          </w:p>
          <w:p w14:paraId="29CC7DFF" w14:textId="52098B10" w:rsidR="009922BD" w:rsidRPr="00D868ED" w:rsidRDefault="009922BD" w:rsidP="00CE5C32">
            <w:pPr>
              <w:bidi w:val="0"/>
              <w:jc w:val="center"/>
              <w:rPr>
                <w:rFonts w:ascii="Times New Roman" w:hAnsi="Times New Roman"/>
                <w:kern w:val="0"/>
                <w14:ligatures w14:val="none"/>
              </w:rPr>
            </w:pPr>
            <w:r w:rsidRPr="00D868ED">
              <w:rPr>
                <w:rFonts w:ascii="Times New Roman" w:hAnsi="Times New Roman"/>
                <w:kern w:val="0"/>
                <w14:ligatures w14:val="none"/>
              </w:rPr>
              <w:t>(0.017)</w:t>
            </w:r>
          </w:p>
        </w:tc>
        <w:tc>
          <w:tcPr>
            <w:tcW w:w="2520" w:type="dxa"/>
            <w:hideMark/>
          </w:tcPr>
          <w:p w14:paraId="250A71AF"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w:t>
            </w:r>
          </w:p>
        </w:tc>
      </w:tr>
      <w:tr w:rsidR="00363147" w:rsidRPr="00D868ED" w14:paraId="57156DB1" w14:textId="77777777" w:rsidTr="009922BD">
        <w:tc>
          <w:tcPr>
            <w:tcW w:w="0" w:type="auto"/>
            <w:hideMark/>
          </w:tcPr>
          <w:p w14:paraId="207FF519" w14:textId="77777777" w:rsidR="00363147" w:rsidRPr="00D868ED" w:rsidRDefault="00363147" w:rsidP="00CE5C32">
            <w:pPr>
              <w:bidi w:val="0"/>
              <w:jc w:val="both"/>
              <w:rPr>
                <w:rFonts w:ascii="Times New Roman" w:hAnsi="Times New Roman"/>
                <w:kern w:val="0"/>
                <w14:ligatures w14:val="none"/>
              </w:rPr>
            </w:pPr>
            <w:r w:rsidRPr="00D868ED">
              <w:rPr>
                <w:rFonts w:ascii="Times New Roman" w:hAnsi="Times New Roman"/>
                <w:kern w:val="0"/>
                <w14:ligatures w14:val="none"/>
              </w:rPr>
              <w:t>Log GDP, importer</w:t>
            </w:r>
          </w:p>
        </w:tc>
        <w:tc>
          <w:tcPr>
            <w:tcW w:w="2045" w:type="dxa"/>
            <w:hideMark/>
          </w:tcPr>
          <w:p w14:paraId="55A142EA"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0.647***</w:t>
            </w:r>
          </w:p>
          <w:p w14:paraId="67EA8A7C" w14:textId="2690EA8B" w:rsidR="009922BD" w:rsidRPr="00D868ED" w:rsidRDefault="009922BD" w:rsidP="00CE5C32">
            <w:pPr>
              <w:bidi w:val="0"/>
              <w:jc w:val="center"/>
              <w:rPr>
                <w:rFonts w:ascii="Times New Roman" w:hAnsi="Times New Roman"/>
                <w:kern w:val="0"/>
                <w14:ligatures w14:val="none"/>
              </w:rPr>
            </w:pPr>
            <w:r w:rsidRPr="00D868ED">
              <w:rPr>
                <w:rFonts w:ascii="Times New Roman" w:hAnsi="Times New Roman"/>
                <w:kern w:val="0"/>
                <w14:ligatures w14:val="none"/>
              </w:rPr>
              <w:t>(0.017)</w:t>
            </w:r>
          </w:p>
        </w:tc>
        <w:tc>
          <w:tcPr>
            <w:tcW w:w="2520" w:type="dxa"/>
            <w:hideMark/>
          </w:tcPr>
          <w:p w14:paraId="2BCF9F0D"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w:t>
            </w:r>
          </w:p>
        </w:tc>
      </w:tr>
      <w:tr w:rsidR="00363147" w:rsidRPr="00D868ED" w14:paraId="6F727E2A" w14:textId="77777777" w:rsidTr="009922BD">
        <w:tc>
          <w:tcPr>
            <w:tcW w:w="0" w:type="auto"/>
            <w:hideMark/>
          </w:tcPr>
          <w:p w14:paraId="0F57E580" w14:textId="77777777" w:rsidR="00363147" w:rsidRPr="00D868ED" w:rsidRDefault="00363147" w:rsidP="00CE5C32">
            <w:pPr>
              <w:bidi w:val="0"/>
              <w:jc w:val="both"/>
              <w:rPr>
                <w:rFonts w:ascii="Times New Roman" w:hAnsi="Times New Roman"/>
                <w:kern w:val="0"/>
                <w14:ligatures w14:val="none"/>
              </w:rPr>
            </w:pPr>
            <w:r w:rsidRPr="00D868ED">
              <w:rPr>
                <w:rFonts w:ascii="Times New Roman" w:hAnsi="Times New Roman"/>
                <w:kern w:val="0"/>
                <w14:ligatures w14:val="none"/>
              </w:rPr>
              <w:t>Log distance</w:t>
            </w:r>
          </w:p>
        </w:tc>
        <w:tc>
          <w:tcPr>
            <w:tcW w:w="2045" w:type="dxa"/>
            <w:hideMark/>
          </w:tcPr>
          <w:p w14:paraId="1C690ACB"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-0.820***</w:t>
            </w:r>
          </w:p>
          <w:p w14:paraId="3A0C17C6" w14:textId="04CFBD2E" w:rsidR="009922BD" w:rsidRPr="00D868ED" w:rsidRDefault="009922BD" w:rsidP="00CE5C32">
            <w:pPr>
              <w:bidi w:val="0"/>
              <w:jc w:val="center"/>
              <w:rPr>
                <w:rFonts w:ascii="Times New Roman" w:hAnsi="Times New Roman"/>
                <w:kern w:val="0"/>
                <w14:ligatures w14:val="none"/>
              </w:rPr>
            </w:pPr>
            <w:r w:rsidRPr="00D868ED">
              <w:rPr>
                <w:rFonts w:ascii="Times New Roman" w:hAnsi="Times New Roman"/>
                <w:kern w:val="0"/>
                <w14:ligatures w14:val="none"/>
              </w:rPr>
              <w:t>(0.052)</w:t>
            </w:r>
          </w:p>
        </w:tc>
        <w:tc>
          <w:tcPr>
            <w:tcW w:w="2520" w:type="dxa"/>
            <w:hideMark/>
          </w:tcPr>
          <w:p w14:paraId="6BC3ACD4"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-1.276***</w:t>
            </w:r>
          </w:p>
          <w:p w14:paraId="7CF8CA36" w14:textId="4CCA26C5" w:rsidR="009922BD" w:rsidRPr="00D868ED" w:rsidRDefault="009922BD" w:rsidP="00CE5C32">
            <w:pPr>
              <w:bidi w:val="0"/>
              <w:jc w:val="center"/>
              <w:rPr>
                <w:rFonts w:ascii="Times New Roman" w:hAnsi="Times New Roman"/>
                <w:kern w:val="0"/>
                <w14:ligatures w14:val="none"/>
              </w:rPr>
            </w:pPr>
            <w:r w:rsidRPr="00D868ED">
              <w:rPr>
                <w:rFonts w:ascii="Times New Roman" w:hAnsi="Times New Roman"/>
                <w:kern w:val="0"/>
                <w14:ligatures w14:val="none"/>
              </w:rPr>
              <w:t>(0.050)</w:t>
            </w:r>
          </w:p>
        </w:tc>
      </w:tr>
      <w:tr w:rsidR="00363147" w:rsidRPr="00D868ED" w14:paraId="0B91E2A2" w14:textId="77777777" w:rsidTr="009922BD">
        <w:tc>
          <w:tcPr>
            <w:tcW w:w="0" w:type="auto"/>
            <w:hideMark/>
          </w:tcPr>
          <w:p w14:paraId="2BA14491" w14:textId="77777777" w:rsidR="00363147" w:rsidRPr="00D868ED" w:rsidRDefault="00363147" w:rsidP="00CE5C32">
            <w:pPr>
              <w:bidi w:val="0"/>
              <w:jc w:val="both"/>
              <w:rPr>
                <w:rFonts w:ascii="Times New Roman" w:hAnsi="Times New Roman"/>
                <w:kern w:val="0"/>
                <w14:ligatures w14:val="none"/>
              </w:rPr>
            </w:pPr>
            <w:r w:rsidRPr="00D868ED">
              <w:rPr>
                <w:rFonts w:ascii="Times New Roman" w:hAnsi="Times New Roman"/>
                <w:kern w:val="0"/>
                <w14:ligatures w14:val="none"/>
              </w:rPr>
              <w:t>Common language</w:t>
            </w:r>
          </w:p>
        </w:tc>
        <w:tc>
          <w:tcPr>
            <w:tcW w:w="2045" w:type="dxa"/>
            <w:hideMark/>
          </w:tcPr>
          <w:p w14:paraId="651798DA"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-0.026</w:t>
            </w:r>
          </w:p>
          <w:p w14:paraId="64D03123" w14:textId="554FD203" w:rsidR="009922BD" w:rsidRPr="00D868ED" w:rsidRDefault="009922BD" w:rsidP="00CE5C32">
            <w:pPr>
              <w:bidi w:val="0"/>
              <w:jc w:val="center"/>
              <w:rPr>
                <w:rFonts w:ascii="Times New Roman" w:hAnsi="Times New Roman"/>
                <w:kern w:val="0"/>
                <w14:ligatures w14:val="none"/>
              </w:rPr>
            </w:pPr>
            <w:r w:rsidRPr="00D868ED">
              <w:rPr>
                <w:rFonts w:ascii="Times New Roman" w:hAnsi="Times New Roman"/>
                <w:kern w:val="0"/>
                <w14:ligatures w14:val="none"/>
              </w:rPr>
              <w:t>(0.064)</w:t>
            </w:r>
          </w:p>
        </w:tc>
        <w:tc>
          <w:tcPr>
            <w:tcW w:w="2520" w:type="dxa"/>
            <w:hideMark/>
          </w:tcPr>
          <w:p w14:paraId="44415AE9"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-0.214</w:t>
            </w:r>
          </w:p>
          <w:p w14:paraId="21F9E9FA" w14:textId="1A497271" w:rsidR="009922BD" w:rsidRPr="00D868ED" w:rsidRDefault="009922BD" w:rsidP="00CE5C32">
            <w:pPr>
              <w:bidi w:val="0"/>
              <w:jc w:val="center"/>
              <w:rPr>
                <w:rFonts w:ascii="Times New Roman" w:hAnsi="Times New Roman"/>
                <w:kern w:val="0"/>
                <w14:ligatures w14:val="none"/>
              </w:rPr>
            </w:pPr>
            <w:r w:rsidRPr="00D868ED">
              <w:rPr>
                <w:rFonts w:ascii="Times New Roman" w:hAnsi="Times New Roman"/>
                <w:kern w:val="0"/>
                <w14:ligatures w14:val="none"/>
              </w:rPr>
              <w:t>(0.154)</w:t>
            </w:r>
          </w:p>
        </w:tc>
      </w:tr>
      <w:tr w:rsidR="00363147" w:rsidRPr="00D868ED" w14:paraId="57181DF7" w14:textId="77777777" w:rsidTr="009922BD">
        <w:tc>
          <w:tcPr>
            <w:tcW w:w="0" w:type="auto"/>
            <w:hideMark/>
          </w:tcPr>
          <w:p w14:paraId="3E92861E" w14:textId="77777777" w:rsidR="00363147" w:rsidRPr="00D868ED" w:rsidRDefault="00363147" w:rsidP="00CE5C32">
            <w:pPr>
              <w:bidi w:val="0"/>
              <w:jc w:val="both"/>
              <w:rPr>
                <w:rFonts w:ascii="Times New Roman" w:hAnsi="Times New Roman"/>
                <w:kern w:val="0"/>
                <w14:ligatures w14:val="none"/>
              </w:rPr>
            </w:pPr>
            <w:r w:rsidRPr="00D868ED">
              <w:rPr>
                <w:rFonts w:ascii="Times New Roman" w:hAnsi="Times New Roman"/>
                <w:kern w:val="0"/>
                <w14:ligatures w14:val="none"/>
              </w:rPr>
              <w:t>Contiguity</w:t>
            </w:r>
          </w:p>
        </w:tc>
        <w:tc>
          <w:tcPr>
            <w:tcW w:w="2045" w:type="dxa"/>
            <w:hideMark/>
          </w:tcPr>
          <w:p w14:paraId="4A3E2A08"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0.542***</w:t>
            </w:r>
          </w:p>
          <w:p w14:paraId="162FFEB9" w14:textId="4DDF4993" w:rsidR="009922BD" w:rsidRPr="00D868ED" w:rsidRDefault="009922BD" w:rsidP="00CE5C32">
            <w:pPr>
              <w:bidi w:val="0"/>
              <w:jc w:val="center"/>
              <w:rPr>
                <w:rFonts w:ascii="Times New Roman" w:hAnsi="Times New Roman"/>
                <w:kern w:val="0"/>
                <w14:ligatures w14:val="none"/>
              </w:rPr>
            </w:pPr>
            <w:r w:rsidRPr="00D868ED">
              <w:rPr>
                <w:rFonts w:ascii="Times New Roman" w:hAnsi="Times New Roman"/>
                <w:kern w:val="0"/>
                <w14:ligatures w14:val="none"/>
              </w:rPr>
              <w:t>(0.071)</w:t>
            </w:r>
          </w:p>
        </w:tc>
        <w:tc>
          <w:tcPr>
            <w:tcW w:w="2520" w:type="dxa"/>
            <w:hideMark/>
          </w:tcPr>
          <w:p w14:paraId="742E1748"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-0.025</w:t>
            </w:r>
          </w:p>
          <w:p w14:paraId="4A4BC02B" w14:textId="27401E3E" w:rsidR="009922BD" w:rsidRPr="00D868ED" w:rsidRDefault="009922BD" w:rsidP="00CE5C32">
            <w:pPr>
              <w:bidi w:val="0"/>
              <w:jc w:val="center"/>
              <w:rPr>
                <w:rFonts w:ascii="Times New Roman" w:hAnsi="Times New Roman"/>
                <w:kern w:val="0"/>
                <w14:ligatures w14:val="none"/>
              </w:rPr>
            </w:pPr>
            <w:r w:rsidRPr="00D868ED">
              <w:rPr>
                <w:rFonts w:ascii="Times New Roman" w:hAnsi="Times New Roman"/>
                <w:kern w:val="0"/>
                <w14:ligatures w14:val="none"/>
              </w:rPr>
              <w:t>(0.088)</w:t>
            </w:r>
          </w:p>
        </w:tc>
      </w:tr>
      <w:tr w:rsidR="00363147" w:rsidRPr="00D868ED" w14:paraId="4C15E22E" w14:textId="77777777" w:rsidTr="009922BD">
        <w:tc>
          <w:tcPr>
            <w:tcW w:w="0" w:type="auto"/>
            <w:hideMark/>
          </w:tcPr>
          <w:p w14:paraId="41E7C74A" w14:textId="77777777" w:rsidR="00363147" w:rsidRPr="00D868ED" w:rsidRDefault="00363147" w:rsidP="00CE5C32">
            <w:pPr>
              <w:bidi w:val="0"/>
              <w:jc w:val="both"/>
              <w:rPr>
                <w:rFonts w:ascii="Times New Roman" w:hAnsi="Times New Roman"/>
                <w:kern w:val="0"/>
                <w14:ligatures w14:val="none"/>
              </w:rPr>
            </w:pPr>
            <w:r w:rsidRPr="00D868ED">
              <w:rPr>
                <w:rFonts w:ascii="Times New Roman" w:hAnsi="Times New Roman"/>
                <w:kern w:val="0"/>
                <w14:ligatures w14:val="none"/>
              </w:rPr>
              <w:t>Joint WTO membership</w:t>
            </w:r>
          </w:p>
        </w:tc>
        <w:tc>
          <w:tcPr>
            <w:tcW w:w="2045" w:type="dxa"/>
            <w:hideMark/>
          </w:tcPr>
          <w:p w14:paraId="4E9C0D4E"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-0.496***</w:t>
            </w:r>
          </w:p>
          <w:p w14:paraId="73D52CA9" w14:textId="53B73E01" w:rsidR="009922BD" w:rsidRPr="00D868ED" w:rsidRDefault="009922BD" w:rsidP="00CE5C32">
            <w:pPr>
              <w:bidi w:val="0"/>
              <w:jc w:val="center"/>
              <w:rPr>
                <w:rFonts w:ascii="Times New Roman" w:hAnsi="Times New Roman"/>
                <w:kern w:val="0"/>
                <w14:ligatures w14:val="none"/>
              </w:rPr>
            </w:pPr>
            <w:r w:rsidRPr="00D868ED">
              <w:rPr>
                <w:rFonts w:ascii="Times New Roman" w:hAnsi="Times New Roman"/>
                <w:kern w:val="0"/>
                <w14:ligatures w14:val="none"/>
              </w:rPr>
              <w:t>(0.051)</w:t>
            </w:r>
          </w:p>
        </w:tc>
        <w:tc>
          <w:tcPr>
            <w:tcW w:w="2520" w:type="dxa"/>
            <w:hideMark/>
          </w:tcPr>
          <w:p w14:paraId="31C34711"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0.625***</w:t>
            </w:r>
          </w:p>
          <w:p w14:paraId="541F33DF" w14:textId="2B8A1FA2" w:rsidR="009922BD" w:rsidRPr="00D868ED" w:rsidRDefault="009922BD" w:rsidP="00CE5C32">
            <w:pPr>
              <w:bidi w:val="0"/>
              <w:jc w:val="center"/>
              <w:rPr>
                <w:rFonts w:ascii="Times New Roman" w:hAnsi="Times New Roman"/>
                <w:kern w:val="0"/>
                <w14:ligatures w14:val="none"/>
              </w:rPr>
            </w:pPr>
            <w:r w:rsidRPr="00D868ED">
              <w:rPr>
                <w:rFonts w:ascii="Times New Roman" w:hAnsi="Times New Roman"/>
                <w:kern w:val="0"/>
                <w14:ligatures w14:val="none"/>
              </w:rPr>
              <w:t>(0.063)</w:t>
            </w:r>
          </w:p>
        </w:tc>
      </w:tr>
      <w:tr w:rsidR="00363147" w:rsidRPr="00D868ED" w14:paraId="1BB20B56" w14:textId="77777777" w:rsidTr="009922BD">
        <w:tc>
          <w:tcPr>
            <w:tcW w:w="0" w:type="auto"/>
            <w:hideMark/>
          </w:tcPr>
          <w:p w14:paraId="6CBA11FB" w14:textId="77777777" w:rsidR="00363147" w:rsidRPr="00D868ED" w:rsidRDefault="00363147" w:rsidP="00CE5C32">
            <w:pPr>
              <w:bidi w:val="0"/>
              <w:jc w:val="both"/>
              <w:rPr>
                <w:rFonts w:ascii="Times New Roman" w:hAnsi="Times New Roman"/>
                <w:kern w:val="0"/>
                <w14:ligatures w14:val="none"/>
              </w:rPr>
            </w:pPr>
            <w:r w:rsidRPr="00D868ED">
              <w:rPr>
                <w:rFonts w:ascii="Times New Roman" w:hAnsi="Times New Roman"/>
                <w:kern w:val="0"/>
                <w14:ligatures w14:val="none"/>
              </w:rPr>
              <w:t>Joint EU membership</w:t>
            </w:r>
          </w:p>
        </w:tc>
        <w:tc>
          <w:tcPr>
            <w:tcW w:w="2045" w:type="dxa"/>
            <w:hideMark/>
          </w:tcPr>
          <w:p w14:paraId="05602920"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1.370***</w:t>
            </w:r>
          </w:p>
          <w:p w14:paraId="3950CE82" w14:textId="55165CFB" w:rsidR="009922BD" w:rsidRPr="00D868ED" w:rsidRDefault="009922BD" w:rsidP="00CE5C32">
            <w:pPr>
              <w:bidi w:val="0"/>
              <w:jc w:val="center"/>
              <w:rPr>
                <w:rFonts w:ascii="Times New Roman" w:hAnsi="Times New Roman"/>
                <w:kern w:val="0"/>
                <w14:ligatures w14:val="none"/>
              </w:rPr>
            </w:pPr>
            <w:r w:rsidRPr="00D868ED">
              <w:rPr>
                <w:rFonts w:ascii="Times New Roman" w:hAnsi="Times New Roman"/>
                <w:kern w:val="0"/>
                <w14:ligatures w14:val="none"/>
              </w:rPr>
              <w:t>(0.068)</w:t>
            </w:r>
          </w:p>
        </w:tc>
        <w:tc>
          <w:tcPr>
            <w:tcW w:w="2520" w:type="dxa"/>
            <w:hideMark/>
          </w:tcPr>
          <w:p w14:paraId="5A55C4E8"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1.763***</w:t>
            </w:r>
          </w:p>
          <w:p w14:paraId="6C0F22AC" w14:textId="276FE9E0" w:rsidR="009922BD" w:rsidRPr="00D868ED" w:rsidRDefault="009922BD" w:rsidP="00CE5C32">
            <w:pPr>
              <w:bidi w:val="0"/>
              <w:jc w:val="center"/>
              <w:rPr>
                <w:rFonts w:ascii="Times New Roman" w:hAnsi="Times New Roman"/>
                <w:kern w:val="0"/>
                <w14:ligatures w14:val="none"/>
              </w:rPr>
            </w:pPr>
            <w:r w:rsidRPr="00D868ED">
              <w:rPr>
                <w:rFonts w:ascii="Times New Roman" w:hAnsi="Times New Roman"/>
                <w:kern w:val="0"/>
                <w14:ligatures w14:val="none"/>
              </w:rPr>
              <w:t>(0.185)</w:t>
            </w:r>
          </w:p>
        </w:tc>
      </w:tr>
      <w:tr w:rsidR="00363147" w:rsidRPr="00D868ED" w14:paraId="36CFC278" w14:textId="77777777" w:rsidTr="009922BD">
        <w:tc>
          <w:tcPr>
            <w:tcW w:w="0" w:type="auto"/>
            <w:hideMark/>
          </w:tcPr>
          <w:p w14:paraId="2C4EAA59" w14:textId="77777777" w:rsidR="00363147" w:rsidRPr="00D868ED" w:rsidRDefault="00363147" w:rsidP="00CE5C32">
            <w:pPr>
              <w:bidi w:val="0"/>
              <w:jc w:val="both"/>
              <w:rPr>
                <w:rFonts w:ascii="Times New Roman" w:hAnsi="Times New Roman"/>
                <w:kern w:val="0"/>
                <w14:ligatures w14:val="none"/>
              </w:rPr>
            </w:pPr>
            <w:r w:rsidRPr="00D868ED">
              <w:rPr>
                <w:rFonts w:ascii="Times New Roman" w:hAnsi="Times New Roman"/>
                <w:kern w:val="0"/>
                <w14:ligatures w14:val="none"/>
              </w:rPr>
              <w:t>Joint EAEU membership</w:t>
            </w:r>
          </w:p>
        </w:tc>
        <w:tc>
          <w:tcPr>
            <w:tcW w:w="2045" w:type="dxa"/>
            <w:hideMark/>
          </w:tcPr>
          <w:p w14:paraId="74058067"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0.484***</w:t>
            </w:r>
          </w:p>
          <w:p w14:paraId="60E9D34D" w14:textId="121BE582" w:rsidR="009922BD" w:rsidRPr="00D868ED" w:rsidRDefault="009922BD" w:rsidP="00CE5C32">
            <w:pPr>
              <w:bidi w:val="0"/>
              <w:jc w:val="center"/>
              <w:rPr>
                <w:rFonts w:ascii="Times New Roman" w:hAnsi="Times New Roman"/>
                <w:kern w:val="0"/>
                <w14:ligatures w14:val="none"/>
              </w:rPr>
            </w:pPr>
            <w:r w:rsidRPr="00D868ED">
              <w:rPr>
                <w:rFonts w:ascii="Times New Roman" w:hAnsi="Times New Roman"/>
                <w:kern w:val="0"/>
                <w14:ligatures w14:val="none"/>
              </w:rPr>
              <w:t>(0.051)</w:t>
            </w:r>
          </w:p>
        </w:tc>
        <w:tc>
          <w:tcPr>
            <w:tcW w:w="2520" w:type="dxa"/>
            <w:hideMark/>
          </w:tcPr>
          <w:p w14:paraId="54E3190B"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0.509***</w:t>
            </w:r>
          </w:p>
          <w:p w14:paraId="055C08F1" w14:textId="2744AE3D" w:rsidR="009922BD" w:rsidRPr="00D868ED" w:rsidRDefault="009922BD" w:rsidP="00CE5C32">
            <w:pPr>
              <w:bidi w:val="0"/>
              <w:jc w:val="center"/>
              <w:rPr>
                <w:rFonts w:ascii="Times New Roman" w:hAnsi="Times New Roman"/>
                <w:kern w:val="0"/>
                <w14:ligatures w14:val="none"/>
              </w:rPr>
            </w:pPr>
            <w:r w:rsidRPr="00D868ED">
              <w:rPr>
                <w:rFonts w:ascii="Times New Roman" w:hAnsi="Times New Roman"/>
                <w:kern w:val="0"/>
                <w14:ligatures w14:val="none"/>
              </w:rPr>
              <w:t>(0.159)</w:t>
            </w:r>
          </w:p>
        </w:tc>
      </w:tr>
      <w:tr w:rsidR="00363147" w:rsidRPr="00D868ED" w14:paraId="1534CB6E" w14:textId="77777777" w:rsidTr="009922BD">
        <w:tc>
          <w:tcPr>
            <w:tcW w:w="0" w:type="auto"/>
            <w:hideMark/>
          </w:tcPr>
          <w:p w14:paraId="7394756D" w14:textId="77777777" w:rsidR="00363147" w:rsidRPr="00D868ED" w:rsidRDefault="00363147" w:rsidP="00CE5C32">
            <w:pPr>
              <w:bidi w:val="0"/>
              <w:jc w:val="both"/>
              <w:rPr>
                <w:rFonts w:ascii="Times New Roman" w:hAnsi="Times New Roman"/>
                <w:kern w:val="0"/>
                <w14:ligatures w14:val="none"/>
              </w:rPr>
            </w:pPr>
            <w:r w:rsidRPr="00D868ED">
              <w:rPr>
                <w:rFonts w:ascii="Times New Roman" w:hAnsi="Times New Roman"/>
                <w:kern w:val="0"/>
                <w14:ligatures w14:val="none"/>
              </w:rPr>
              <w:t>R² / Pseudo R²</w:t>
            </w:r>
          </w:p>
        </w:tc>
        <w:tc>
          <w:tcPr>
            <w:tcW w:w="2045" w:type="dxa"/>
            <w:hideMark/>
          </w:tcPr>
          <w:p w14:paraId="2169D0BC"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w:t>
            </w:r>
          </w:p>
        </w:tc>
        <w:tc>
          <w:tcPr>
            <w:tcW w:w="2520" w:type="dxa"/>
            <w:hideMark/>
          </w:tcPr>
          <w:p w14:paraId="737972C4" w14:textId="77777777" w:rsidR="00363147" w:rsidRPr="00D868ED" w:rsidRDefault="00363147" w:rsidP="00CE5C32">
            <w:pPr>
              <w:bidi w:val="0"/>
              <w:jc w:val="center"/>
              <w:rPr>
                <w:rFonts w:ascii="Times New Roman" w:hAnsi="Times New Roman"/>
                <w:kern w:val="0"/>
                <w14:ligatures w14:val="none"/>
              </w:rPr>
            </w:pPr>
            <w:r w:rsidRPr="00D868ED">
              <w:rPr>
                <w:rFonts w:ascii="Times New Roman" w:hAnsi="Times New Roman"/>
                <w:kern w:val="0"/>
                <w14:ligatures w14:val="none"/>
              </w:rPr>
              <w:t>0.070</w:t>
            </w:r>
          </w:p>
        </w:tc>
      </w:tr>
    </w:tbl>
    <w:p w14:paraId="702A4A56" w14:textId="7819F3C7" w:rsidR="00F94040" w:rsidRPr="00D868ED" w:rsidRDefault="00F94040" w:rsidP="00CE5C32">
      <w:pPr>
        <w:bidi w:val="0"/>
        <w:spacing w:before="120" w:after="120" w:line="288" w:lineRule="auto"/>
        <w:jc w:val="both"/>
        <w:rPr>
          <w:rFonts w:ascii="Times New Roman" w:hAnsi="Times New Roman"/>
          <w:kern w:val="0"/>
          <w14:ligatures w14:val="none"/>
        </w:rPr>
      </w:pPr>
      <w:r w:rsidRPr="00D868ED">
        <w:rPr>
          <w:rFonts w:ascii="Times New Roman" w:hAnsi="Times New Roman"/>
          <w:kern w:val="0"/>
          <w14:ligatures w14:val="none"/>
        </w:rPr>
        <w:t>Notes: Robust standard errors in parentheses for PPML. GPML estimated with Gamma family and log link. (</w:t>
      </w:r>
      <w:r w:rsidR="0031283B" w:rsidRPr="00D868ED">
        <w:rPr>
          <w:rFonts w:ascii="Times New Roman" w:hAnsi="Times New Roman"/>
          <w:kern w:val="0"/>
          <w14:ligatures w14:val="none"/>
        </w:rPr>
        <w:t xml:space="preserve">* </w:t>
      </w:r>
      <w:r w:rsidRPr="00D868ED">
        <w:rPr>
          <w:rFonts w:ascii="Times New Roman" w:hAnsi="Times New Roman"/>
          <w:kern w:val="0"/>
          <w14:ligatures w14:val="none"/>
        </w:rPr>
        <w:t>p &lt; 0.10, ** p &lt; 0.05, *** p &lt; 0.01)</w:t>
      </w:r>
    </w:p>
    <w:p w14:paraId="13DFB3E4" w14:textId="2977B367" w:rsidR="00363147" w:rsidRPr="00D868ED" w:rsidRDefault="00363147" w:rsidP="00CE5C32">
      <w:pPr>
        <w:bidi w:val="0"/>
        <w:spacing w:before="120" w:after="120" w:line="288" w:lineRule="auto"/>
        <w:jc w:val="both"/>
        <w:rPr>
          <w:rFonts w:ascii="Times New Roman" w:hAnsi="Times New Roman"/>
          <w:kern w:val="0"/>
          <w14:ligatures w14:val="none"/>
        </w:rPr>
      </w:pPr>
      <w:r w:rsidRPr="00D868ED">
        <w:rPr>
          <w:rFonts w:ascii="Times New Roman" w:hAnsi="Times New Roman"/>
          <w:kern w:val="0"/>
          <w14:ligatures w14:val="none"/>
        </w:rPr>
        <w:t>The PPML specification with GDP controls delivers results broadly consistent with the classic gravity model for the core variables. Both GDP coefficients are positive and highly significant, with elasticities of about 0.83 for the exporter and 0.65 for the importer. Distance is negative and highly significant, although its absolute magnitude is smaller than in the log-linear models. Contiguity remains positive and significant, while common language is not statistically important.</w:t>
      </w:r>
    </w:p>
    <w:p w14:paraId="0804EBFA" w14:textId="77777777" w:rsidR="00363147" w:rsidRPr="00D868ED" w:rsidRDefault="00363147" w:rsidP="00CE5C32">
      <w:pPr>
        <w:bidi w:val="0"/>
        <w:spacing w:after="120" w:line="288" w:lineRule="auto"/>
        <w:jc w:val="both"/>
        <w:rPr>
          <w:rFonts w:ascii="Times New Roman" w:hAnsi="Times New Roman"/>
          <w:kern w:val="0"/>
          <w14:ligatures w14:val="none"/>
        </w:rPr>
      </w:pPr>
      <w:r w:rsidRPr="00D868ED">
        <w:rPr>
          <w:rFonts w:ascii="Times New Roman" w:hAnsi="Times New Roman"/>
          <w:kern w:val="0"/>
          <w14:ligatures w14:val="none"/>
        </w:rPr>
        <w:t>The institutional coefficients in PPML are mixed. Joint EU membership is strongly positive, with a coefficient of about 1.37, and joint EAEU membership is also positive and significant at about 0.48. Joint WTO membership, however, is negative and highly significant once GDP and the other institutional variables are included. This negative WTO coefficient contrasts sharply with the positive result from the fixed-effects OLS model.</w:t>
      </w:r>
    </w:p>
    <w:p w14:paraId="3FDD8780" w14:textId="77777777" w:rsidR="00363147" w:rsidRDefault="00363147" w:rsidP="00CE5C32">
      <w:pPr>
        <w:bidi w:val="0"/>
        <w:spacing w:after="120" w:line="288" w:lineRule="auto"/>
        <w:jc w:val="both"/>
        <w:rPr>
          <w:rFonts w:ascii="Times New Roman" w:hAnsi="Times New Roman"/>
          <w:kern w:val="0"/>
          <w14:ligatures w14:val="none"/>
        </w:rPr>
      </w:pPr>
      <w:r w:rsidRPr="00D868ED">
        <w:rPr>
          <w:rFonts w:ascii="Times New Roman" w:hAnsi="Times New Roman"/>
          <w:kern w:val="0"/>
          <w14:ligatures w14:val="none"/>
        </w:rPr>
        <w:t>The GPML specification offers a useful robustness check because it imposes a different variance structure and includes exporter and importer fixed effects. Distance remains negative and highly significant, and the coefficients on joint EU and joint EAEU membership remain positive and significant. The EU effect is particularly large, at about 1.76, while the EAEU effect is about 0.51. In contrast to PPML with GDP controls, the WTO coefficient becomes positive and highly significant in GPML, with an estimate of about 0.63. Common language and contiguity are both statistically insignificant in this specification.</w:t>
      </w:r>
    </w:p>
    <w:p w14:paraId="28DFF49E" w14:textId="746D3C9F" w:rsidR="0098050C" w:rsidRDefault="0098050C" w:rsidP="00CE5C32">
      <w:pPr>
        <w:bidi w:val="0"/>
        <w:spacing w:after="120" w:line="288" w:lineRule="auto"/>
        <w:jc w:val="both"/>
        <w:rPr>
          <w:rFonts w:ascii="Times New Roman" w:hAnsi="Times New Roman"/>
          <w:kern w:val="0"/>
          <w14:ligatures w14:val="none"/>
        </w:rPr>
      </w:pPr>
      <w:r w:rsidRPr="0098050C">
        <w:rPr>
          <w:rFonts w:ascii="Times New Roman" w:hAnsi="Times New Roman"/>
          <w:kern w:val="0"/>
          <w14:ligatures w14:val="none"/>
        </w:rPr>
        <w:t>These comparisons lead to two main conclusions. First, the EU effect is the most stable institutional result across specifications. Whether trade is modeled in logs, normalized by GDP, or estimated using multiplicative methods, joint EU membership remains consistently positive and highly significant. This suggests that deep regional integration is strongly associated with higher intra-regional trade among post-Soviet economies. The EAEU effect is also generally positive in the fixed-effects and multiplicative specifications, although its magnitude and robustness are weaker than those of the EU effect.</w:t>
      </w:r>
    </w:p>
    <w:p w14:paraId="0CEDF157" w14:textId="24D6D6D1" w:rsidR="00C935F9" w:rsidRPr="006A49F4" w:rsidRDefault="00C935F9" w:rsidP="00CE5C32">
      <w:pPr>
        <w:pStyle w:val="Caption"/>
        <w:bidi w:val="0"/>
        <w:rPr>
          <w:rFonts w:ascii="Times New Roman" w:hAnsi="Times New Roman" w:cs="Times New Roman"/>
          <w:i w:val="0"/>
          <w:iCs w:val="0"/>
          <w:color w:val="auto"/>
          <w:kern w:val="0"/>
          <w:sz w:val="24"/>
          <w:szCs w:val="24"/>
          <w:highlight w:val="yellow"/>
          <w14:ligatures w14:val="none"/>
        </w:rPr>
      </w:pPr>
      <w:bookmarkStart w:id="24" w:name="_Ref231128783"/>
      <w:bookmarkStart w:id="25" w:name="_Ref231128775"/>
      <w:r w:rsidRPr="006A49F4">
        <w:rPr>
          <w:rFonts w:ascii="Times New Roman" w:hAnsi="Times New Roman" w:cs="Times New Roman"/>
          <w:i w:val="0"/>
          <w:iCs w:val="0"/>
          <w:color w:val="auto"/>
          <w:sz w:val="24"/>
          <w:szCs w:val="24"/>
          <w:highlight w:val="yellow"/>
        </w:rPr>
        <w:t xml:space="preserve">Table </w:t>
      </w:r>
      <w:r w:rsidRPr="006A49F4">
        <w:rPr>
          <w:rFonts w:ascii="Times New Roman" w:hAnsi="Times New Roman" w:cs="Times New Roman"/>
          <w:i w:val="0"/>
          <w:iCs w:val="0"/>
          <w:color w:val="auto"/>
          <w:sz w:val="24"/>
          <w:szCs w:val="24"/>
          <w:highlight w:val="yellow"/>
        </w:rPr>
        <w:fldChar w:fldCharType="begin"/>
      </w:r>
      <w:r w:rsidRPr="006A49F4">
        <w:rPr>
          <w:rFonts w:ascii="Times New Roman" w:hAnsi="Times New Roman" w:cs="Times New Roman"/>
          <w:i w:val="0"/>
          <w:iCs w:val="0"/>
          <w:color w:val="auto"/>
          <w:sz w:val="24"/>
          <w:szCs w:val="24"/>
          <w:highlight w:val="yellow"/>
        </w:rPr>
        <w:instrText xml:space="preserve"> SEQ Table \* ARABIC </w:instrText>
      </w:r>
      <w:r w:rsidRPr="006A49F4">
        <w:rPr>
          <w:rFonts w:ascii="Times New Roman" w:hAnsi="Times New Roman" w:cs="Times New Roman"/>
          <w:i w:val="0"/>
          <w:iCs w:val="0"/>
          <w:color w:val="auto"/>
          <w:sz w:val="24"/>
          <w:szCs w:val="24"/>
          <w:highlight w:val="yellow"/>
        </w:rPr>
        <w:fldChar w:fldCharType="separate"/>
      </w:r>
      <w:r w:rsidRPr="006A49F4">
        <w:rPr>
          <w:rFonts w:ascii="Times New Roman" w:hAnsi="Times New Roman" w:cs="Times New Roman"/>
          <w:i w:val="0"/>
          <w:iCs w:val="0"/>
          <w:noProof/>
          <w:color w:val="auto"/>
          <w:sz w:val="24"/>
          <w:szCs w:val="24"/>
          <w:highlight w:val="yellow"/>
        </w:rPr>
        <w:t>8</w:t>
      </w:r>
      <w:r w:rsidRPr="006A49F4">
        <w:rPr>
          <w:rFonts w:ascii="Times New Roman" w:hAnsi="Times New Roman" w:cs="Times New Roman"/>
          <w:i w:val="0"/>
          <w:iCs w:val="0"/>
          <w:color w:val="auto"/>
          <w:sz w:val="24"/>
          <w:szCs w:val="24"/>
          <w:highlight w:val="yellow"/>
        </w:rPr>
        <w:fldChar w:fldCharType="end"/>
      </w:r>
      <w:bookmarkEnd w:id="24"/>
      <w:r w:rsidRPr="006A49F4">
        <w:rPr>
          <w:rFonts w:ascii="Times New Roman" w:hAnsi="Times New Roman" w:cs="Times New Roman"/>
          <w:i w:val="0"/>
          <w:iCs w:val="0"/>
          <w:color w:val="auto"/>
          <w:sz w:val="24"/>
          <w:szCs w:val="24"/>
          <w:highlight w:val="yellow"/>
        </w:rPr>
        <w:t xml:space="preserve">. </w:t>
      </w:r>
      <w:bookmarkEnd w:id="25"/>
      <w:r w:rsidR="001841B4" w:rsidRPr="001841B4">
        <w:rPr>
          <w:rFonts w:ascii="Times New Roman" w:hAnsi="Times New Roman" w:cs="Times New Roman"/>
          <w:i w:val="0"/>
          <w:iCs w:val="0"/>
          <w:color w:val="auto"/>
          <w:kern w:val="0"/>
          <w:sz w:val="24"/>
          <w:szCs w:val="24"/>
          <w:highlight w:val="yellow"/>
          <w14:ligatures w14:val="none"/>
        </w:rPr>
        <w:t>Zero-inclusive PPML estimates with structural fixed effects</w:t>
      </w:r>
    </w:p>
    <w:tbl>
      <w:tblPr>
        <w:tblStyle w:val="TableGrid"/>
        <w:tblW w:w="8905" w:type="dxa"/>
        <w:tblLook w:val="04A0" w:firstRow="1" w:lastRow="0" w:firstColumn="1" w:lastColumn="0" w:noHBand="0" w:noVBand="1"/>
      </w:tblPr>
      <w:tblGrid>
        <w:gridCol w:w="3055"/>
        <w:gridCol w:w="2250"/>
        <w:gridCol w:w="3600"/>
      </w:tblGrid>
      <w:tr w:rsidR="00C935F9" w:rsidRPr="00C935F9" w14:paraId="05057D33" w14:textId="77777777" w:rsidTr="00BB2D16">
        <w:tc>
          <w:tcPr>
            <w:tcW w:w="3055" w:type="dxa"/>
            <w:hideMark/>
          </w:tcPr>
          <w:p w14:paraId="4E7FCCE8" w14:textId="77777777" w:rsidR="00C935F9" w:rsidRPr="00C935F9" w:rsidRDefault="00C935F9" w:rsidP="00CE5C32">
            <w:pPr>
              <w:bidi w:val="0"/>
              <w:rPr>
                <w:rFonts w:ascii="Times New Roman" w:hAnsi="Times New Roman" w:cs="Times New Roman"/>
                <w:b/>
                <w:bCs/>
                <w:highlight w:val="yellow"/>
              </w:rPr>
            </w:pPr>
            <w:r w:rsidRPr="00C935F9">
              <w:rPr>
                <w:rFonts w:ascii="Times New Roman" w:hAnsi="Times New Roman" w:cs="Times New Roman"/>
                <w:b/>
                <w:bCs/>
                <w:highlight w:val="yellow"/>
              </w:rPr>
              <w:t>Variable</w:t>
            </w:r>
          </w:p>
        </w:tc>
        <w:tc>
          <w:tcPr>
            <w:tcW w:w="2250" w:type="dxa"/>
            <w:hideMark/>
          </w:tcPr>
          <w:p w14:paraId="17E4D0C0" w14:textId="77777777" w:rsidR="00C935F9" w:rsidRPr="00C935F9" w:rsidRDefault="00C935F9" w:rsidP="00CE5C32">
            <w:pPr>
              <w:bidi w:val="0"/>
              <w:rPr>
                <w:rFonts w:ascii="Times New Roman" w:hAnsi="Times New Roman" w:cs="Times New Roman"/>
                <w:b/>
                <w:bCs/>
                <w:highlight w:val="yellow"/>
              </w:rPr>
            </w:pPr>
            <w:r w:rsidRPr="00C935F9">
              <w:rPr>
                <w:rFonts w:ascii="Times New Roman" w:hAnsi="Times New Roman" w:cs="Times New Roman"/>
                <w:b/>
                <w:bCs/>
                <w:highlight w:val="yellow"/>
              </w:rPr>
              <w:t>PPML with zeros</w:t>
            </w:r>
          </w:p>
        </w:tc>
        <w:tc>
          <w:tcPr>
            <w:tcW w:w="3600" w:type="dxa"/>
            <w:hideMark/>
          </w:tcPr>
          <w:p w14:paraId="402921E1" w14:textId="77777777" w:rsidR="00C935F9" w:rsidRPr="00C935F9" w:rsidRDefault="00C935F9" w:rsidP="00CE5C32">
            <w:pPr>
              <w:bidi w:val="0"/>
              <w:rPr>
                <w:rFonts w:ascii="Times New Roman" w:hAnsi="Times New Roman" w:cs="Times New Roman"/>
                <w:b/>
                <w:bCs/>
                <w:highlight w:val="yellow"/>
              </w:rPr>
            </w:pPr>
            <w:r w:rsidRPr="00C935F9">
              <w:rPr>
                <w:rFonts w:ascii="Times New Roman" w:hAnsi="Times New Roman" w:cs="Times New Roman"/>
                <w:b/>
                <w:bCs/>
                <w:highlight w:val="yellow"/>
              </w:rPr>
              <w:t>PPML with zeros and exporter-year/importer-year FE</w:t>
            </w:r>
          </w:p>
        </w:tc>
      </w:tr>
      <w:tr w:rsidR="00C935F9" w:rsidRPr="00C935F9" w14:paraId="70F813EB" w14:textId="77777777" w:rsidTr="00BB2D16">
        <w:tc>
          <w:tcPr>
            <w:tcW w:w="3055" w:type="dxa"/>
            <w:hideMark/>
          </w:tcPr>
          <w:p w14:paraId="3EA0B371" w14:textId="77777777"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Log GDP, exporter</w:t>
            </w:r>
          </w:p>
        </w:tc>
        <w:tc>
          <w:tcPr>
            <w:tcW w:w="2250" w:type="dxa"/>
            <w:hideMark/>
          </w:tcPr>
          <w:p w14:paraId="28EFDA1A" w14:textId="77777777" w:rsidR="00C935F9" w:rsidRPr="006A49F4"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 xml:space="preserve">0.853*** </w:t>
            </w:r>
          </w:p>
          <w:p w14:paraId="3610CC72" w14:textId="5FD92867"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(0.041)</w:t>
            </w:r>
          </w:p>
        </w:tc>
        <w:tc>
          <w:tcPr>
            <w:tcW w:w="3600" w:type="dxa"/>
            <w:hideMark/>
          </w:tcPr>
          <w:p w14:paraId="3D7FF573" w14:textId="77777777"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w:t>
            </w:r>
          </w:p>
        </w:tc>
      </w:tr>
      <w:tr w:rsidR="00C935F9" w:rsidRPr="00C935F9" w14:paraId="0CA9C210" w14:textId="77777777" w:rsidTr="00BB2D16">
        <w:tc>
          <w:tcPr>
            <w:tcW w:w="3055" w:type="dxa"/>
            <w:hideMark/>
          </w:tcPr>
          <w:p w14:paraId="782101B9" w14:textId="77777777"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Log GDP, importer</w:t>
            </w:r>
          </w:p>
        </w:tc>
        <w:tc>
          <w:tcPr>
            <w:tcW w:w="2250" w:type="dxa"/>
            <w:hideMark/>
          </w:tcPr>
          <w:p w14:paraId="465062CB" w14:textId="77777777" w:rsidR="00C935F9" w:rsidRPr="006A49F4"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 xml:space="preserve">0.667*** </w:t>
            </w:r>
          </w:p>
          <w:p w14:paraId="254C1104" w14:textId="148ED364"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(0.045)</w:t>
            </w:r>
          </w:p>
        </w:tc>
        <w:tc>
          <w:tcPr>
            <w:tcW w:w="3600" w:type="dxa"/>
            <w:hideMark/>
          </w:tcPr>
          <w:p w14:paraId="72359533" w14:textId="77777777"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w:t>
            </w:r>
          </w:p>
        </w:tc>
      </w:tr>
      <w:tr w:rsidR="00C935F9" w:rsidRPr="00C935F9" w14:paraId="242C60B1" w14:textId="77777777" w:rsidTr="00BB2D16">
        <w:tc>
          <w:tcPr>
            <w:tcW w:w="3055" w:type="dxa"/>
            <w:hideMark/>
          </w:tcPr>
          <w:p w14:paraId="67868F17" w14:textId="77777777"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Log distance</w:t>
            </w:r>
          </w:p>
        </w:tc>
        <w:tc>
          <w:tcPr>
            <w:tcW w:w="2250" w:type="dxa"/>
            <w:hideMark/>
          </w:tcPr>
          <w:p w14:paraId="3EC3A06F" w14:textId="77777777" w:rsidR="0002250D" w:rsidRPr="006A49F4"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-0.838***</w:t>
            </w:r>
          </w:p>
          <w:p w14:paraId="302C56CC" w14:textId="20BE4757"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(0.167)</w:t>
            </w:r>
          </w:p>
        </w:tc>
        <w:tc>
          <w:tcPr>
            <w:tcW w:w="3600" w:type="dxa"/>
            <w:hideMark/>
          </w:tcPr>
          <w:p w14:paraId="772C0ECC" w14:textId="77777777" w:rsidR="0002250D" w:rsidRPr="006A49F4"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 xml:space="preserve">-0.769*** </w:t>
            </w:r>
          </w:p>
          <w:p w14:paraId="300AAA19" w14:textId="37594801"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(0.168)</w:t>
            </w:r>
          </w:p>
        </w:tc>
      </w:tr>
      <w:tr w:rsidR="00C935F9" w:rsidRPr="00C935F9" w14:paraId="730044C8" w14:textId="77777777" w:rsidTr="00BB2D16">
        <w:tc>
          <w:tcPr>
            <w:tcW w:w="3055" w:type="dxa"/>
            <w:hideMark/>
          </w:tcPr>
          <w:p w14:paraId="55863772" w14:textId="77777777"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Common official language</w:t>
            </w:r>
          </w:p>
        </w:tc>
        <w:tc>
          <w:tcPr>
            <w:tcW w:w="2250" w:type="dxa"/>
            <w:hideMark/>
          </w:tcPr>
          <w:p w14:paraId="68E154D3" w14:textId="77777777" w:rsidR="0002250D" w:rsidRPr="006A49F4"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 xml:space="preserve">-0.029 </w:t>
            </w:r>
          </w:p>
          <w:p w14:paraId="190A05C1" w14:textId="71EE9544"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(0.175)</w:t>
            </w:r>
          </w:p>
        </w:tc>
        <w:tc>
          <w:tcPr>
            <w:tcW w:w="3600" w:type="dxa"/>
            <w:hideMark/>
          </w:tcPr>
          <w:p w14:paraId="7CBC48D7" w14:textId="77777777" w:rsidR="0002250D" w:rsidRPr="006A49F4"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 xml:space="preserve">-0.179 </w:t>
            </w:r>
          </w:p>
          <w:p w14:paraId="308B81D3" w14:textId="7040B067"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(0.200)</w:t>
            </w:r>
          </w:p>
        </w:tc>
      </w:tr>
      <w:tr w:rsidR="00C935F9" w:rsidRPr="00C935F9" w14:paraId="0CED7B0B" w14:textId="77777777" w:rsidTr="00BB2D16">
        <w:tc>
          <w:tcPr>
            <w:tcW w:w="3055" w:type="dxa"/>
            <w:hideMark/>
          </w:tcPr>
          <w:p w14:paraId="6C5B9148" w14:textId="77777777"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Contiguity</w:t>
            </w:r>
          </w:p>
        </w:tc>
        <w:tc>
          <w:tcPr>
            <w:tcW w:w="2250" w:type="dxa"/>
            <w:hideMark/>
          </w:tcPr>
          <w:p w14:paraId="790E0581" w14:textId="77777777" w:rsidR="0002250D" w:rsidRPr="006A49F4"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 xml:space="preserve">0.486* </w:t>
            </w:r>
          </w:p>
          <w:p w14:paraId="0FE17544" w14:textId="27801E10"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(0.228)</w:t>
            </w:r>
          </w:p>
        </w:tc>
        <w:tc>
          <w:tcPr>
            <w:tcW w:w="3600" w:type="dxa"/>
            <w:hideMark/>
          </w:tcPr>
          <w:p w14:paraId="575A24E6" w14:textId="77777777" w:rsidR="0002250D" w:rsidRPr="006A49F4"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 xml:space="preserve">0.126 </w:t>
            </w:r>
          </w:p>
          <w:p w14:paraId="575C59CA" w14:textId="5E434FD2"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(0.194)</w:t>
            </w:r>
          </w:p>
        </w:tc>
      </w:tr>
      <w:tr w:rsidR="00C935F9" w:rsidRPr="00C935F9" w14:paraId="0EBFAED1" w14:textId="77777777" w:rsidTr="00BB2D16">
        <w:tc>
          <w:tcPr>
            <w:tcW w:w="3055" w:type="dxa"/>
            <w:hideMark/>
          </w:tcPr>
          <w:p w14:paraId="0D96149D" w14:textId="77777777"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Joint WTO membership</w:t>
            </w:r>
          </w:p>
        </w:tc>
        <w:tc>
          <w:tcPr>
            <w:tcW w:w="2250" w:type="dxa"/>
            <w:hideMark/>
          </w:tcPr>
          <w:p w14:paraId="6255F4F9" w14:textId="77777777" w:rsidR="0002250D" w:rsidRPr="006A49F4"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 xml:space="preserve">-0.486*** </w:t>
            </w:r>
          </w:p>
          <w:p w14:paraId="51A186AD" w14:textId="29F620D3"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(0.120)</w:t>
            </w:r>
          </w:p>
        </w:tc>
        <w:tc>
          <w:tcPr>
            <w:tcW w:w="3600" w:type="dxa"/>
            <w:hideMark/>
          </w:tcPr>
          <w:p w14:paraId="7E8A526C" w14:textId="77777777" w:rsidR="0002250D" w:rsidRPr="006A49F4"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 xml:space="preserve">0.061 </w:t>
            </w:r>
          </w:p>
          <w:p w14:paraId="3CB88B2A" w14:textId="38465DD4"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(0.168)</w:t>
            </w:r>
          </w:p>
        </w:tc>
      </w:tr>
      <w:tr w:rsidR="00C935F9" w:rsidRPr="00C935F9" w14:paraId="6147A3F3" w14:textId="77777777" w:rsidTr="00BB2D16">
        <w:tc>
          <w:tcPr>
            <w:tcW w:w="3055" w:type="dxa"/>
            <w:hideMark/>
          </w:tcPr>
          <w:p w14:paraId="6AA23242" w14:textId="77777777"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Joint EU membership</w:t>
            </w:r>
          </w:p>
        </w:tc>
        <w:tc>
          <w:tcPr>
            <w:tcW w:w="2250" w:type="dxa"/>
            <w:hideMark/>
          </w:tcPr>
          <w:p w14:paraId="2924BDA2" w14:textId="77777777" w:rsidR="0002250D" w:rsidRPr="006A49F4"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 xml:space="preserve">1.425*** </w:t>
            </w:r>
          </w:p>
          <w:p w14:paraId="6B6EFFDE" w14:textId="16A3E8C0"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(0.199)</w:t>
            </w:r>
          </w:p>
        </w:tc>
        <w:tc>
          <w:tcPr>
            <w:tcW w:w="3600" w:type="dxa"/>
            <w:hideMark/>
          </w:tcPr>
          <w:p w14:paraId="6FE77A17" w14:textId="77777777" w:rsidR="0002250D" w:rsidRPr="006A49F4"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 xml:space="preserve">1.825*** </w:t>
            </w:r>
          </w:p>
          <w:p w14:paraId="1C5AC516" w14:textId="1B88F338"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(0.254)</w:t>
            </w:r>
          </w:p>
        </w:tc>
      </w:tr>
      <w:tr w:rsidR="00C935F9" w:rsidRPr="00C935F9" w14:paraId="1D3C449C" w14:textId="77777777" w:rsidTr="00BB2D16">
        <w:tc>
          <w:tcPr>
            <w:tcW w:w="3055" w:type="dxa"/>
            <w:hideMark/>
          </w:tcPr>
          <w:p w14:paraId="14697BA5" w14:textId="77777777"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Joint EAEU membership</w:t>
            </w:r>
          </w:p>
        </w:tc>
        <w:tc>
          <w:tcPr>
            <w:tcW w:w="2250" w:type="dxa"/>
            <w:hideMark/>
          </w:tcPr>
          <w:p w14:paraId="656A3AA9" w14:textId="77777777" w:rsidR="0002250D" w:rsidRPr="006A49F4"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 xml:space="preserve">0.488*** </w:t>
            </w:r>
          </w:p>
          <w:p w14:paraId="2DB91EAB" w14:textId="018BA5F4"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(0.072)</w:t>
            </w:r>
          </w:p>
        </w:tc>
        <w:tc>
          <w:tcPr>
            <w:tcW w:w="3600" w:type="dxa"/>
            <w:hideMark/>
          </w:tcPr>
          <w:p w14:paraId="284B9A1C" w14:textId="77777777" w:rsidR="0002250D" w:rsidRPr="006A49F4"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 xml:space="preserve">0.776*** </w:t>
            </w:r>
          </w:p>
          <w:p w14:paraId="31DA42AA" w14:textId="1E43C0E4"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(0.191)</w:t>
            </w:r>
          </w:p>
        </w:tc>
      </w:tr>
      <w:tr w:rsidR="00C935F9" w:rsidRPr="00C935F9" w14:paraId="7E034354" w14:textId="77777777" w:rsidTr="00BB2D16">
        <w:tc>
          <w:tcPr>
            <w:tcW w:w="3055" w:type="dxa"/>
            <w:hideMark/>
          </w:tcPr>
          <w:p w14:paraId="2C20C7C6" w14:textId="77777777"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Exporter-year FE</w:t>
            </w:r>
          </w:p>
        </w:tc>
        <w:tc>
          <w:tcPr>
            <w:tcW w:w="2250" w:type="dxa"/>
            <w:hideMark/>
          </w:tcPr>
          <w:p w14:paraId="009CCC21" w14:textId="77777777"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No</w:t>
            </w:r>
          </w:p>
        </w:tc>
        <w:tc>
          <w:tcPr>
            <w:tcW w:w="3600" w:type="dxa"/>
            <w:hideMark/>
          </w:tcPr>
          <w:p w14:paraId="1A4FAF42" w14:textId="77777777"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Yes</w:t>
            </w:r>
          </w:p>
        </w:tc>
      </w:tr>
      <w:tr w:rsidR="00C935F9" w:rsidRPr="00C935F9" w14:paraId="397B3DFA" w14:textId="77777777" w:rsidTr="00BB2D16">
        <w:tc>
          <w:tcPr>
            <w:tcW w:w="3055" w:type="dxa"/>
            <w:hideMark/>
          </w:tcPr>
          <w:p w14:paraId="5E3AD660" w14:textId="77777777"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Importer-year FE</w:t>
            </w:r>
          </w:p>
        </w:tc>
        <w:tc>
          <w:tcPr>
            <w:tcW w:w="2250" w:type="dxa"/>
            <w:hideMark/>
          </w:tcPr>
          <w:p w14:paraId="123F15D7" w14:textId="77777777"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No</w:t>
            </w:r>
          </w:p>
        </w:tc>
        <w:tc>
          <w:tcPr>
            <w:tcW w:w="3600" w:type="dxa"/>
            <w:hideMark/>
          </w:tcPr>
          <w:p w14:paraId="1935A157" w14:textId="77777777"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Yes</w:t>
            </w:r>
          </w:p>
        </w:tc>
      </w:tr>
      <w:tr w:rsidR="00C935F9" w:rsidRPr="00C935F9" w14:paraId="4018EC08" w14:textId="77777777" w:rsidTr="00BB2D16">
        <w:tc>
          <w:tcPr>
            <w:tcW w:w="3055" w:type="dxa"/>
            <w:hideMark/>
          </w:tcPr>
          <w:p w14:paraId="48058293" w14:textId="273AF0D4" w:rsidR="00C935F9" w:rsidRPr="00C935F9" w:rsidRDefault="0002250D" w:rsidP="00CE5C32">
            <w:pPr>
              <w:bidi w:val="0"/>
              <w:rPr>
                <w:rFonts w:ascii="Times New Roman" w:hAnsi="Times New Roman" w:cs="Times New Roman"/>
                <w:highlight w:val="yellow"/>
              </w:rPr>
            </w:pPr>
            <w:r w:rsidRPr="00C935F9">
              <w:rPr>
                <w:rFonts w:ascii="Times New Roman" w:hAnsi="Times New Roman" w:cs="Times New Roman"/>
                <w:highlight w:val="yellow"/>
              </w:rPr>
              <w:t>R²</w:t>
            </w:r>
            <w:r w:rsidRPr="006A49F4">
              <w:rPr>
                <w:rFonts w:ascii="Times New Roman" w:hAnsi="Times New Roman" w:cs="Times New Roman"/>
                <w:highlight w:val="yellow"/>
              </w:rPr>
              <w:t xml:space="preserve"> / </w:t>
            </w:r>
            <w:r w:rsidR="00C935F9" w:rsidRPr="00C935F9">
              <w:rPr>
                <w:rFonts w:ascii="Times New Roman" w:hAnsi="Times New Roman" w:cs="Times New Roman"/>
                <w:highlight w:val="yellow"/>
              </w:rPr>
              <w:t>Pseudo R²</w:t>
            </w:r>
          </w:p>
        </w:tc>
        <w:tc>
          <w:tcPr>
            <w:tcW w:w="2250" w:type="dxa"/>
            <w:hideMark/>
          </w:tcPr>
          <w:p w14:paraId="166F2AAE" w14:textId="77777777"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0.865</w:t>
            </w:r>
          </w:p>
        </w:tc>
        <w:tc>
          <w:tcPr>
            <w:tcW w:w="3600" w:type="dxa"/>
            <w:hideMark/>
          </w:tcPr>
          <w:p w14:paraId="41C5108E" w14:textId="77777777" w:rsidR="00C935F9" w:rsidRPr="00C935F9" w:rsidRDefault="00C935F9" w:rsidP="00CE5C32">
            <w:pPr>
              <w:bidi w:val="0"/>
              <w:rPr>
                <w:rFonts w:ascii="Times New Roman" w:hAnsi="Times New Roman" w:cs="Times New Roman"/>
                <w:highlight w:val="yellow"/>
              </w:rPr>
            </w:pPr>
            <w:r w:rsidRPr="00C935F9">
              <w:rPr>
                <w:rFonts w:ascii="Times New Roman" w:hAnsi="Times New Roman" w:cs="Times New Roman"/>
                <w:highlight w:val="yellow"/>
              </w:rPr>
              <w:t>0.957</w:t>
            </w:r>
          </w:p>
        </w:tc>
      </w:tr>
    </w:tbl>
    <w:p w14:paraId="4D64C560" w14:textId="0DA1B02C" w:rsidR="00C935F9" w:rsidRPr="006E7215" w:rsidRDefault="00C935F9" w:rsidP="00CE5C32">
      <w:pPr>
        <w:bidi w:val="0"/>
        <w:spacing w:before="120" w:after="120" w:line="288" w:lineRule="auto"/>
        <w:jc w:val="both"/>
        <w:rPr>
          <w:rFonts w:ascii="Times New Roman" w:hAnsi="Times New Roman"/>
          <w:kern w:val="0"/>
          <w14:ligatures w14:val="none"/>
        </w:rPr>
      </w:pPr>
      <w:r w:rsidRPr="006A49F4">
        <w:rPr>
          <w:rFonts w:ascii="Times New Roman" w:hAnsi="Times New Roman"/>
          <w:kern w:val="0"/>
          <w:highlight w:val="yellow"/>
          <w14:ligatures w14:val="none"/>
        </w:rPr>
        <w:t xml:space="preserve">Notes: Robust standard errors </w:t>
      </w:r>
      <w:r w:rsidR="00D9168B">
        <w:rPr>
          <w:rFonts w:ascii="Times New Roman" w:hAnsi="Times New Roman"/>
          <w:kern w:val="0"/>
          <w:highlight w:val="yellow"/>
          <w14:ligatures w14:val="none"/>
        </w:rPr>
        <w:t xml:space="preserve">clustered by country pair </w:t>
      </w:r>
      <w:r w:rsidR="00BE5961">
        <w:rPr>
          <w:rFonts w:ascii="Times New Roman" w:hAnsi="Times New Roman"/>
          <w:kern w:val="0"/>
          <w:highlight w:val="yellow"/>
          <w14:ligatures w14:val="none"/>
        </w:rPr>
        <w:t xml:space="preserve">are </w:t>
      </w:r>
      <w:r w:rsidR="00D9168B">
        <w:rPr>
          <w:rFonts w:ascii="Times New Roman" w:hAnsi="Times New Roman"/>
          <w:kern w:val="0"/>
          <w:highlight w:val="yellow"/>
          <w14:ligatures w14:val="none"/>
        </w:rPr>
        <w:t xml:space="preserve">reported </w:t>
      </w:r>
      <w:r w:rsidRPr="006A49F4">
        <w:rPr>
          <w:rFonts w:ascii="Times New Roman" w:hAnsi="Times New Roman"/>
          <w:kern w:val="0"/>
          <w:highlight w:val="yellow"/>
          <w14:ligatures w14:val="none"/>
        </w:rPr>
        <w:t xml:space="preserve">in </w:t>
      </w:r>
      <w:r w:rsidRPr="006E7215">
        <w:rPr>
          <w:rFonts w:ascii="Times New Roman" w:hAnsi="Times New Roman"/>
          <w:kern w:val="0"/>
          <w:highlight w:val="yellow"/>
          <w14:ligatures w14:val="none"/>
        </w:rPr>
        <w:t>parentheses. (* p &lt; 0.10, ** p &lt; 0.05, *** p &lt; 0.01)</w:t>
      </w:r>
    </w:p>
    <w:p w14:paraId="010DE3EF" w14:textId="78B1F3E9" w:rsidR="00C935F9" w:rsidRDefault="0098050C" w:rsidP="004F4CB1">
      <w:pPr>
        <w:bidi w:val="0"/>
        <w:spacing w:after="120" w:line="288" w:lineRule="auto"/>
        <w:jc w:val="both"/>
        <w:rPr>
          <w:rFonts w:ascii="Times New Roman" w:hAnsi="Times New Roman"/>
          <w:kern w:val="0"/>
          <w14:ligatures w14:val="none"/>
        </w:rPr>
      </w:pPr>
      <w:r w:rsidRPr="006E7215">
        <w:rPr>
          <w:rFonts w:ascii="Times New Roman" w:hAnsi="Times New Roman"/>
          <w:kern w:val="0"/>
          <w:highlight w:val="yellow"/>
          <w14:ligatures w14:val="none"/>
        </w:rPr>
        <w:t>The zero-inclusive PPML results in</w:t>
      </w:r>
      <w:r w:rsidR="006E7215" w:rsidRPr="006E7215">
        <w:rPr>
          <w:rFonts w:ascii="Times New Roman" w:hAnsi="Times New Roman"/>
          <w:kern w:val="0"/>
          <w:highlight w:val="yellow"/>
          <w14:ligatures w14:val="none"/>
        </w:rPr>
        <w:t xml:space="preserve"> </w:t>
      </w:r>
      <w:r w:rsidR="006E7215" w:rsidRPr="006E7215">
        <w:rPr>
          <w:rFonts w:ascii="Times New Roman" w:hAnsi="Times New Roman"/>
          <w:kern w:val="0"/>
          <w:highlight w:val="yellow"/>
          <w14:ligatures w14:val="none"/>
        </w:rPr>
        <w:fldChar w:fldCharType="begin"/>
      </w:r>
      <w:r w:rsidR="006E7215" w:rsidRPr="006E7215">
        <w:rPr>
          <w:rFonts w:ascii="Times New Roman" w:hAnsi="Times New Roman"/>
          <w:kern w:val="0"/>
          <w:highlight w:val="yellow"/>
          <w14:ligatures w14:val="none"/>
        </w:rPr>
        <w:instrText xml:space="preserve"> REF _Ref231128783 \h  \* MERGEFORMAT </w:instrText>
      </w:r>
      <w:r w:rsidR="006E7215" w:rsidRPr="006E7215">
        <w:rPr>
          <w:rFonts w:ascii="Times New Roman" w:hAnsi="Times New Roman"/>
          <w:kern w:val="0"/>
          <w:highlight w:val="yellow"/>
          <w14:ligatures w14:val="none"/>
        </w:rPr>
      </w:r>
      <w:r w:rsidR="006E7215" w:rsidRPr="006E7215">
        <w:rPr>
          <w:rFonts w:ascii="Times New Roman" w:hAnsi="Times New Roman"/>
          <w:kern w:val="0"/>
          <w:highlight w:val="yellow"/>
          <w14:ligatures w14:val="none"/>
        </w:rPr>
        <w:fldChar w:fldCharType="separate"/>
      </w:r>
      <w:r w:rsidR="006E7215" w:rsidRPr="006E7215">
        <w:rPr>
          <w:rFonts w:ascii="Times New Roman" w:hAnsi="Times New Roman" w:cs="Times New Roman"/>
          <w:highlight w:val="yellow"/>
        </w:rPr>
        <w:t xml:space="preserve">Table </w:t>
      </w:r>
      <w:r w:rsidR="006E7215" w:rsidRPr="006E7215">
        <w:rPr>
          <w:rFonts w:ascii="Times New Roman" w:hAnsi="Times New Roman" w:cs="Times New Roman"/>
          <w:noProof/>
          <w:highlight w:val="yellow"/>
        </w:rPr>
        <w:t>8</w:t>
      </w:r>
      <w:r w:rsidR="006E7215" w:rsidRPr="006E7215">
        <w:rPr>
          <w:rFonts w:ascii="Times New Roman" w:hAnsi="Times New Roman"/>
          <w:kern w:val="0"/>
          <w:highlight w:val="yellow"/>
          <w14:ligatures w14:val="none"/>
        </w:rPr>
        <w:fldChar w:fldCharType="end"/>
      </w:r>
      <w:r w:rsidRPr="006E7215">
        <w:rPr>
          <w:rFonts w:ascii="Times New Roman" w:hAnsi="Times New Roman"/>
          <w:kern w:val="0"/>
          <w:highlight w:val="yellow"/>
          <w14:ligatures w14:val="none"/>
        </w:rPr>
        <w:t xml:space="preserve"> further clarify the role of multilateral resistance. In the PPML specification with GDP controls, joint EU and joint EAEU membership are positive and statistically significant, while joint WTO membership is negative and significant. However, after exporter-year and importer-year fixed effects are introduced, the WTO coefficient becomes small and statistically insignificant. This suggests that the WTO coefficient is sensitive to time-varying exporter and importer characteristics. </w:t>
      </w:r>
      <w:r w:rsidR="004F4CB1" w:rsidRPr="004F4CB1">
        <w:rPr>
          <w:rFonts w:ascii="Times New Roman" w:hAnsi="Times New Roman"/>
          <w:kern w:val="0"/>
          <w:highlight w:val="yellow"/>
          <w14:ligatures w14:val="none"/>
        </w:rPr>
        <w:t>By contrast, the EU coefficient remains large, positive, and highly significant, while the EAEU coefficient also remains positive and statistically significant. Taken together, these results suggest that deep regional integration, particularly EU membership, has the strongest and most robust association with intra-regional trade among post-Soviet economies. This pattern is consistent with evidence from post-independence Balkan countries, where deeper regional integration is also associated with stronger trade linkages</w:t>
      </w:r>
      <w:r w:rsidR="004F4CB1">
        <w:rPr>
          <w:rFonts w:ascii="Times New Roman" w:hAnsi="Times New Roman"/>
          <w:kern w:val="0"/>
          <w:highlight w:val="yellow"/>
          <w14:ligatures w14:val="none"/>
        </w:rPr>
        <w:t xml:space="preserve"> </w:t>
      </w:r>
      <w:r w:rsidR="00D609BF">
        <w:rPr>
          <w:rFonts w:ascii="Times New Roman" w:hAnsi="Times New Roman"/>
          <w:kern w:val="0"/>
          <w:highlight w:val="yellow"/>
          <w14:ligatures w14:val="none"/>
        </w:rPr>
        <w:fldChar w:fldCharType="begin"/>
      </w:r>
      <w:r w:rsidR="00D609BF">
        <w:rPr>
          <w:rFonts w:ascii="Times New Roman" w:hAnsi="Times New Roman"/>
          <w:kern w:val="0"/>
          <w:highlight w:val="yellow"/>
          <w14:ligatures w14:val="none"/>
        </w:rPr>
        <w:instrText xml:space="preserve"> ADDIN ZOTERO_ITEM CSL_CITATION {"citationID":"Zi80jJNb","properties":{"unsorted":false,"formattedCitation":"(Abdeljalil &amp; Gulseven, 2026)","plainCitation":"(Abdeljalil &amp; Gulseven, 2026)","noteIndex":0},"citationItems":[{"id":2556,"uris":["http://zotero.org/users/4604898/items/CKSTUI7D"],"itemData":{"id":2556,"type":"article-journal","abstract":"This study examines the relative roles of European Union (EU) and World Trade Organization (WTO) integration in shaping bilateral trade among Western Balkan economies and Türkiye using a structural gravity framework. Employing fixed-effects OLS, normalized trade-intensity specifications, and multiplicative estimators (PPML and GPML), the analysis shows that institutional effects are sensitive to model specification. Joint WTO membership is strongly positive in volume-based fixed-effects models but weakens or becomes insignificant once trade is normalized by economic size or when GDP is explicitly controlled for in PPML estimations. In contrast, joint EU membership remains positive and statistically significant across all specifications, including normalized and size-controlled models. These results indicate that deeper regional integration under the EU framework is more consistently associated with trade integration than multilateral WTO membership, suggesting that institutional depth and enforceability play a central role in reducing trade costs.","container-title":"Quality &amp; Quantity","DOI":"10.1007/s11135-026-02851-6","ISSN":"1573-7845","journalAbbreviation":"Qual Quant","language":"en","source":"Springer Link","title":"Does EU integration matter more than WTO membership? Gravity evidence from the Western Balkans","title-short":"Does EU integration matter more than WTO membership?","URL":"https://doi.org/10.1007/s11135-026-02851-6","author":[{"family":"Abdeljalil","given":"Waed"},{"family":"Gulseven","given":"Osman"}],"accessed":{"date-parts":[["2026",5,31]]},"issued":{"date-parts":[["2026",5,20]]}}}],"schema":"https://github.com/citation-style-language/schema/raw/master/csl-citation.json"} </w:instrText>
      </w:r>
      <w:r w:rsidR="00D609BF">
        <w:rPr>
          <w:rFonts w:ascii="Times New Roman" w:hAnsi="Times New Roman"/>
          <w:kern w:val="0"/>
          <w:highlight w:val="yellow"/>
          <w14:ligatures w14:val="none"/>
        </w:rPr>
        <w:fldChar w:fldCharType="separate"/>
      </w:r>
      <w:r w:rsidR="00D609BF" w:rsidRPr="00D609BF">
        <w:rPr>
          <w:rFonts w:ascii="Times New Roman" w:hAnsi="Times New Roman" w:cs="Times New Roman"/>
          <w:highlight w:val="yellow"/>
        </w:rPr>
        <w:t>(Abdeljalil &amp; Gulseven, 2026)</w:t>
      </w:r>
      <w:r w:rsidR="00D609BF">
        <w:rPr>
          <w:rFonts w:ascii="Times New Roman" w:hAnsi="Times New Roman"/>
          <w:kern w:val="0"/>
          <w:highlight w:val="yellow"/>
          <w14:ligatures w14:val="none"/>
        </w:rPr>
        <w:fldChar w:fldCharType="end"/>
      </w:r>
      <w:r w:rsidRPr="006E7215">
        <w:rPr>
          <w:rFonts w:ascii="Times New Roman" w:hAnsi="Times New Roman"/>
          <w:kern w:val="0"/>
          <w:highlight w:val="yellow"/>
          <w14:ligatures w14:val="none"/>
        </w:rPr>
        <w:t>.</w:t>
      </w:r>
    </w:p>
    <w:p w14:paraId="7549338E" w14:textId="47A7A5C0" w:rsidR="00FE657A" w:rsidRPr="00D868ED" w:rsidRDefault="00FE657A" w:rsidP="00CE5C32">
      <w:pPr>
        <w:bidi w:val="0"/>
        <w:spacing w:after="120" w:line="288" w:lineRule="auto"/>
        <w:jc w:val="both"/>
        <w:rPr>
          <w:rFonts w:ascii="Times New Roman" w:hAnsi="Times New Roman"/>
          <w:b/>
          <w:bCs/>
          <w:kern w:val="0"/>
          <w14:ligatures w14:val="none"/>
        </w:rPr>
      </w:pPr>
      <w:r w:rsidRPr="00D868ED">
        <w:rPr>
          <w:rFonts w:ascii="Times New Roman" w:hAnsi="Times New Roman"/>
          <w:b/>
          <w:bCs/>
          <w:kern w:val="0"/>
          <w14:ligatures w14:val="none"/>
        </w:rPr>
        <w:t>6. Discussion, Policy Implications and Conclusion</w:t>
      </w:r>
    </w:p>
    <w:p w14:paraId="144BB3AB" w14:textId="77777777" w:rsidR="00FE657A" w:rsidRPr="00D868ED" w:rsidRDefault="00FE657A" w:rsidP="00CE5C32">
      <w:pPr>
        <w:bidi w:val="0"/>
        <w:spacing w:after="120" w:line="288" w:lineRule="auto"/>
        <w:jc w:val="both"/>
        <w:rPr>
          <w:rFonts w:ascii="Times New Roman" w:hAnsi="Times New Roman"/>
          <w:b/>
          <w:bCs/>
          <w:kern w:val="0"/>
          <w14:ligatures w14:val="none"/>
        </w:rPr>
      </w:pPr>
      <w:r w:rsidRPr="00D868ED">
        <w:rPr>
          <w:rFonts w:ascii="Times New Roman" w:hAnsi="Times New Roman"/>
          <w:b/>
          <w:bCs/>
          <w:kern w:val="0"/>
          <w14:ligatures w14:val="none"/>
        </w:rPr>
        <w:t>6.1 Gravity results and institutional effects</w:t>
      </w:r>
    </w:p>
    <w:p w14:paraId="082C2EEE" w14:textId="630D6AAE" w:rsidR="00FE657A" w:rsidRPr="00D868ED" w:rsidRDefault="00FE657A" w:rsidP="00CE5C32">
      <w:pPr>
        <w:bidi w:val="0"/>
        <w:spacing w:after="120" w:line="288" w:lineRule="auto"/>
        <w:jc w:val="both"/>
        <w:rPr>
          <w:rFonts w:ascii="Times New Roman" w:hAnsi="Times New Roman"/>
          <w:kern w:val="0"/>
          <w14:ligatures w14:val="none"/>
        </w:rPr>
      </w:pPr>
      <w:r w:rsidRPr="00D868ED">
        <w:rPr>
          <w:rFonts w:ascii="Times New Roman" w:hAnsi="Times New Roman"/>
          <w:kern w:val="0"/>
          <w14:ligatures w14:val="none"/>
        </w:rPr>
        <w:t>The results strongly support the core predictions of the gravity model. Economic size is consistently associated with higher bilateral trade, while geographic distance exerts a stable and negative effect across all specifications. These findings confirm that standard gravity forces remain dominant even within a historically integrated region. This is consistent with the structural gravity framework, where trade increases with economic mass and decreases with trade costs once multilateral resistance is controlled for. The magnitude and stability of these coefficients align with the broader gravity literature</w:t>
      </w:r>
      <w:r w:rsidR="00127469" w:rsidRPr="00D868ED">
        <w:rPr>
          <w:rFonts w:ascii="Times New Roman" w:hAnsi="Times New Roman"/>
          <w:kern w:val="0"/>
          <w14:ligatures w14:val="none"/>
        </w:rPr>
        <w:t>.</w:t>
      </w:r>
      <w:r w:rsidR="005D5EA1" w:rsidRPr="00D868ED">
        <w:rPr>
          <w:rFonts w:ascii="Times New Roman" w:hAnsi="Times New Roman"/>
          <w:kern w:val="0"/>
          <w14:ligatures w14:val="none"/>
        </w:rPr>
        <w:t xml:space="preserve"> </w:t>
      </w:r>
      <w:r w:rsidRPr="00D868ED">
        <w:rPr>
          <w:rFonts w:ascii="Times New Roman" w:hAnsi="Times New Roman"/>
          <w:kern w:val="0"/>
          <w14:ligatures w14:val="none"/>
        </w:rPr>
        <w:t xml:space="preserve">The negative and highly significant distance effect confirms the persistence of spatial frictions. This is consistent with the “distance puzzle,” which shows that distance elasticities have not declined systematically over time </w:t>
      </w:r>
      <w:r w:rsidR="005D5EA1" w:rsidRPr="00D868ED">
        <w:rPr>
          <w:rFonts w:ascii="Times New Roman" w:hAnsi="Times New Roman"/>
          <w:kern w:val="0"/>
          <w14:ligatures w14:val="none"/>
        </w:rPr>
        <w:fldChar w:fldCharType="begin"/>
      </w:r>
      <w:r w:rsidR="003E5F69" w:rsidRPr="00D868ED">
        <w:rPr>
          <w:rFonts w:ascii="Times New Roman" w:hAnsi="Times New Roman"/>
          <w:kern w:val="0"/>
          <w14:ligatures w14:val="none"/>
        </w:rPr>
        <w:instrText xml:space="preserve"> ADDIN ZOTERO_ITEM CSL_CITATION {"citationID":"arsrmavpv7","properties":{"formattedCitation":"(Disdier &amp; Head, 2008)","plainCitation":"(Disdier &amp; Head, 2008)","noteIndex":0},"citationItems":[{"id":2374,"uris":["http://zotero.org/users/4604898/items/ULD23S5C"],"itemData":{"id":2374,"type":"article-journal","abstract":"One of the best-established empirical results in international economics is that bilateral trade decreases with distance. Although well known, this result has not been systematically analyzed before. We examine 1,467 distance effects estimated in 103 papers. Information collected on each estimate allows us to test hypotheses about the causes of variation in the estimates. Our most interesting finding is that the estimated negative impact of distance on trade rose around the middle of the century and has remained persistently high since then. This result holds even after controlling for many important differences in samples and methods.","container-title":"The Review of Economics and Statistics","DOI":"10.1162/rest.90.1.37","ISSN":"0034-6535","issue":"1","journalAbbreviation":"The Review of Economics and Statistics","page":"37-48","source":"Silverchair","title":"The Puzzling Persistence of the Distance Effect on Bilateral Trade","volume":"90","author":[{"family":"Disdier","given":"Anne-Célia"},{"family":"Head","given":"Keith"}],"issued":{"date-parts":[["2008",2,1]]}}}],"schema":"https://github.com/citation-style-language/schema/raw/master/csl-citation.json"} </w:instrText>
      </w:r>
      <w:r w:rsidR="005D5EA1" w:rsidRPr="00D868ED">
        <w:rPr>
          <w:rFonts w:ascii="Times New Roman" w:hAnsi="Times New Roman"/>
          <w:kern w:val="0"/>
          <w14:ligatures w14:val="none"/>
        </w:rPr>
        <w:fldChar w:fldCharType="separate"/>
      </w:r>
      <w:r w:rsidR="008C4601" w:rsidRPr="00D868ED">
        <w:rPr>
          <w:rFonts w:ascii="Times New Roman" w:hAnsi="Times New Roman" w:cs="Times New Roman"/>
        </w:rPr>
        <w:t>(Disdier &amp; Head, 2008)</w:t>
      </w:r>
      <w:r w:rsidR="005D5EA1" w:rsidRPr="00D868ED">
        <w:rPr>
          <w:rFonts w:ascii="Times New Roman" w:hAnsi="Times New Roman"/>
          <w:kern w:val="0"/>
          <w14:ligatures w14:val="none"/>
        </w:rPr>
        <w:fldChar w:fldCharType="end"/>
      </w:r>
      <w:r w:rsidRPr="00D868ED">
        <w:rPr>
          <w:rFonts w:ascii="Times New Roman" w:hAnsi="Times New Roman"/>
          <w:kern w:val="0"/>
          <w14:ligatures w14:val="none"/>
        </w:rPr>
        <w:t>. In the post-Soviet context, this reflects structural constraints such as landlocked geography, weak logistics, and multiple border crossings.</w:t>
      </w:r>
    </w:p>
    <w:p w14:paraId="7414D545" w14:textId="517DD013" w:rsidR="005D5EA1" w:rsidRPr="00D868ED" w:rsidRDefault="00FE657A" w:rsidP="00CE5C32">
      <w:pPr>
        <w:bidi w:val="0"/>
        <w:spacing w:after="120" w:line="288" w:lineRule="auto"/>
        <w:jc w:val="both"/>
        <w:rPr>
          <w:rFonts w:ascii="Times New Roman" w:hAnsi="Times New Roman"/>
          <w:kern w:val="0"/>
          <w14:ligatures w14:val="none"/>
        </w:rPr>
      </w:pPr>
      <w:r w:rsidRPr="00D868ED">
        <w:rPr>
          <w:rFonts w:ascii="Times New Roman" w:hAnsi="Times New Roman"/>
          <w:kern w:val="0"/>
          <w14:ligatures w14:val="none"/>
        </w:rPr>
        <w:t>Cultural and historical variables are less robust. The effect of a common official language weakens or disappears once fixed effects and multiplicative estimators are applied. This is consistent with evidence that cultural proximity reduces transaction costs, but its estimated impact depends on the treatment of unobserved heterogeneity</w:t>
      </w:r>
      <w:r w:rsidR="005D5EA1" w:rsidRPr="00D868ED">
        <w:rPr>
          <w:rFonts w:ascii="Times New Roman" w:hAnsi="Times New Roman"/>
          <w:kern w:val="0"/>
          <w14:ligatures w14:val="none"/>
        </w:rPr>
        <w:t xml:space="preserve"> </w:t>
      </w:r>
      <w:r w:rsidR="005D5EA1" w:rsidRPr="00D868ED">
        <w:rPr>
          <w:rFonts w:ascii="Times New Roman" w:hAnsi="Times New Roman"/>
          <w:kern w:val="0"/>
          <w14:ligatures w14:val="none"/>
        </w:rPr>
        <w:fldChar w:fldCharType="begin"/>
      </w:r>
      <w:r w:rsidR="003E5F69" w:rsidRPr="00D868ED">
        <w:rPr>
          <w:rFonts w:ascii="Times New Roman" w:hAnsi="Times New Roman"/>
          <w:kern w:val="0"/>
          <w14:ligatures w14:val="none"/>
        </w:rPr>
        <w:instrText xml:space="preserve"> ADDIN ZOTERO_ITEM CSL_CITATION {"citationID":"a2cgmcgmau9","properties":{"formattedCitation":"(Felbermayr &amp; Teti, 2023)","plainCitation":"(Felbermayr &amp; Teti, 2023)","noteIndex":0},"citationItems":[{"id":2009,"uris":["http://zotero.org/users/4604898/items/XMZKQIPW"],"itemData":{"id":2009,"type":"article-journal","abstract":"Modern regional trade agreements focus on promoting bilateral exchange mostly by lowering non-tariff barriers to trade. But do existing regional trade agreements actually deliver what they promise? This paper argues that existing results in the literature are\nupward biased because of measurement error in a crucial control variable: tariff rates.\nUsing a novel data set of high-quality tariff information, the paper shows that, on average, non-tariff barriers reductions in deep regional trade agreements boost services trade\nbut not goods trade. Estimating separate non-tariff barrier effects for each regional trade\nagreement reveals strong heterogeneity: only 23 percent of all regional trade agreements\nseem to lower non-tariff barriers. For most regional trade agreements, we fail to find\nany significant effect, while 9 percent appear to reduce trade, possibly because a more\nbalanced regulation evens out comparative advantages. The trade agreements that foster\ntrade the most include non-discriminatory trade policy changes.","container-title":"ECONSTOR ZBW","issue":"Discussion Paper No. 459","language":"English","page":"1-37","title":"Revisiting the Trade-Creating Effects of Non-Tariff Barriers","author":[{"family":"Felbermayr","given":"Gabriel"},{"family":"Teti","given":"Feodora"}],"issued":{"date-parts":[["2023"]],"season":"20"}}}],"schema":"https://github.com/citation-style-language/schema/raw/master/csl-citation.json"} </w:instrText>
      </w:r>
      <w:r w:rsidR="005D5EA1" w:rsidRPr="00D868ED">
        <w:rPr>
          <w:rFonts w:ascii="Times New Roman" w:hAnsi="Times New Roman"/>
          <w:kern w:val="0"/>
          <w14:ligatures w14:val="none"/>
        </w:rPr>
        <w:fldChar w:fldCharType="separate"/>
      </w:r>
      <w:r w:rsidR="008C4601" w:rsidRPr="00D868ED">
        <w:rPr>
          <w:rFonts w:ascii="Times New Roman" w:hAnsi="Times New Roman" w:cs="Times New Roman"/>
        </w:rPr>
        <w:t>(Felbermayr &amp; Teti, 2023)</w:t>
      </w:r>
      <w:r w:rsidR="005D5EA1" w:rsidRPr="00D868ED">
        <w:rPr>
          <w:rFonts w:ascii="Times New Roman" w:hAnsi="Times New Roman"/>
          <w:kern w:val="0"/>
          <w14:ligatures w14:val="none"/>
        </w:rPr>
        <w:fldChar w:fldCharType="end"/>
      </w:r>
      <w:r w:rsidRPr="00D868ED">
        <w:rPr>
          <w:rFonts w:ascii="Times New Roman" w:hAnsi="Times New Roman"/>
          <w:kern w:val="0"/>
          <w14:ligatures w14:val="none"/>
        </w:rPr>
        <w:t xml:space="preserve">. Similarly, the limited role of historical ties aligns with evidence that inherited trade relationships decay after political separation </w:t>
      </w:r>
      <w:r w:rsidR="005D5EA1" w:rsidRPr="00D868ED">
        <w:rPr>
          <w:rFonts w:ascii="Times New Roman" w:hAnsi="Times New Roman"/>
          <w:kern w:val="0"/>
          <w14:ligatures w14:val="none"/>
        </w:rPr>
        <w:fldChar w:fldCharType="begin"/>
      </w:r>
      <w:r w:rsidR="003E5F69" w:rsidRPr="00D868ED">
        <w:rPr>
          <w:rFonts w:ascii="Times New Roman" w:hAnsi="Times New Roman"/>
          <w:kern w:val="0"/>
          <w14:ligatures w14:val="none"/>
        </w:rPr>
        <w:instrText xml:space="preserve"> ADDIN ZOTERO_ITEM CSL_CITATION {"citationID":"a1q3871vtqk","properties":{"formattedCitation":"(Head et al., 2010)","plainCitation":"(Head et al., 2010)","noteIndex":0},"citationItems":[{"id":2384,"uris":["http://zotero.org/users/4604898/items/KEE9J49S"],"itemData":{"id":2384,"type":"article-journal","abstract":"Most independent nations today were part of empires in 1945. Using bilateral trade data from 1948 to 2006, we examine the effect of independence on post-colonial trade. While there is little short-run effect on trade, after four decades trade with the metropole (colonizer) has contracted by about 65%. Hostile separations lead to large, immediate reductions in trade. We also find that trade between former colonies of the same empire erodes as much as trade with the metropole, whereas trade with third countries decreases about 20%. The gradual trade deterioration following independence suggests the depreciation of some form of trading capital.","container-title":"Journal of International Economics","DOI":"10.1016/j.jinteco.2010.01.002","ISSN":"0022-1996","issue":"1","journalAbbreviation":"Journal of International Economics","page":"1-14","source":"ScienceDirect","title":"The erosion of colonial trade linkages after independence","volume":"81","author":[{"family":"Head","given":"Keith"},{"family":"Mayer","given":"Thierry"},{"family":"Ries","given":"John"}],"issued":{"date-parts":[["2010",5,1]]}}}],"schema":"https://github.com/citation-style-language/schema/raw/master/csl-citation.json"} </w:instrText>
      </w:r>
      <w:r w:rsidR="005D5EA1" w:rsidRPr="00D868ED">
        <w:rPr>
          <w:rFonts w:ascii="Times New Roman" w:hAnsi="Times New Roman"/>
          <w:kern w:val="0"/>
          <w14:ligatures w14:val="none"/>
        </w:rPr>
        <w:fldChar w:fldCharType="separate"/>
      </w:r>
      <w:r w:rsidR="008C4601" w:rsidRPr="00D868ED">
        <w:rPr>
          <w:rFonts w:ascii="Times New Roman" w:hAnsi="Times New Roman" w:cs="Times New Roman"/>
        </w:rPr>
        <w:t>(Head et al., 2010)</w:t>
      </w:r>
      <w:r w:rsidR="005D5EA1" w:rsidRPr="00D868ED">
        <w:rPr>
          <w:rFonts w:ascii="Times New Roman" w:hAnsi="Times New Roman"/>
          <w:kern w:val="0"/>
          <w14:ligatures w14:val="none"/>
        </w:rPr>
        <w:fldChar w:fldCharType="end"/>
      </w:r>
    </w:p>
    <w:p w14:paraId="633EE4F7" w14:textId="21F39853" w:rsidR="00FE657A" w:rsidRPr="00D868ED" w:rsidRDefault="00FE657A" w:rsidP="00CE5C32">
      <w:pPr>
        <w:bidi w:val="0"/>
        <w:spacing w:after="120" w:line="288" w:lineRule="auto"/>
        <w:jc w:val="both"/>
        <w:rPr>
          <w:rFonts w:ascii="Times New Roman" w:hAnsi="Times New Roman"/>
          <w:kern w:val="0"/>
          <w14:ligatures w14:val="none"/>
        </w:rPr>
      </w:pPr>
      <w:r w:rsidRPr="00D868ED">
        <w:rPr>
          <w:rFonts w:ascii="Times New Roman" w:hAnsi="Times New Roman"/>
          <w:kern w:val="0"/>
          <w14:ligatures w14:val="none"/>
        </w:rPr>
        <w:t>Institutional effects differ sharply. Joint EU membership is the most robust and economically significant determinant of trade. Its coefficient is consistently positive, large, and highly significant across all estimators. This supports the literature on deep integration, where agreements involving regulatory harmonization and legal convergence generate large trade effects</w:t>
      </w:r>
      <w:r w:rsidR="005D5EA1" w:rsidRPr="00D868ED">
        <w:rPr>
          <w:rFonts w:ascii="Times New Roman" w:hAnsi="Times New Roman"/>
          <w:kern w:val="0"/>
          <w14:ligatures w14:val="none"/>
        </w:rPr>
        <w:t xml:space="preserve"> </w:t>
      </w:r>
      <w:r w:rsidR="005D5EA1" w:rsidRPr="00D868ED">
        <w:rPr>
          <w:rFonts w:ascii="Times New Roman" w:hAnsi="Times New Roman"/>
          <w:kern w:val="0"/>
          <w14:ligatures w14:val="none"/>
        </w:rPr>
        <w:fldChar w:fldCharType="begin"/>
      </w:r>
      <w:r w:rsidR="003E5F69" w:rsidRPr="00D868ED">
        <w:rPr>
          <w:rFonts w:ascii="Times New Roman" w:hAnsi="Times New Roman"/>
          <w:kern w:val="0"/>
          <w14:ligatures w14:val="none"/>
        </w:rPr>
        <w:instrText xml:space="preserve"> ADDIN ZOTERO_ITEM CSL_CITATION {"citationID":"a17gdbjra2b","properties":{"formattedCitation":"(Baier et al., 2014; Larch, Wanner, et al., 2019)","plainCitation":"(Baier et al., 2014; Larch, Wanner, et al., 2019)","noteIndex":0},"citationItems":[{"id":2339,"uris":["http://zotero.org/users/4604898/items/RWCYL78E"],"itemData":{"id":2339,"type":"article-journal","abstract":"One of the main policy sources of trade–cost changes is the formation of an economic integration agreement (EIA), which potentially affects an importing country's welfare. This paper: (i) provides the first evidence using gravity equations of both intensive and extensive (goods) margins being affected by EIAs employing a panel data set with a large number of country pairs, product categories, and EIAs from 1962 to 2000; (ii) provides the first evidence of the differential (partial) effects of various “types” of EIAs on these intensive and extensive margins of trade; and (iii) finds a novel differential “timing” of the two margins' (partial) effects with intensive-margin effects occurring sooner than extensive-margin effects, consistent with recent theoretical predictions. The results are robust to correcting for potential sample-selection, firm-heterogeneity, and reverse causality biases.","container-title":"Journal of International Economics","DOI":"10.1016/j.jinteco.2014.03.005","ISSN":"0022-1996","issue":"2","journalAbbreviation":"Journal of International Economics","page":"339-350","source":"ScienceDirect","title":"Economic integration agreements and the margins of international trade","volume":"93","author":[{"family":"Baier","given":"Scott L."},{"family":"Bergstrand","given":"Jeffrey H."},{"family":"Feng","given":"Michael"}],"issued":{"date-parts":[["2014",7,1]]}}},{"id":2214,"uris":["http://zotero.org/users/4604898/items/ANDF49SI"],"itemData":{"id":2214,"type":"article-journal","abstract":"Recent work on the effects of currency unions (CUs) on trade stresses the importance of using many countries and years in order to obtain reliable estimates. However, for large samples, computational issues associated with the three-way (exporter-time, importer-time, and country pair) fixed effects currently recommended in the gravity literature have heretofore limited the choice of estimator, leaving an important methodological gap. To address this gap, we introduce an iterative poisson pseudo-maximum likelihood (PPML) estimation procedure that facilitates the inclusion of these fixed effects for large data sets and also allows for correlated errors across countries and time. When applied to a comprehensive sample with more than 200 countries trading over 65 years, these innovations flip the conclusions of an otherwise rigorously specified linear model. Most importantly, our estimates for both the overall CU effect and the Euro effect specifically are economically small and statistically insignificant. We also document that linear and PPML estimates of the Euro effect increasingly diverge as the sample size grows.","container-title":"Oxford Bulletin of Economics and Statistics","DOI":"10.1111/obes.12283","ISSN":"1468-0084","issue":"3","language":"en","license":"© 2018 The Department of Economics, University of Oxford and John Wiley &amp; Sons Ltd","note":"_eprint: https://onlinelibrary.wiley.com/doi/pdf/10.1111/obes.12283","page":"487-510","source":"Wiley Online Library","title":"Currency Unions and Trade: A PPML Re-assessment with High-dimensional Fixed Effects","title-short":"Currency Unions and Trade","volume":"81","author":[{"family":"Larch","given":"Mario"},{"family":"Wanner","given":"Joschka"},{"family":"Yotov","given":"Yoto V."},{"family":"Zylkin","given":"Thomas"}],"issued":{"date-parts":[["2019"]]}}}],"schema":"https://github.com/citation-style-language/schema/raw/master/csl-citation.json"} </w:instrText>
      </w:r>
      <w:r w:rsidR="005D5EA1" w:rsidRPr="00D868ED">
        <w:rPr>
          <w:rFonts w:ascii="Times New Roman" w:hAnsi="Times New Roman"/>
          <w:kern w:val="0"/>
          <w14:ligatures w14:val="none"/>
        </w:rPr>
        <w:fldChar w:fldCharType="separate"/>
      </w:r>
      <w:r w:rsidR="008C4601" w:rsidRPr="00D868ED">
        <w:rPr>
          <w:rFonts w:ascii="Times New Roman" w:hAnsi="Times New Roman" w:cs="Times New Roman"/>
        </w:rPr>
        <w:t>(Baier et al., 2014; Larch, Wanner, et al., 2019)</w:t>
      </w:r>
      <w:r w:rsidR="005D5EA1" w:rsidRPr="00D868ED">
        <w:rPr>
          <w:rFonts w:ascii="Times New Roman" w:hAnsi="Times New Roman"/>
          <w:kern w:val="0"/>
          <w14:ligatures w14:val="none"/>
        </w:rPr>
        <w:fldChar w:fldCharType="end"/>
      </w:r>
      <w:r w:rsidR="00696B3E" w:rsidRPr="00D868ED">
        <w:rPr>
          <w:rFonts w:ascii="Times New Roman" w:hAnsi="Times New Roman"/>
          <w:kern w:val="0"/>
          <w14:ligatures w14:val="none"/>
        </w:rPr>
        <w:t xml:space="preserve">. </w:t>
      </w:r>
      <w:r w:rsidRPr="00D868ED">
        <w:rPr>
          <w:rFonts w:ascii="Times New Roman" w:hAnsi="Times New Roman"/>
          <w:kern w:val="0"/>
          <w14:ligatures w14:val="none"/>
        </w:rPr>
        <w:t>In contrast, the WTO effect is specification-dependent. Its sign and significance vary across estimators, reflecting sensitivity to model structure. This is consistent with the literature, where early studies find weak effects</w:t>
      </w:r>
      <w:r w:rsidR="005D5EA1" w:rsidRPr="00D868ED">
        <w:rPr>
          <w:rFonts w:ascii="Times New Roman" w:hAnsi="Times New Roman"/>
          <w:kern w:val="0"/>
          <w14:ligatures w14:val="none"/>
        </w:rPr>
        <w:t xml:space="preserve">, </w:t>
      </w:r>
      <w:r w:rsidRPr="00D868ED">
        <w:rPr>
          <w:rFonts w:ascii="Times New Roman" w:hAnsi="Times New Roman"/>
          <w:kern w:val="0"/>
          <w14:ligatures w14:val="none"/>
        </w:rPr>
        <w:t xml:space="preserve">while later structural gravity approaches identify positive but heterogeneous impacts </w:t>
      </w:r>
      <w:r w:rsidR="00553084" w:rsidRPr="00D868ED">
        <w:rPr>
          <w:rFonts w:ascii="Times New Roman" w:hAnsi="Times New Roman"/>
          <w:kern w:val="0"/>
          <w14:ligatures w14:val="none"/>
        </w:rPr>
        <w:fldChar w:fldCharType="begin"/>
      </w:r>
      <w:r w:rsidR="003E5F69" w:rsidRPr="00D868ED">
        <w:rPr>
          <w:rFonts w:ascii="Times New Roman" w:hAnsi="Times New Roman"/>
          <w:kern w:val="0"/>
          <w14:ligatures w14:val="none"/>
        </w:rPr>
        <w:instrText xml:space="preserve"> ADDIN ZOTERO_ITEM CSL_CITATION {"citationID":"a2o164r42p4","properties":{"formattedCitation":"(Subramanian &amp; Wei, 2007; Tomz et al., 2007)","plainCitation":"(Subramanian &amp; Wei, 2007; Tomz et al., 2007)","noteIndex":0},"citationItems":[{"id":1935,"uris":["http://zotero.org/users/4604898/items/RGSQLPMN"],"itemData":{"id":1935,"type":"article-journal","abstract":"This paper furnishes robust evidence that the WTO has had a strong positive impact on trade, amounting to about 120% of additional world trade (or US$ 8 trillion in 2000 alone). The impact has, however, been uneven. This, in many ways, is consistent with theoretical models of the GATT/WTO. The theory suggests that the impact of a country's membership in the GATT/WTO depends on what the country does with its membership, with whom it negotiates, and which products the negotiation covers. Using a properly specified gravity model, we find evidence broadly consistent with these predictions. First, industrial countries that participated more actively than developing countries in reciprocal trade negotiations witnessed a large increase in trade. Second, bilateral trade was greater when both partners undertook liberalization than when only one partner did. Third, sectors that did not witness liberalization did not see an increase in trade.","container-title":"Journal of International Economics","DOI":"10.1016/j.jinteco.2006.07.007","ISSN":"0022-1996","issue":"1","journalAbbreviation":"Journal of International Economics","page":"151-175","source":"ScienceDirect","title":"The WTO promotes trade, strongly but unevenly","volume":"72","author":[{"family":"Subramanian","given":"Arvind"},{"family":"Wei","given":"Shang-Jin"}],"issued":{"date-parts":[["2007",5,1]]}}},{"id":2369,"uris":["http://zotero.org/users/4604898/items/TL7M7CEG"],"itemData":{"id":2369,"type":"article-journal","container-title":"American Economic Review","DOI":"10.1257/aer.97.5.2005","ISSN":"0002-8282","issue":"5","language":"en","page":"2005-2018","source":"www.aeaweb.org","title":"Do We Really Know That the WTO Increases Trade? Comment","title-short":"Do We Really Know That the WTO Increases Trade?","volume":"97","author":[{"family":"Tomz","given":"Michael"},{"family":"Goldstein","given":"Judith L."},{"family":"Rivers","given":"Douglas"}],"issued":{"date-parts":[["2007",12]]}}}],"schema":"https://github.com/citation-style-language/schema/raw/master/csl-citation.json"} </w:instrText>
      </w:r>
      <w:r w:rsidR="00553084" w:rsidRPr="00D868ED">
        <w:rPr>
          <w:rFonts w:ascii="Times New Roman" w:hAnsi="Times New Roman"/>
          <w:kern w:val="0"/>
          <w14:ligatures w14:val="none"/>
        </w:rPr>
        <w:fldChar w:fldCharType="separate"/>
      </w:r>
      <w:r w:rsidR="008C4601" w:rsidRPr="00D868ED">
        <w:rPr>
          <w:rFonts w:ascii="Times New Roman" w:hAnsi="Times New Roman" w:cs="Times New Roman"/>
        </w:rPr>
        <w:t>(Subramanian &amp; Wei, 2007; Tomz et al., 2007)</w:t>
      </w:r>
      <w:r w:rsidR="00553084" w:rsidRPr="00D868ED">
        <w:rPr>
          <w:rFonts w:ascii="Times New Roman" w:hAnsi="Times New Roman"/>
          <w:kern w:val="0"/>
          <w14:ligatures w14:val="none"/>
        </w:rPr>
        <w:fldChar w:fldCharType="end"/>
      </w:r>
      <w:r w:rsidRPr="00D868ED">
        <w:rPr>
          <w:rFonts w:ascii="Times New Roman" w:hAnsi="Times New Roman"/>
          <w:kern w:val="0"/>
          <w14:ligatures w14:val="none"/>
        </w:rPr>
        <w:t>. The results suggest that WTO membership alone does not generate a robust intra-regional trade effect once deeper integration is accounted for.</w:t>
      </w:r>
      <w:r w:rsidR="00322E0A" w:rsidRPr="00D868ED">
        <w:rPr>
          <w:rFonts w:ascii="Times New Roman" w:hAnsi="Times New Roman"/>
          <w:kern w:val="0"/>
          <w14:ligatures w14:val="none"/>
        </w:rPr>
        <w:t xml:space="preserve"> </w:t>
      </w:r>
      <w:r w:rsidRPr="00D868ED">
        <w:rPr>
          <w:rFonts w:ascii="Times New Roman" w:hAnsi="Times New Roman"/>
          <w:kern w:val="0"/>
          <w14:ligatures w14:val="none"/>
        </w:rPr>
        <w:t>The EAEU effect is positive</w:t>
      </w:r>
      <w:r w:rsidR="00D50AB6">
        <w:rPr>
          <w:rFonts w:ascii="Times New Roman" w:hAnsi="Times New Roman"/>
          <w:kern w:val="0"/>
          <w14:ligatures w14:val="none"/>
        </w:rPr>
        <w:t>,</w:t>
      </w:r>
      <w:r w:rsidRPr="00D868ED">
        <w:rPr>
          <w:rFonts w:ascii="Times New Roman" w:hAnsi="Times New Roman"/>
          <w:kern w:val="0"/>
          <w14:ligatures w14:val="none"/>
        </w:rPr>
        <w:t xml:space="preserve"> but </w:t>
      </w:r>
      <w:r w:rsidR="00D50AB6">
        <w:rPr>
          <w:rFonts w:ascii="Times New Roman" w:hAnsi="Times New Roman"/>
          <w:kern w:val="0"/>
          <w14:ligatures w14:val="none"/>
        </w:rPr>
        <w:t xml:space="preserve">its </w:t>
      </w:r>
      <w:r w:rsidR="001F1A01" w:rsidRPr="00D868ED">
        <w:rPr>
          <w:rFonts w:ascii="Times New Roman" w:hAnsi="Times New Roman"/>
          <w:kern w:val="0"/>
          <w14:ligatures w14:val="none"/>
        </w:rPr>
        <w:t>impact is less visible</w:t>
      </w:r>
      <w:r w:rsidRPr="00D868ED">
        <w:rPr>
          <w:rFonts w:ascii="Times New Roman" w:hAnsi="Times New Roman"/>
          <w:kern w:val="0"/>
          <w14:ligatures w14:val="none"/>
        </w:rPr>
        <w:t>. It appears in fixed-effects, PPML, and GPML estimations, but weakens in normalized specifications. This suggests that Eurasian integration contributes to trade, although its impact is more modest and less consistent than that of the EU. This finding aligns with recent evidence showing uneven gains across member states</w:t>
      </w:r>
      <w:r w:rsidR="003109BF" w:rsidRPr="00D868ED">
        <w:rPr>
          <w:rFonts w:ascii="Times New Roman" w:hAnsi="Times New Roman"/>
          <w:kern w:val="0"/>
          <w14:ligatures w14:val="none"/>
        </w:rPr>
        <w:t xml:space="preserve"> </w:t>
      </w:r>
      <w:r w:rsidR="00B22F05" w:rsidRPr="00D868ED">
        <w:rPr>
          <w:rFonts w:ascii="Times New Roman" w:hAnsi="Times New Roman"/>
          <w:kern w:val="0"/>
          <w14:ligatures w14:val="none"/>
        </w:rPr>
        <w:fldChar w:fldCharType="begin"/>
      </w:r>
      <w:r w:rsidR="00B22F05" w:rsidRPr="00D868ED">
        <w:rPr>
          <w:rFonts w:ascii="Times New Roman" w:hAnsi="Times New Roman"/>
          <w:kern w:val="0"/>
          <w14:ligatures w14:val="none"/>
        </w:rPr>
        <w:instrText xml:space="preserve"> ADDIN ZOTERO_ITEM CSL_CITATION {"citationID":"a2l0ke0ies2","properties":{"formattedCitation":"(Bekbolotova et al., 2025)","plainCitation":"(Bekbolotova et al., 2025)","noteIndex":0},"citationItems":[{"id":2349,"uris":["http://zotero.org/users/4604898/items/AA9MILRV"],"itemData":{"id":2349,"type":"article-journal","abstract":"The debate over economic integration and its effect on small economies remains a contested issue. While economic unions can foster trade creation and growth, they also pose risks of trade diversion and unequal gains. These concerns are particularly relevant for small post-Soviet economies yet remain understudied. This study examines the impact of Armenia’s and Kyrgyzstan’s accession to the Eurasian Economic Union (EAEU) on their trade using a Dynamic Multilevel Model with a Latent Factor term. The findings indicate that EAEU membership increased aggregate exports in both countries, with stronger effects in Armenia. Armenia also experienced a significant rise in agri-food exports, while Kyrgyzstan’s agri-food imports declined. No definitive effects were found for aggregate imports, Kyrgyzstan’s agri-food exports, or Armenia’s agri-food imports. We attribute these variations in trade gains to persistent intra-union trade barriers, new external trade restrictions, and differences in the structural composition of exports. The study contributes to the limited literature on post-Soviet economic integration, employing a Bayesian quasi-experimental approach to enhance causal inference. By analyzing the EAEU’s impact on Armenia and Kyrgyzstan, we provide insights into the trade-offs of regional integration for small economies facing increased market access and evolving trade barriers.","container-title":"Eurasian Geography and Economics","DOI":"10.1080/15387216.2025.2475904","ISSN":"1538-7216","issue":"0","note":"_eprint: https://doi.org/10.1080/15387216.2025.2475904","page":"1-29","publisher":"Routledge","source":"Taylor and Francis+NEJM","title":"How does regional economic integration impact trade in small economies? Evidence from Armenia and Kyrgyzstan’s EAEU accession","title-short":"How does regional economic integration impact trade in small economies?","volume":"0","author":[{"family":"Bekbolotova","given":"Salima"},{"family":"Djanibekov","given":"Nodir"},{"family":"Herzfeld","given":"Thomas"}],"issued":{"date-parts":[["2025",3,12]]}}}],"schema":"https://github.com/citation-style-language/schema/raw/master/csl-citation.json"} </w:instrText>
      </w:r>
      <w:r w:rsidR="00B22F05" w:rsidRPr="00D868ED">
        <w:rPr>
          <w:rFonts w:ascii="Times New Roman" w:hAnsi="Times New Roman"/>
          <w:kern w:val="0"/>
          <w14:ligatures w14:val="none"/>
        </w:rPr>
        <w:fldChar w:fldCharType="separate"/>
      </w:r>
      <w:r w:rsidR="00B22F05" w:rsidRPr="00D868ED">
        <w:rPr>
          <w:rFonts w:ascii="Times New Roman" w:hAnsi="Times New Roman" w:cs="Times New Roman"/>
        </w:rPr>
        <w:t>(Bekbolotova et al., 2025)</w:t>
      </w:r>
      <w:r w:rsidR="00B22F05" w:rsidRPr="00D868ED">
        <w:rPr>
          <w:rFonts w:ascii="Times New Roman" w:hAnsi="Times New Roman"/>
          <w:kern w:val="0"/>
          <w14:ligatures w14:val="none"/>
        </w:rPr>
        <w:fldChar w:fldCharType="end"/>
      </w:r>
      <w:r w:rsidR="00B22F05" w:rsidRPr="00D868ED">
        <w:rPr>
          <w:rFonts w:ascii="Times New Roman" w:hAnsi="Times New Roman"/>
          <w:kern w:val="0"/>
          <w14:ligatures w14:val="none"/>
        </w:rPr>
        <w:t xml:space="preserve"> </w:t>
      </w:r>
      <w:r w:rsidR="00301426" w:rsidRPr="001841B4">
        <w:rPr>
          <w:rFonts w:ascii="Times New Roman" w:hAnsi="Times New Roman"/>
          <w:kern w:val="0"/>
          <w:highlight w:val="yellow"/>
          <w14:ligatures w14:val="none"/>
        </w:rPr>
        <w:t>as well as evidence of heterogeneous public perceptions of the EAEU across member countries</w:t>
      </w:r>
      <w:r w:rsidR="00301426" w:rsidRPr="00301426">
        <w:rPr>
          <w:rFonts w:ascii="Times New Roman" w:hAnsi="Times New Roman"/>
          <w:kern w:val="0"/>
          <w14:ligatures w14:val="none"/>
        </w:rPr>
        <w:t xml:space="preserve"> </w:t>
      </w:r>
      <w:r w:rsidR="00F02BF1" w:rsidRPr="00D868ED">
        <w:rPr>
          <w:rFonts w:ascii="Times New Roman" w:hAnsi="Times New Roman"/>
          <w:kern w:val="0"/>
          <w14:ligatures w14:val="none"/>
        </w:rPr>
        <w:fldChar w:fldCharType="begin"/>
      </w:r>
      <w:r w:rsidR="00F02BF1" w:rsidRPr="00D868ED">
        <w:rPr>
          <w:rFonts w:ascii="Times New Roman" w:hAnsi="Times New Roman"/>
          <w:kern w:val="0"/>
          <w14:ligatures w14:val="none"/>
        </w:rPr>
        <w:instrText xml:space="preserve"> ADDIN ZOTERO_ITEM CSL_CITATION {"citationID":"uiWtpIAr","properties":{"formattedCitation":"(Arynov &amp; Takenov, 2026)","plainCitation":"(Arynov &amp; Takenov, 2026)","noteIndex":0},"citationItems":[{"id":2409,"uris":["http://zotero.org/users/4604898/items/M7PQJ34V"],"itemData":{"id":2409,"type":"article-journal","abstract":"Since its launch in 2015, the Eurasian Economic Union (EAEU) has attracted growing scholarly attention, yet public attitudes toward this elite-driven regional organization remain underexplored. This article argues that public perceptions matter for the legitimacy of international organizations even in authoritarian settings. Focusing on Armenia, Kazakhstan, and Kyrgyzstan, it examines how the EAEU is perceived a decade after its establishment, which factors shape these perceptions, and how they vary across countries. The analysis draws on original focus group discussions conducted in all three cases, complemented by secondary survey data. The findings show a steady decline in public support for the EAEU, with skepticism outweighing perceived benefits. Concerns over economic costs, unfair practices, and threats to national sovereignty dominate, producing divided preferences between withdrawal and “stay and reform.” While core narratives are similar across cases, their salience differs, with criticism strongest in Kazakhstan, weakest in Kyrgyzstan, and intermediate in Armenia.","container-title":"Eurasian Geography and Economics","DOI":"10.1080/15387216.2026.2633276","ISSN":"1538-7216","issue":"0","note":"_eprint: https://doi.org/10.1080/15387216.2026.2633276","page":"1-23","publisher":"Routledge","source":"Taylor and Francis+NEJM","title":"The Eurasian Economic Union (EAEU) after a decade: public perception in Armenia, Kazakhstan, and Kyrgyzstan","title-short":"The Eurasian Economic Union (EAEU) after a decade","volume":"0","author":[{"family":"Arynov","given":"Zhanibek"},{"family":"Takenov","given":"Diyas"}],"issued":{"date-parts":[["2026",2,25]]}}}],"schema":"https://github.com/citation-style-language/schema/raw/master/csl-citation.json"} </w:instrText>
      </w:r>
      <w:r w:rsidR="00F02BF1" w:rsidRPr="00D868ED">
        <w:rPr>
          <w:rFonts w:ascii="Times New Roman" w:hAnsi="Times New Roman"/>
          <w:kern w:val="0"/>
          <w14:ligatures w14:val="none"/>
        </w:rPr>
        <w:fldChar w:fldCharType="separate"/>
      </w:r>
      <w:r w:rsidR="00F02BF1" w:rsidRPr="00D868ED">
        <w:rPr>
          <w:rFonts w:ascii="Times New Roman" w:hAnsi="Times New Roman" w:cs="Times New Roman"/>
        </w:rPr>
        <w:t>(Arynov &amp; Takenov, 2026)</w:t>
      </w:r>
      <w:r w:rsidR="00F02BF1" w:rsidRPr="00D868ED">
        <w:rPr>
          <w:rFonts w:ascii="Times New Roman" w:hAnsi="Times New Roman"/>
          <w:kern w:val="0"/>
          <w14:ligatures w14:val="none"/>
        </w:rPr>
        <w:fldChar w:fldCharType="end"/>
      </w:r>
      <w:r w:rsidR="0074443D" w:rsidRPr="00D868ED">
        <w:rPr>
          <w:rFonts w:ascii="Times New Roman" w:hAnsi="Times New Roman"/>
          <w:kern w:val="0"/>
          <w14:ligatures w14:val="none"/>
        </w:rPr>
        <w:t xml:space="preserve">. </w:t>
      </w:r>
    </w:p>
    <w:p w14:paraId="7EE2B3F7" w14:textId="77777777" w:rsidR="00FE657A" w:rsidRPr="00D868ED" w:rsidRDefault="00FE657A" w:rsidP="00CE5C32">
      <w:pPr>
        <w:bidi w:val="0"/>
        <w:spacing w:after="120" w:line="288" w:lineRule="auto"/>
        <w:jc w:val="both"/>
        <w:rPr>
          <w:rFonts w:ascii="Times New Roman" w:hAnsi="Times New Roman"/>
          <w:b/>
          <w:bCs/>
          <w:kern w:val="0"/>
          <w14:ligatures w14:val="none"/>
        </w:rPr>
      </w:pPr>
      <w:r w:rsidRPr="00D868ED">
        <w:rPr>
          <w:rFonts w:ascii="Times New Roman" w:hAnsi="Times New Roman"/>
          <w:b/>
          <w:bCs/>
          <w:kern w:val="0"/>
          <w14:ligatures w14:val="none"/>
        </w:rPr>
        <w:t>6.2 Structural features and policy implications</w:t>
      </w:r>
    </w:p>
    <w:p w14:paraId="083A89AF" w14:textId="611C755C" w:rsidR="00FE657A" w:rsidRPr="00D868ED" w:rsidRDefault="00FE657A" w:rsidP="00CE5C32">
      <w:pPr>
        <w:bidi w:val="0"/>
        <w:spacing w:after="120" w:line="288" w:lineRule="auto"/>
        <w:jc w:val="both"/>
        <w:rPr>
          <w:rFonts w:ascii="Times New Roman" w:hAnsi="Times New Roman"/>
          <w:kern w:val="0"/>
          <w14:ligatures w14:val="none"/>
        </w:rPr>
      </w:pPr>
      <w:r w:rsidRPr="00D868ED">
        <w:rPr>
          <w:rFonts w:ascii="Times New Roman" w:hAnsi="Times New Roman"/>
          <w:kern w:val="0"/>
          <w14:ligatures w14:val="none"/>
        </w:rPr>
        <w:t xml:space="preserve">The results reveal several structural characteristics of post-Soviet trade. First, the region remains asymmetric, with large economies playing a dominant role. This is consistent with evidence that Russia continues to function as a central node, although its relative influence has evolved over time </w:t>
      </w:r>
      <w:r w:rsidR="00D74FD9" w:rsidRPr="00D868ED">
        <w:rPr>
          <w:rFonts w:ascii="Times New Roman" w:hAnsi="Times New Roman"/>
          <w:kern w:val="0"/>
          <w14:ligatures w14:val="none"/>
        </w:rPr>
        <w:fldChar w:fldCharType="begin"/>
      </w:r>
      <w:r w:rsidR="00F91D14" w:rsidRPr="00D868ED">
        <w:rPr>
          <w:rFonts w:ascii="Times New Roman" w:hAnsi="Times New Roman"/>
          <w:kern w:val="0"/>
          <w14:ligatures w14:val="none"/>
        </w:rPr>
        <w:instrText xml:space="preserve"> ADDIN ZOTERO_ITEM CSL_CITATION {"citationID":"a2ikdvhg1rs","properties":{"formattedCitation":"(Mazhikeyev &amp; Edwards, 2021)","plainCitation":"(Mazhikeyev &amp; Edwards, 2021)","noteIndex":0},"citationItems":[{"id":2398,"uris":["http://zotero.org/users/4604898/items/6AGBZYB8"],"itemData":{"id":2398,"type":"article-journal","abstract":"We examine the developments in trade patterns between the former Soviet republics in the years following the initial breakup shock. After a huge fall following the Soviet breakup of the early 1990s, Commonwealth of Independent States (CIS) trade with Russia began improving, and there have been recent formal efforts at Eurasian Economic Integration. This might be taken, a priori, as contrary to the hypothesis of gradual decline in Head, Mayer and Ries (HMR in J Int Econ 81(1):1–14, 2010)—or perhaps as evidence of the power of restored trade agreements, such as the incipient Eurasian Economic Union. We decompose the region’s trade into theory-consistent ‘gravity’ components, in order to analyze dynamic changes in the components since the Soviet era. Despite the sharp falls after 1991, trade in 1995 still shows strong ties, consistent with high dyadic (country pair) components linked to trade specialization. By contrast, in the second decade, the ties (dyads) began to weaken significantly and calibrated trade costs tend to rise, despite attempts at renewed integration. Rather, the sharp improvement in trade volumes was mainly due to the sharp recoveries in GDP levels for both Russia and many of the Central Asian Countries, associated with improvements in the global economy and economic ties with the World (especially with EU and China). We would therefore conclude that the recovery in trade between Russia and Central Asia reflects monadic factors (i.e., the regional economic recovery) and does not contradict the HMR (2010) hypothesis. Nevertheless, further, dynamic analysis shows that there are strong long-run ties within the CIS and Russia, which are not declining, and that sticky post-colonial adjustment does not appear set to eliminate the current bias of trade between these republics.","container-title":"Economic Change and Restructuring","DOI":"10.1007/s10644-020-09302-8","ISSN":"1574-0277","issue":"3","journalAbbreviation":"Econ Change Restruct","language":"en","page":"877-918","source":"Springer Link","title":"Post-colonial trade between Russia and former Soviet republics: back to big brother?","title-short":"Post-colonial trade between Russia and former Soviet republics","volume":"54","author":[{"family":"Mazhikeyev","given":"Arman"},{"family":"Edwards","given":"T. Huw"}],"issued":{"date-parts":[["2021",8,1]]}}}],"schema":"https://github.com/citation-style-language/schema/raw/master/csl-citation.json"} </w:instrText>
      </w:r>
      <w:r w:rsidR="00D74FD9" w:rsidRPr="00D868ED">
        <w:rPr>
          <w:rFonts w:ascii="Times New Roman" w:hAnsi="Times New Roman"/>
          <w:kern w:val="0"/>
          <w14:ligatures w14:val="none"/>
        </w:rPr>
        <w:fldChar w:fldCharType="separate"/>
      </w:r>
      <w:r w:rsidR="008C4601" w:rsidRPr="00D868ED">
        <w:rPr>
          <w:rFonts w:ascii="Times New Roman" w:hAnsi="Times New Roman" w:cs="Times New Roman"/>
        </w:rPr>
        <w:t>(Mazhikeyev &amp; Edwards, 2021)</w:t>
      </w:r>
      <w:r w:rsidR="00D74FD9" w:rsidRPr="00D868ED">
        <w:rPr>
          <w:rFonts w:ascii="Times New Roman" w:hAnsi="Times New Roman"/>
          <w:kern w:val="0"/>
          <w14:ligatures w14:val="none"/>
        </w:rPr>
        <w:fldChar w:fldCharType="end"/>
      </w:r>
      <w:r w:rsidRPr="00D868ED">
        <w:rPr>
          <w:rFonts w:ascii="Times New Roman" w:hAnsi="Times New Roman"/>
          <w:kern w:val="0"/>
          <w14:ligatures w14:val="none"/>
        </w:rPr>
        <w:t>.</w:t>
      </w:r>
      <w:r w:rsidR="005810E2" w:rsidRPr="00D868ED">
        <w:rPr>
          <w:rFonts w:ascii="Times New Roman" w:hAnsi="Times New Roman"/>
          <w:kern w:val="0"/>
          <w14:ligatures w14:val="none"/>
        </w:rPr>
        <w:t xml:space="preserve"> </w:t>
      </w:r>
      <w:r w:rsidRPr="00D868ED">
        <w:rPr>
          <w:rFonts w:ascii="Times New Roman" w:hAnsi="Times New Roman"/>
          <w:kern w:val="0"/>
          <w14:ligatures w14:val="none"/>
        </w:rPr>
        <w:t>Second, the region is institutionally fragmented. Countries are divided between EU integration, EAEU participation, and non-aligned positions. This fragmentation limits the emergence of a cohesive regional trade system and is consistent with evidence that Eurasian economies remain below their predicted integration potential</w:t>
      </w:r>
      <w:r w:rsidR="00D74FD9" w:rsidRPr="00D868ED">
        <w:rPr>
          <w:rFonts w:ascii="Times New Roman" w:hAnsi="Times New Roman"/>
          <w:kern w:val="0"/>
          <w14:ligatures w14:val="none"/>
        </w:rPr>
        <w:t xml:space="preserve"> </w:t>
      </w:r>
      <w:r w:rsidR="00D74FD9" w:rsidRPr="00D868ED">
        <w:rPr>
          <w:rFonts w:ascii="Times New Roman" w:hAnsi="Times New Roman"/>
          <w:kern w:val="0"/>
          <w14:ligatures w14:val="none"/>
        </w:rPr>
        <w:fldChar w:fldCharType="begin"/>
      </w:r>
      <w:r w:rsidR="00F91D14" w:rsidRPr="00D868ED">
        <w:rPr>
          <w:rFonts w:ascii="Times New Roman" w:hAnsi="Times New Roman"/>
          <w:kern w:val="0"/>
          <w14:ligatures w14:val="none"/>
        </w:rPr>
        <w:instrText xml:space="preserve"> ADDIN ZOTERO_ITEM CSL_CITATION {"citationID":"a2lfvfus4qu","properties":{"formattedCitation":"(Golovko &amp; Sahin, 2021)","plainCitation":"(Golovko &amp; Sahin, 2021)","noteIndex":0},"citationItems":[{"id":2300,"uris":["http://zotero.org/users/4604898/items/D2U5Q3YW"],"itemData":{"id":2300,"type":"article-journal","abstract":"The recent changes in world politics and economy, along with the breakup of the Iron Curtain, directly influenced the foreign trade structure of the Eurasian countries. The foreign trade relations, controlled by the central planning during the Union of Soviet Socialist Republics (USSR) era, began to be formed according to free-market conditions. In this paper, empirical gravity models, covering data of 86 countries for the 1994–2018 period, are used to determine factors affecting the international integration process of the Eurasian countries. For these purposes, we estimated the classical and augmented gravity models to scrutinize the effects of border, infrastructure, trade policies, and institutions, along with the main factors. Based on the estimation results, we concluded that the Eurasian countries during the analysis period were 35% less integrated with the world trade system than the predicted potential level.","container-title":"Eurasian Economic Review","DOI":"10.1007/s40822-021-00168-3","ISSN":"2147-429X","issue":"3","journalAbbreviation":"Eurasian Econ Rev","language":"en","page":"519-548","source":"Springer Link","title":"Analysis of international trade integration of Eurasian countries: gravity model approach","title-short":"Analysis of international trade integration of Eurasian countries","volume":"11","author":[{"family":"Golovko","given":"Anna"},{"family":"Sahin","given":"Hasan"}],"issued":{"date-parts":[["2021",9,1]]}}}],"schema":"https://github.com/citation-style-language/schema/raw/master/csl-citation.json"} </w:instrText>
      </w:r>
      <w:r w:rsidR="00D74FD9" w:rsidRPr="00D868ED">
        <w:rPr>
          <w:rFonts w:ascii="Times New Roman" w:hAnsi="Times New Roman"/>
          <w:kern w:val="0"/>
          <w14:ligatures w14:val="none"/>
        </w:rPr>
        <w:fldChar w:fldCharType="separate"/>
      </w:r>
      <w:r w:rsidR="008C4601" w:rsidRPr="00D868ED">
        <w:rPr>
          <w:rFonts w:ascii="Times New Roman" w:hAnsi="Times New Roman" w:cs="Times New Roman"/>
        </w:rPr>
        <w:t>(Golovko &amp; Sahin, 2021)</w:t>
      </w:r>
      <w:r w:rsidR="00D74FD9" w:rsidRPr="00D868ED">
        <w:rPr>
          <w:rFonts w:ascii="Times New Roman" w:hAnsi="Times New Roman"/>
          <w:kern w:val="0"/>
          <w14:ligatures w14:val="none"/>
        </w:rPr>
        <w:fldChar w:fldCharType="end"/>
      </w:r>
      <w:r w:rsidR="00800A53" w:rsidRPr="00D868ED">
        <w:rPr>
          <w:rFonts w:ascii="Times New Roman" w:hAnsi="Times New Roman"/>
          <w:kern w:val="0"/>
          <w14:ligatures w14:val="none"/>
        </w:rPr>
        <w:t xml:space="preserve">. </w:t>
      </w:r>
      <w:r w:rsidRPr="00D868ED">
        <w:rPr>
          <w:rFonts w:ascii="Times New Roman" w:hAnsi="Times New Roman"/>
          <w:kern w:val="0"/>
          <w14:ligatures w14:val="none"/>
        </w:rPr>
        <w:t>Third, historical ties play a limited role. Trade patterns are shaped primarily by economic size, geography, and institutional alignment. This confirms that historical linkages weaken over time without supporting institutions.</w:t>
      </w:r>
    </w:p>
    <w:p w14:paraId="49D73081" w14:textId="7D0333E3" w:rsidR="002E4B37" w:rsidRPr="00D868ED" w:rsidRDefault="00FE657A" w:rsidP="00CE5C32">
      <w:pPr>
        <w:bidi w:val="0"/>
        <w:spacing w:after="120" w:line="288" w:lineRule="auto"/>
        <w:jc w:val="both"/>
        <w:rPr>
          <w:rFonts w:ascii="Times New Roman" w:hAnsi="Times New Roman"/>
          <w:kern w:val="0"/>
          <w14:ligatures w14:val="none"/>
        </w:rPr>
      </w:pPr>
      <w:r w:rsidRPr="00D868ED">
        <w:rPr>
          <w:rFonts w:ascii="Times New Roman" w:hAnsi="Times New Roman"/>
          <w:kern w:val="0"/>
          <w14:ligatures w14:val="none"/>
        </w:rPr>
        <w:t>These findings lead to clear policy implications. The persistence of distance effects highlights the importance of reducing trade costs through infrastructure investment, logistics improvements, and trade facilitation. This is particularly important for landlocked economies.</w:t>
      </w:r>
      <w:r w:rsidR="00BB4477" w:rsidRPr="00D868ED">
        <w:rPr>
          <w:rFonts w:ascii="Times New Roman" w:hAnsi="Times New Roman"/>
          <w:kern w:val="0"/>
          <w14:ligatures w14:val="none"/>
        </w:rPr>
        <w:t xml:space="preserve"> </w:t>
      </w:r>
      <w:r w:rsidR="00015D20" w:rsidRPr="00D868ED">
        <w:rPr>
          <w:rFonts w:ascii="Times New Roman" w:hAnsi="Times New Roman"/>
          <w:kern w:val="0"/>
          <w14:ligatures w14:val="none"/>
        </w:rPr>
        <w:t>The contrast between EU and WTO coefficients suggests that deeper forms of institutional alignment are more strongly associated with observed intra-regional trade intensity than multilateral participation alone. However, because the analysis is restricted to intra-regional bilateral trade, these estimates should not be interpreted as evidence of net welfare gains. The framework does not capture possible trade diversion from extra-regional partners.</w:t>
      </w:r>
      <w:r w:rsidRPr="00D868ED">
        <w:rPr>
          <w:rFonts w:ascii="Times New Roman" w:hAnsi="Times New Roman"/>
          <w:kern w:val="0"/>
          <w14:ligatures w14:val="none"/>
        </w:rPr>
        <w:t xml:space="preserve"> </w:t>
      </w:r>
      <w:r w:rsidR="00015D20" w:rsidRPr="00D868ED">
        <w:rPr>
          <w:rFonts w:ascii="Times New Roman" w:hAnsi="Times New Roman"/>
          <w:kern w:val="0"/>
          <w14:ligatures w14:val="none"/>
        </w:rPr>
        <w:t>The EAEU results suggest a positive but less stable association with intra-regional trade, indicating that the trade relevance of regional integration depends on institutional quality, implementation, and country-specific conditions.</w:t>
      </w:r>
    </w:p>
    <w:p w14:paraId="5BAF9024" w14:textId="456F16F2" w:rsidR="00FE657A" w:rsidRPr="00D868ED" w:rsidRDefault="00FE657A" w:rsidP="00CE5C32">
      <w:pPr>
        <w:bidi w:val="0"/>
        <w:spacing w:after="120" w:line="288" w:lineRule="auto"/>
        <w:jc w:val="both"/>
        <w:rPr>
          <w:rFonts w:ascii="Times New Roman" w:hAnsi="Times New Roman"/>
          <w:kern w:val="0"/>
          <w14:ligatures w14:val="none"/>
        </w:rPr>
      </w:pPr>
      <w:r w:rsidRPr="00D868ED">
        <w:rPr>
          <w:rFonts w:ascii="Times New Roman" w:hAnsi="Times New Roman"/>
          <w:b/>
          <w:bCs/>
          <w:kern w:val="0"/>
          <w14:ligatures w14:val="none"/>
        </w:rPr>
        <w:t xml:space="preserve">6.3 Conclusion </w:t>
      </w:r>
    </w:p>
    <w:p w14:paraId="702A21F8" w14:textId="22EC48F6" w:rsidR="00FE657A" w:rsidRPr="00D868ED" w:rsidRDefault="00FE657A" w:rsidP="00CE5C32">
      <w:pPr>
        <w:bidi w:val="0"/>
        <w:spacing w:after="120" w:line="288" w:lineRule="auto"/>
        <w:jc w:val="both"/>
        <w:rPr>
          <w:rFonts w:ascii="Times New Roman" w:hAnsi="Times New Roman"/>
          <w:kern w:val="0"/>
          <w14:ligatures w14:val="none"/>
        </w:rPr>
      </w:pPr>
      <w:r w:rsidRPr="00D868ED">
        <w:rPr>
          <w:rFonts w:ascii="Times New Roman" w:hAnsi="Times New Roman"/>
          <w:kern w:val="0"/>
          <w14:ligatures w14:val="none"/>
        </w:rPr>
        <w:t>This study applies a structural gravity framework to bilateral trade among post-Soviet economies. The results confirm that economic size increases trade, while geographic distance reduces it</w:t>
      </w:r>
      <w:r w:rsidR="00B16656" w:rsidRPr="00D868ED">
        <w:rPr>
          <w:rFonts w:ascii="Times New Roman" w:hAnsi="Times New Roman"/>
          <w:kern w:val="0"/>
          <w14:ligatures w14:val="none"/>
        </w:rPr>
        <w:t xml:space="preserve">.  </w:t>
      </w:r>
      <w:r w:rsidRPr="00D868ED">
        <w:rPr>
          <w:rFonts w:ascii="Times New Roman" w:hAnsi="Times New Roman"/>
          <w:kern w:val="0"/>
          <w14:ligatures w14:val="none"/>
        </w:rPr>
        <w:t xml:space="preserve">Institutional effects are more nuanced. </w:t>
      </w:r>
      <w:r w:rsidRPr="009863E8">
        <w:rPr>
          <w:rFonts w:ascii="Times New Roman" w:hAnsi="Times New Roman"/>
          <w:kern w:val="0"/>
          <w:highlight w:val="yellow"/>
          <w14:ligatures w14:val="none"/>
        </w:rPr>
        <w:t>EU membership emerges as the most robust determinant of trade, reflecting the strong impact of deep integration</w:t>
      </w:r>
      <w:r w:rsidR="005209B9" w:rsidRPr="009863E8">
        <w:rPr>
          <w:rFonts w:ascii="Times New Roman" w:hAnsi="Times New Roman"/>
          <w:kern w:val="0"/>
          <w:highlight w:val="yellow"/>
          <w14:ligatures w14:val="none"/>
        </w:rPr>
        <w:t>.</w:t>
      </w:r>
      <w:r w:rsidR="00AF696D" w:rsidRPr="009863E8">
        <w:rPr>
          <w:rFonts w:ascii="Times New Roman" w:hAnsi="Times New Roman"/>
          <w:kern w:val="0"/>
          <w:highlight w:val="yellow"/>
          <w14:ligatures w14:val="none"/>
        </w:rPr>
        <w:t xml:space="preserve"> EAEU membership is also positively associated with trade in several specifications, although its effect is smaller and less stable than that of EU membership</w:t>
      </w:r>
      <w:r w:rsidR="009863E8" w:rsidRPr="009863E8">
        <w:rPr>
          <w:rFonts w:ascii="Times New Roman" w:hAnsi="Times New Roman"/>
          <w:kern w:val="0"/>
          <w:highlight w:val="yellow"/>
          <w14:ligatures w14:val="none"/>
        </w:rPr>
        <w:t>.</w:t>
      </w:r>
      <w:r w:rsidR="00FB6A8A" w:rsidRPr="00FB6A8A">
        <w:t xml:space="preserve"> </w:t>
      </w:r>
      <w:r w:rsidR="00FB6A8A" w:rsidRPr="00FB6A8A">
        <w:rPr>
          <w:rFonts w:ascii="Times New Roman" w:hAnsi="Times New Roman"/>
          <w:kern w:val="0"/>
          <w:highlight w:val="yellow"/>
          <w14:ligatures w14:val="none"/>
        </w:rPr>
        <w:t>WTO membership, by contrast, remains specification-sensitive and becomes statistically insignificant once time-varying multilateral resistance is controlled through exporter-year and importer-year fixed effects. This finding is consistent with recent structural gravity evidence emphasizing heterogeneity in institutional trade effects</w:t>
      </w:r>
      <w:r w:rsidR="00FB6A8A">
        <w:rPr>
          <w:rFonts w:ascii="Times New Roman" w:hAnsi="Times New Roman"/>
          <w:kern w:val="0"/>
          <w:highlight w:val="yellow"/>
          <w14:ligatures w14:val="none"/>
        </w:rPr>
        <w:t xml:space="preserve"> </w:t>
      </w:r>
      <w:r w:rsidR="00B91BB9" w:rsidRPr="009863E8">
        <w:rPr>
          <w:rFonts w:ascii="Times New Roman" w:hAnsi="Times New Roman"/>
          <w:kern w:val="0"/>
          <w:highlight w:val="yellow"/>
          <w14:ligatures w14:val="none"/>
        </w:rPr>
        <w:fldChar w:fldCharType="begin"/>
      </w:r>
      <w:r w:rsidR="008C4601" w:rsidRPr="009863E8">
        <w:rPr>
          <w:rFonts w:ascii="Times New Roman" w:hAnsi="Times New Roman"/>
          <w:kern w:val="0"/>
          <w:highlight w:val="yellow"/>
          <w14:ligatures w14:val="none"/>
        </w:rPr>
        <w:instrText xml:space="preserve"> ADDIN ZOTERO_ITEM CSL_CITATION {"citationID":"a13h3r5gphq","properties":{"formattedCitation":"(Larch &amp; Yotov, 2025)","plainCitation":"(Larch &amp; Yotov, 2025)","noteIndex":0},"citationItems":[{"id":2408,"uris":["http://zotero.org/users/4604898/items/H6WLIV2H"],"itemData":{"id":2408,"type":"article-journal","abstract":"This paper quantifies the relationships between deep trade agreements and foreign direct investment (FDI). The analysis relies on a structural framework that simultaneously enables (a) estimating the direct impact of deep trade agreements on FDI, (b) translating the partial deep trade agreement estimates into general equilibrium effects on FDI, and (c) obtaining partial deep trade agreement effects on trade and quantifying the impact of deep trade agreements on FDI through trade. The effects of deep trade agreements on both trade and FDI are sizeable, positive, and statistically significant. A counterfactual analysis suggests that together with direct and indirect channels deep trade agreements have contributed to a large but asymmetric increase in inward versus outward FDI.","container-title":"The World Bank Economic Review","DOI":"10.1093/wber/lhae031","ISSN":"0258-6770, 1564-698X","issue":"2","language":"en","license":"https://creativecommons.org/licenses/by/4.0/","page":"281-307","source":"DOI.org (Crossref)","title":"Deep Trade Agreements and FDI in Partial and General Equilibrium: A Structural Estimation Framework","title-short":"Deep Trade Agreements and FDI in Partial and General Equilibrium","volume":"39","author":[{"family":"Larch","given":"Mario"},{"family":"Yotov","given":"Yoto V"}],"issued":{"date-parts":[["2025",5,1]]}}}],"schema":"https://github.com/citation-style-language/schema/raw/master/csl-citation.json"} </w:instrText>
      </w:r>
      <w:r w:rsidR="00B91BB9" w:rsidRPr="009863E8">
        <w:rPr>
          <w:rFonts w:ascii="Times New Roman" w:hAnsi="Times New Roman"/>
          <w:kern w:val="0"/>
          <w:highlight w:val="yellow"/>
          <w14:ligatures w14:val="none"/>
        </w:rPr>
        <w:fldChar w:fldCharType="separate"/>
      </w:r>
      <w:r w:rsidR="008C4601" w:rsidRPr="009863E8">
        <w:rPr>
          <w:rFonts w:ascii="Times New Roman" w:hAnsi="Times New Roman" w:cs="Times New Roman"/>
          <w:kern w:val="0"/>
          <w:highlight w:val="yellow"/>
        </w:rPr>
        <w:t>(Larch &amp; Yotov, 2025)</w:t>
      </w:r>
      <w:r w:rsidR="00B91BB9" w:rsidRPr="009863E8">
        <w:rPr>
          <w:rFonts w:ascii="Times New Roman" w:hAnsi="Times New Roman"/>
          <w:kern w:val="0"/>
          <w:highlight w:val="yellow"/>
          <w14:ligatures w14:val="none"/>
        </w:rPr>
        <w:fldChar w:fldCharType="end"/>
      </w:r>
      <w:r w:rsidR="00B91BB9" w:rsidRPr="009863E8">
        <w:rPr>
          <w:rFonts w:ascii="Times New Roman" w:hAnsi="Times New Roman"/>
          <w:kern w:val="0"/>
          <w:highlight w:val="yellow"/>
          <w14:ligatures w14:val="none"/>
        </w:rPr>
        <w:t xml:space="preserve">. </w:t>
      </w:r>
      <w:r w:rsidR="001131A8" w:rsidRPr="009863E8">
        <w:rPr>
          <w:rFonts w:ascii="Times New Roman" w:hAnsi="Times New Roman"/>
          <w:kern w:val="0"/>
          <w:highlight w:val="yellow"/>
          <w14:ligatures w14:val="none"/>
        </w:rPr>
        <w:t xml:space="preserve"> </w:t>
      </w:r>
      <w:r w:rsidR="009863E8" w:rsidRPr="009863E8">
        <w:rPr>
          <w:rFonts w:ascii="Times New Roman" w:hAnsi="Times New Roman"/>
          <w:kern w:val="0"/>
          <w:highlight w:val="yellow"/>
          <w14:ligatures w14:val="none"/>
        </w:rPr>
        <w:t>The findings therefore support a more cautious interpretation: deep regional integration appears more strongly associated with intra-post-Soviet trade than multilateral institutional alignment alone.</w:t>
      </w:r>
    </w:p>
    <w:p w14:paraId="22B0AD22" w14:textId="79CCAB67" w:rsidR="00AE6898" w:rsidRPr="00D868ED" w:rsidRDefault="00CA78A8" w:rsidP="00CE5C32">
      <w:pPr>
        <w:bidi w:val="0"/>
        <w:jc w:val="both"/>
        <w:rPr>
          <w:rFonts w:ascii="Times New Roman" w:hAnsi="Times New Roman"/>
          <w:b/>
          <w:bCs/>
          <w:kern w:val="0"/>
          <w14:ligatures w14:val="none"/>
        </w:rPr>
      </w:pPr>
      <w:r w:rsidRPr="00CA78A8">
        <w:rPr>
          <w:rFonts w:ascii="Times New Roman" w:hAnsi="Times New Roman"/>
          <w:kern w:val="0"/>
          <w14:ligatures w14:val="none"/>
        </w:rPr>
        <w:t xml:space="preserve">A key strength of the study is the consistent application of a structural gravity framework using multiple estimators, including fixed effects, normalized gravity, PPML, GPML, </w:t>
      </w:r>
      <w:r w:rsidRPr="00CA78A8">
        <w:rPr>
          <w:rFonts w:ascii="Times New Roman" w:hAnsi="Times New Roman"/>
          <w:kern w:val="0"/>
          <w:highlight w:val="yellow"/>
          <w14:ligatures w14:val="none"/>
        </w:rPr>
        <w:t>and additional zero-inclusive PPML specifications. This allows for a comprehensive robustness assessment across alternative functional forms, variance assumptions, and fixed-effect structures. However, limitations remain. Institutional variables may be endogenous, and the use of aggregate trade flows limits causal interpretation. Although the extended analysis incorporates zero trade flows in additional PPML specifications, the results should still be interpreted as conditional associations rather than causal estimates. A further limitation is that the intra-regional design cannot identify trade diversion from extra-regional partners or net welfare effects. The estimated institutional coefficients therefore measure associations with intra-post-Soviet trade flows, not the overall welfare consequences of integration. Future research could extend the analysis to include extra-regional partners and evaluate whether observed intra-regional trade expansion reflects net trade creation or diversion from alternative suppliers.</w:t>
      </w:r>
      <w:r w:rsidR="00AE6898" w:rsidRPr="00D868ED">
        <w:rPr>
          <w:rFonts w:ascii="Times New Roman" w:hAnsi="Times New Roman"/>
          <w:b/>
          <w:bCs/>
          <w:kern w:val="0"/>
          <w14:ligatures w14:val="none"/>
        </w:rPr>
        <w:br w:type="page"/>
      </w:r>
    </w:p>
    <w:p w14:paraId="4404B28B" w14:textId="30F0D88F" w:rsidR="009E3F46" w:rsidRPr="00D868ED" w:rsidRDefault="009E3F46" w:rsidP="00CE5C32">
      <w:pPr>
        <w:bidi w:val="0"/>
        <w:rPr>
          <w:rFonts w:ascii="Times New Roman" w:hAnsi="Times New Roman"/>
          <w:b/>
          <w:bCs/>
          <w:kern w:val="0"/>
          <w14:ligatures w14:val="none"/>
        </w:rPr>
      </w:pPr>
      <w:r w:rsidRPr="00D868ED">
        <w:rPr>
          <w:rFonts w:ascii="Times New Roman" w:hAnsi="Times New Roman"/>
          <w:b/>
          <w:bCs/>
          <w:kern w:val="0"/>
          <w14:ligatures w14:val="none"/>
        </w:rPr>
        <w:t>Disclosure statement</w:t>
      </w:r>
    </w:p>
    <w:p w14:paraId="03425365" w14:textId="77777777" w:rsidR="009E3F46" w:rsidRPr="00D868ED" w:rsidRDefault="009E3F46" w:rsidP="00CE5C32">
      <w:pPr>
        <w:bidi w:val="0"/>
        <w:rPr>
          <w:rFonts w:ascii="Times New Roman" w:hAnsi="Times New Roman"/>
          <w:kern w:val="0"/>
          <w14:ligatures w14:val="none"/>
        </w:rPr>
      </w:pPr>
      <w:r w:rsidRPr="00D868ED">
        <w:rPr>
          <w:rFonts w:ascii="Times New Roman" w:hAnsi="Times New Roman"/>
          <w:kern w:val="0"/>
          <w14:ligatures w14:val="none"/>
        </w:rPr>
        <w:t>No potential conflict of interest was reported by the author(s).</w:t>
      </w:r>
    </w:p>
    <w:p w14:paraId="2285F574" w14:textId="77777777" w:rsidR="009E3F46" w:rsidRPr="00D868ED" w:rsidRDefault="009E3F46" w:rsidP="00CE5C32">
      <w:pPr>
        <w:bidi w:val="0"/>
        <w:jc w:val="both"/>
        <w:rPr>
          <w:rFonts w:ascii="Times New Roman" w:hAnsi="Times New Roman"/>
          <w:b/>
          <w:bCs/>
          <w:kern w:val="0"/>
          <w14:ligatures w14:val="none"/>
        </w:rPr>
      </w:pPr>
      <w:r w:rsidRPr="00D868ED">
        <w:rPr>
          <w:rFonts w:ascii="Times New Roman" w:hAnsi="Times New Roman"/>
          <w:b/>
          <w:bCs/>
          <w:kern w:val="0"/>
          <w14:ligatures w14:val="none"/>
        </w:rPr>
        <w:t>Data availability statement</w:t>
      </w:r>
    </w:p>
    <w:p w14:paraId="0826199F" w14:textId="77777777" w:rsidR="009E3F46" w:rsidRPr="00D868ED" w:rsidRDefault="009E3F46" w:rsidP="00CE5C32">
      <w:pPr>
        <w:bidi w:val="0"/>
        <w:jc w:val="both"/>
        <w:rPr>
          <w:rFonts w:ascii="Times New Roman" w:hAnsi="Times New Roman"/>
          <w:kern w:val="0"/>
          <w14:ligatures w14:val="none"/>
        </w:rPr>
      </w:pPr>
      <w:r w:rsidRPr="00D868ED">
        <w:rPr>
          <w:rFonts w:ascii="Times New Roman" w:hAnsi="Times New Roman"/>
          <w:kern w:val="0"/>
          <w14:ligatures w14:val="none"/>
        </w:rPr>
        <w:t>The data used in this study are publicly available. Bilateral trade and gravity variables are obtained from the CEPII Gravity database (version 2022.11), available at https://www.cepii.fr. Any additional data processing scripts are available from the corresponding author upon reasonable request.</w:t>
      </w:r>
    </w:p>
    <w:p w14:paraId="1FE1E022" w14:textId="77777777" w:rsidR="009E3F46" w:rsidRPr="00D868ED" w:rsidRDefault="009E3F46" w:rsidP="00CE5C32">
      <w:pPr>
        <w:bidi w:val="0"/>
        <w:jc w:val="both"/>
        <w:rPr>
          <w:rFonts w:ascii="Times New Roman" w:hAnsi="Times New Roman"/>
          <w:b/>
          <w:bCs/>
          <w:kern w:val="0"/>
          <w14:ligatures w14:val="none"/>
        </w:rPr>
      </w:pPr>
      <w:r w:rsidRPr="00D868ED">
        <w:rPr>
          <w:rFonts w:ascii="Times New Roman" w:hAnsi="Times New Roman"/>
          <w:b/>
          <w:bCs/>
          <w:kern w:val="0"/>
          <w14:ligatures w14:val="none"/>
        </w:rPr>
        <w:t>Declaration of generative AI and AI-assisted technologies</w:t>
      </w:r>
    </w:p>
    <w:p w14:paraId="37603EB6" w14:textId="77777777" w:rsidR="009E3F46" w:rsidRPr="00D868ED" w:rsidRDefault="009E3F46" w:rsidP="00CE5C32">
      <w:pPr>
        <w:bidi w:val="0"/>
        <w:jc w:val="both"/>
        <w:rPr>
          <w:rFonts w:ascii="Times New Roman" w:hAnsi="Times New Roman"/>
          <w:kern w:val="0"/>
          <w14:ligatures w14:val="none"/>
        </w:rPr>
      </w:pPr>
      <w:r w:rsidRPr="00D868ED">
        <w:rPr>
          <w:rFonts w:ascii="Times New Roman" w:hAnsi="Times New Roman"/>
          <w:kern w:val="0"/>
          <w14:ligatures w14:val="none"/>
        </w:rPr>
        <w:t>During the preparation of this manuscript, generative AI tools were used to assist with language editing and clarity of expression. The author(s) reviewed and edited all content generated using these tools and take full responsibility for the accuracy, integrity, and originality of the final manuscript.</w:t>
      </w:r>
    </w:p>
    <w:p w14:paraId="52B07F2B" w14:textId="77777777" w:rsidR="009801AA" w:rsidRPr="00D868ED" w:rsidRDefault="009801AA" w:rsidP="00CE5C32">
      <w:pPr>
        <w:bidi w:val="0"/>
        <w:rPr>
          <w:rFonts w:ascii="Times New Roman" w:hAnsi="Times New Roman"/>
          <w:b/>
          <w:bCs/>
          <w:kern w:val="0"/>
          <w14:ligatures w14:val="none"/>
        </w:rPr>
      </w:pPr>
      <w:r w:rsidRPr="00D868ED">
        <w:rPr>
          <w:rFonts w:ascii="Times New Roman" w:hAnsi="Times New Roman"/>
          <w:b/>
          <w:bCs/>
          <w:kern w:val="0"/>
          <w14:ligatures w14:val="none"/>
        </w:rPr>
        <w:br w:type="page"/>
      </w:r>
    </w:p>
    <w:p w14:paraId="5BC1EDE7" w14:textId="46C3701A" w:rsidR="00B976A8" w:rsidRPr="004F4CB1" w:rsidRDefault="00B976A8" w:rsidP="00CE5C32">
      <w:pPr>
        <w:bidi w:val="0"/>
        <w:spacing w:after="120" w:line="240" w:lineRule="auto"/>
        <w:rPr>
          <w:rFonts w:ascii="Times New Roman" w:hAnsi="Times New Roman" w:cs="Times New Roman"/>
          <w:b/>
          <w:bCs/>
          <w:kern w:val="0"/>
          <w14:ligatures w14:val="none"/>
        </w:rPr>
      </w:pPr>
      <w:r w:rsidRPr="004F4CB1">
        <w:rPr>
          <w:rFonts w:ascii="Times New Roman" w:hAnsi="Times New Roman" w:cs="Times New Roman"/>
          <w:b/>
          <w:bCs/>
          <w:kern w:val="0"/>
          <w14:ligatures w14:val="none"/>
        </w:rPr>
        <w:t>References</w:t>
      </w:r>
    </w:p>
    <w:p w14:paraId="3F60FB64" w14:textId="77777777" w:rsidR="00CE5C32" w:rsidRPr="004F4CB1" w:rsidRDefault="008C4601"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b/>
          <w:bCs/>
          <w14:ligatures w14:val="none"/>
        </w:rPr>
        <w:fldChar w:fldCharType="begin"/>
      </w:r>
      <w:r w:rsidR="00CE5C32" w:rsidRPr="004F4CB1">
        <w:rPr>
          <w:rFonts w:ascii="Times New Roman" w:hAnsi="Times New Roman" w:cs="Times New Roman"/>
          <w:b/>
          <w:bCs/>
          <w14:ligatures w14:val="none"/>
        </w:rPr>
        <w:instrText xml:space="preserve"> ADDIN ZOTERO_BIBL {"uncited":[],"omitted":[],"custom":[]} CSL_BIBLIOGRAPHY </w:instrText>
      </w:r>
      <w:r w:rsidRPr="004F4CB1">
        <w:rPr>
          <w:rFonts w:ascii="Times New Roman" w:hAnsi="Times New Roman" w:cs="Times New Roman"/>
          <w:b/>
          <w:bCs/>
          <w14:ligatures w14:val="none"/>
        </w:rPr>
        <w:fldChar w:fldCharType="separate"/>
      </w:r>
      <w:r w:rsidR="00CE5C32" w:rsidRPr="004F4CB1">
        <w:rPr>
          <w:rFonts w:ascii="Times New Roman" w:hAnsi="Times New Roman" w:cs="Times New Roman"/>
        </w:rPr>
        <w:t xml:space="preserve">Abdeljalil, W., &amp; Gulseven, O. (2026). Does EU integration matter more than WTO membership? Gravity evidence from the Western Balkans. </w:t>
      </w:r>
      <w:r w:rsidR="00CE5C32" w:rsidRPr="004F4CB1">
        <w:rPr>
          <w:rFonts w:ascii="Times New Roman" w:hAnsi="Times New Roman" w:cs="Times New Roman"/>
          <w:i/>
          <w:iCs/>
        </w:rPr>
        <w:t>Quality &amp; Quantity</w:t>
      </w:r>
      <w:r w:rsidR="00CE5C32" w:rsidRPr="004F4CB1">
        <w:rPr>
          <w:rFonts w:ascii="Times New Roman" w:hAnsi="Times New Roman" w:cs="Times New Roman"/>
        </w:rPr>
        <w:t>. https://doi.org/10.1007/s11135-026-02851-6</w:t>
      </w:r>
    </w:p>
    <w:p w14:paraId="0699131C"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Anderson, J. E. (1979). A Theoretical Foundation for the Gravity Equation. </w:t>
      </w:r>
      <w:r w:rsidRPr="004F4CB1">
        <w:rPr>
          <w:rFonts w:ascii="Times New Roman" w:hAnsi="Times New Roman" w:cs="Times New Roman"/>
          <w:i/>
          <w:iCs/>
        </w:rPr>
        <w:t>The American Economic Review</w:t>
      </w:r>
      <w:r w:rsidRPr="004F4CB1">
        <w:rPr>
          <w:rFonts w:ascii="Times New Roman" w:hAnsi="Times New Roman" w:cs="Times New Roman"/>
        </w:rPr>
        <w:t xml:space="preserve">, </w:t>
      </w:r>
      <w:r w:rsidRPr="004F4CB1">
        <w:rPr>
          <w:rFonts w:ascii="Times New Roman" w:hAnsi="Times New Roman" w:cs="Times New Roman"/>
          <w:i/>
          <w:iCs/>
        </w:rPr>
        <w:t>69</w:t>
      </w:r>
      <w:r w:rsidRPr="004F4CB1">
        <w:rPr>
          <w:rFonts w:ascii="Times New Roman" w:hAnsi="Times New Roman" w:cs="Times New Roman"/>
        </w:rPr>
        <w:t>(1), 106–116.</w:t>
      </w:r>
    </w:p>
    <w:p w14:paraId="397EBC3D"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Anderson, J. E., &amp; van Wincoop, E. (2003). Gravity with Gravitas: A Solution to the Border Puzzle. </w:t>
      </w:r>
      <w:r w:rsidRPr="004F4CB1">
        <w:rPr>
          <w:rFonts w:ascii="Times New Roman" w:hAnsi="Times New Roman" w:cs="Times New Roman"/>
          <w:i/>
          <w:iCs/>
        </w:rPr>
        <w:t>American Economic Review</w:t>
      </w:r>
      <w:r w:rsidRPr="004F4CB1">
        <w:rPr>
          <w:rFonts w:ascii="Times New Roman" w:hAnsi="Times New Roman" w:cs="Times New Roman"/>
        </w:rPr>
        <w:t xml:space="preserve">, </w:t>
      </w:r>
      <w:r w:rsidRPr="004F4CB1">
        <w:rPr>
          <w:rFonts w:ascii="Times New Roman" w:hAnsi="Times New Roman" w:cs="Times New Roman"/>
          <w:i/>
          <w:iCs/>
        </w:rPr>
        <w:t>93</w:t>
      </w:r>
      <w:r w:rsidRPr="004F4CB1">
        <w:rPr>
          <w:rFonts w:ascii="Times New Roman" w:hAnsi="Times New Roman" w:cs="Times New Roman"/>
        </w:rPr>
        <w:t>(1), 170–192. https://doi.org/10.1257/000282803321455214</w:t>
      </w:r>
    </w:p>
    <w:p w14:paraId="4E084A4C"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Arynov, Z., &amp; Takenov, D. (2026). The Eurasian Economic Union (EAEU) after a decade: Public perception in Armenia, Kazakhstan, and Kyrgyzstan. </w:t>
      </w:r>
      <w:r w:rsidRPr="004F4CB1">
        <w:rPr>
          <w:rFonts w:ascii="Times New Roman" w:hAnsi="Times New Roman" w:cs="Times New Roman"/>
          <w:i/>
          <w:iCs/>
        </w:rPr>
        <w:t>Eurasian Geography and Economics</w:t>
      </w:r>
      <w:r w:rsidRPr="004F4CB1">
        <w:rPr>
          <w:rFonts w:ascii="Times New Roman" w:hAnsi="Times New Roman" w:cs="Times New Roman"/>
        </w:rPr>
        <w:t xml:space="preserve">, </w:t>
      </w:r>
      <w:r w:rsidRPr="004F4CB1">
        <w:rPr>
          <w:rFonts w:ascii="Times New Roman" w:hAnsi="Times New Roman" w:cs="Times New Roman"/>
          <w:i/>
          <w:iCs/>
        </w:rPr>
        <w:t>0</w:t>
      </w:r>
      <w:r w:rsidRPr="004F4CB1">
        <w:rPr>
          <w:rFonts w:ascii="Times New Roman" w:hAnsi="Times New Roman" w:cs="Times New Roman"/>
        </w:rPr>
        <w:t>(0), 1–23. https://doi.org/10.1080/15387216.2026.2633276</w:t>
      </w:r>
    </w:p>
    <w:p w14:paraId="2F173328"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Ayuso-Díaz, A., &amp; Gómez-Plana, A. G. (2023). More Integrated than Ever? Long-Term Market and Policy Drivers of Intra-Asian Trade. </w:t>
      </w:r>
      <w:r w:rsidRPr="004F4CB1">
        <w:rPr>
          <w:rFonts w:ascii="Times New Roman" w:hAnsi="Times New Roman" w:cs="Times New Roman"/>
          <w:i/>
          <w:iCs/>
        </w:rPr>
        <w:t>The Journal of Economic Integration</w:t>
      </w:r>
      <w:r w:rsidRPr="004F4CB1">
        <w:rPr>
          <w:rFonts w:ascii="Times New Roman" w:hAnsi="Times New Roman" w:cs="Times New Roman"/>
        </w:rPr>
        <w:t xml:space="preserve">, </w:t>
      </w:r>
      <w:r w:rsidRPr="004F4CB1">
        <w:rPr>
          <w:rFonts w:ascii="Times New Roman" w:hAnsi="Times New Roman" w:cs="Times New Roman"/>
          <w:i/>
          <w:iCs/>
        </w:rPr>
        <w:t>38</w:t>
      </w:r>
      <w:r w:rsidRPr="004F4CB1">
        <w:rPr>
          <w:rFonts w:ascii="Times New Roman" w:hAnsi="Times New Roman" w:cs="Times New Roman"/>
        </w:rPr>
        <w:t>(1), 32–58. https://doi.org/https://doi.org/10.11130/jei.2023.38.1.32</w:t>
      </w:r>
    </w:p>
    <w:p w14:paraId="28124E70"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Baier, S. L., Bergstrand, J. H., &amp; Feng, M. (2014). Economic integration agreements and the margins of international trade. </w:t>
      </w:r>
      <w:r w:rsidRPr="004F4CB1">
        <w:rPr>
          <w:rFonts w:ascii="Times New Roman" w:hAnsi="Times New Roman" w:cs="Times New Roman"/>
          <w:i/>
          <w:iCs/>
        </w:rPr>
        <w:t>Journal of International Economics</w:t>
      </w:r>
      <w:r w:rsidRPr="004F4CB1">
        <w:rPr>
          <w:rFonts w:ascii="Times New Roman" w:hAnsi="Times New Roman" w:cs="Times New Roman"/>
        </w:rPr>
        <w:t xml:space="preserve">, </w:t>
      </w:r>
      <w:r w:rsidRPr="004F4CB1">
        <w:rPr>
          <w:rFonts w:ascii="Times New Roman" w:hAnsi="Times New Roman" w:cs="Times New Roman"/>
          <w:i/>
          <w:iCs/>
        </w:rPr>
        <w:t>93</w:t>
      </w:r>
      <w:r w:rsidRPr="004F4CB1">
        <w:rPr>
          <w:rFonts w:ascii="Times New Roman" w:hAnsi="Times New Roman" w:cs="Times New Roman"/>
        </w:rPr>
        <w:t>(2), 339–350. https://doi.org/10.1016/j.jinteco.2014.03.005</w:t>
      </w:r>
    </w:p>
    <w:p w14:paraId="6157EE69"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Bekbolotova, S., Djanibekov, N., &amp; Herzfeld, T. (2025). How does regional economic integration impact trade in small economies? Evidence from Armenia and Kyrgyzstan’s EAEU accession. </w:t>
      </w:r>
      <w:r w:rsidRPr="004F4CB1">
        <w:rPr>
          <w:rFonts w:ascii="Times New Roman" w:hAnsi="Times New Roman" w:cs="Times New Roman"/>
          <w:i/>
          <w:iCs/>
        </w:rPr>
        <w:t>Eurasian Geography and Economics</w:t>
      </w:r>
      <w:r w:rsidRPr="004F4CB1">
        <w:rPr>
          <w:rFonts w:ascii="Times New Roman" w:hAnsi="Times New Roman" w:cs="Times New Roman"/>
        </w:rPr>
        <w:t xml:space="preserve">, </w:t>
      </w:r>
      <w:r w:rsidRPr="004F4CB1">
        <w:rPr>
          <w:rFonts w:ascii="Times New Roman" w:hAnsi="Times New Roman" w:cs="Times New Roman"/>
          <w:i/>
          <w:iCs/>
        </w:rPr>
        <w:t>0</w:t>
      </w:r>
      <w:r w:rsidRPr="004F4CB1">
        <w:rPr>
          <w:rFonts w:ascii="Times New Roman" w:hAnsi="Times New Roman" w:cs="Times New Roman"/>
        </w:rPr>
        <w:t>(0), 1–29. https://doi.org/10.1080/15387216.2025.2475904</w:t>
      </w:r>
    </w:p>
    <w:p w14:paraId="0562162D"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Bergstrand, J. H. (1985). The Gravity Equation in International Trade: Some Microeconomic Foundations and Empirical Evidence. </w:t>
      </w:r>
      <w:r w:rsidRPr="004F4CB1">
        <w:rPr>
          <w:rFonts w:ascii="Times New Roman" w:hAnsi="Times New Roman" w:cs="Times New Roman"/>
          <w:i/>
          <w:iCs/>
        </w:rPr>
        <w:t>The Review of Economics and Statistics</w:t>
      </w:r>
      <w:r w:rsidRPr="004F4CB1">
        <w:rPr>
          <w:rFonts w:ascii="Times New Roman" w:hAnsi="Times New Roman" w:cs="Times New Roman"/>
        </w:rPr>
        <w:t xml:space="preserve">, </w:t>
      </w:r>
      <w:r w:rsidRPr="004F4CB1">
        <w:rPr>
          <w:rFonts w:ascii="Times New Roman" w:hAnsi="Times New Roman" w:cs="Times New Roman"/>
          <w:i/>
          <w:iCs/>
        </w:rPr>
        <w:t>67</w:t>
      </w:r>
      <w:r w:rsidRPr="004F4CB1">
        <w:rPr>
          <w:rFonts w:ascii="Times New Roman" w:hAnsi="Times New Roman" w:cs="Times New Roman"/>
        </w:rPr>
        <w:t>(3), 474–481. https://doi.org/10.2307/1925976</w:t>
      </w:r>
    </w:p>
    <w:p w14:paraId="1EF982A2"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Bergstrand, J. H. (1989). The Generalized Gravity Equation, Monopolistic Competition, and the Factor-Proportions Theory in International Trade. </w:t>
      </w:r>
      <w:r w:rsidRPr="004F4CB1">
        <w:rPr>
          <w:rFonts w:ascii="Times New Roman" w:hAnsi="Times New Roman" w:cs="Times New Roman"/>
          <w:i/>
          <w:iCs/>
        </w:rPr>
        <w:t>The Review of Economics and Statistics</w:t>
      </w:r>
      <w:r w:rsidRPr="004F4CB1">
        <w:rPr>
          <w:rFonts w:ascii="Times New Roman" w:hAnsi="Times New Roman" w:cs="Times New Roman"/>
        </w:rPr>
        <w:t xml:space="preserve">, </w:t>
      </w:r>
      <w:r w:rsidRPr="004F4CB1">
        <w:rPr>
          <w:rFonts w:ascii="Times New Roman" w:hAnsi="Times New Roman" w:cs="Times New Roman"/>
          <w:i/>
          <w:iCs/>
        </w:rPr>
        <w:t>71</w:t>
      </w:r>
      <w:r w:rsidRPr="004F4CB1">
        <w:rPr>
          <w:rFonts w:ascii="Times New Roman" w:hAnsi="Times New Roman" w:cs="Times New Roman"/>
        </w:rPr>
        <w:t>(1), 143–153. https://doi.org/10.2307/1928061</w:t>
      </w:r>
    </w:p>
    <w:p w14:paraId="651542DD"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Cieślik, A., &amp; Gurshev, O. (2024). Trade policies in Central Asia after EAEU enlargement and after Russian WTO accession: Regionalism and integration into the world economy revisited. </w:t>
      </w:r>
      <w:r w:rsidRPr="004F4CB1">
        <w:rPr>
          <w:rFonts w:ascii="Times New Roman" w:hAnsi="Times New Roman" w:cs="Times New Roman"/>
          <w:i/>
          <w:iCs/>
        </w:rPr>
        <w:t>Eurasian Geography and Economics</w:t>
      </w:r>
      <w:r w:rsidRPr="004F4CB1">
        <w:rPr>
          <w:rFonts w:ascii="Times New Roman" w:hAnsi="Times New Roman" w:cs="Times New Roman"/>
        </w:rPr>
        <w:t xml:space="preserve">, </w:t>
      </w:r>
      <w:r w:rsidRPr="004F4CB1">
        <w:rPr>
          <w:rFonts w:ascii="Times New Roman" w:hAnsi="Times New Roman" w:cs="Times New Roman"/>
          <w:i/>
          <w:iCs/>
        </w:rPr>
        <w:t>65</w:t>
      </w:r>
      <w:r w:rsidRPr="004F4CB1">
        <w:rPr>
          <w:rFonts w:ascii="Times New Roman" w:hAnsi="Times New Roman" w:cs="Times New Roman"/>
        </w:rPr>
        <w:t>(5), 656–678. https://doi.org/10.1080/15387216.2022.2162098</w:t>
      </w:r>
    </w:p>
    <w:p w14:paraId="7BB2F318"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Disdier, A.-C., &amp; Head, K. (2008). The Puzzling Persistence of the Distance Effect on Bilateral Trade. </w:t>
      </w:r>
      <w:r w:rsidRPr="004F4CB1">
        <w:rPr>
          <w:rFonts w:ascii="Times New Roman" w:hAnsi="Times New Roman" w:cs="Times New Roman"/>
          <w:i/>
          <w:iCs/>
        </w:rPr>
        <w:t>The Review of Economics and Statistics</w:t>
      </w:r>
      <w:r w:rsidRPr="004F4CB1">
        <w:rPr>
          <w:rFonts w:ascii="Times New Roman" w:hAnsi="Times New Roman" w:cs="Times New Roman"/>
        </w:rPr>
        <w:t xml:space="preserve">, </w:t>
      </w:r>
      <w:r w:rsidRPr="004F4CB1">
        <w:rPr>
          <w:rFonts w:ascii="Times New Roman" w:hAnsi="Times New Roman" w:cs="Times New Roman"/>
          <w:i/>
          <w:iCs/>
        </w:rPr>
        <w:t>90</w:t>
      </w:r>
      <w:r w:rsidRPr="004F4CB1">
        <w:rPr>
          <w:rFonts w:ascii="Times New Roman" w:hAnsi="Times New Roman" w:cs="Times New Roman"/>
        </w:rPr>
        <w:t>(1), 37–48. https://doi.org/10.1162/rest.90.1.37</w:t>
      </w:r>
    </w:p>
    <w:p w14:paraId="1B24E59E"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Fally, T. (2015). Structural gravity and fixed effects. </w:t>
      </w:r>
      <w:r w:rsidRPr="004F4CB1">
        <w:rPr>
          <w:rFonts w:ascii="Times New Roman" w:hAnsi="Times New Roman" w:cs="Times New Roman"/>
          <w:i/>
          <w:iCs/>
        </w:rPr>
        <w:t>Journal of International Economics</w:t>
      </w:r>
      <w:r w:rsidRPr="004F4CB1">
        <w:rPr>
          <w:rFonts w:ascii="Times New Roman" w:hAnsi="Times New Roman" w:cs="Times New Roman"/>
        </w:rPr>
        <w:t xml:space="preserve">, </w:t>
      </w:r>
      <w:r w:rsidRPr="004F4CB1">
        <w:rPr>
          <w:rFonts w:ascii="Times New Roman" w:hAnsi="Times New Roman" w:cs="Times New Roman"/>
          <w:i/>
          <w:iCs/>
        </w:rPr>
        <w:t>97</w:t>
      </w:r>
      <w:r w:rsidRPr="004F4CB1">
        <w:rPr>
          <w:rFonts w:ascii="Times New Roman" w:hAnsi="Times New Roman" w:cs="Times New Roman"/>
        </w:rPr>
        <w:t>(1), 76–85. https://doi.org/10.1016/j.jinteco.2015.05.005</w:t>
      </w:r>
    </w:p>
    <w:p w14:paraId="7189A8A6"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Felbermayr, G., &amp; Teti, F. (2023). Revisiting the Trade-Creating Effects of Non-Tariff Barriers. </w:t>
      </w:r>
      <w:r w:rsidRPr="004F4CB1">
        <w:rPr>
          <w:rFonts w:ascii="Times New Roman" w:hAnsi="Times New Roman" w:cs="Times New Roman"/>
          <w:i/>
          <w:iCs/>
        </w:rPr>
        <w:t>ECONSTOR ZBW</w:t>
      </w:r>
      <w:r w:rsidRPr="004F4CB1">
        <w:rPr>
          <w:rFonts w:ascii="Times New Roman" w:hAnsi="Times New Roman" w:cs="Times New Roman"/>
        </w:rPr>
        <w:t>, (Discussion Paper No. 459), 1–37.</w:t>
      </w:r>
    </w:p>
    <w:p w14:paraId="4917E8BB"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Golovko, A., &amp; Sahin, H. (2021). Analysis of international trade integration of Eurasian countries: Gravity model approach. </w:t>
      </w:r>
      <w:r w:rsidRPr="004F4CB1">
        <w:rPr>
          <w:rFonts w:ascii="Times New Roman" w:hAnsi="Times New Roman" w:cs="Times New Roman"/>
          <w:i/>
          <w:iCs/>
        </w:rPr>
        <w:t>Eurasian Economic Review</w:t>
      </w:r>
      <w:r w:rsidRPr="004F4CB1">
        <w:rPr>
          <w:rFonts w:ascii="Times New Roman" w:hAnsi="Times New Roman" w:cs="Times New Roman"/>
        </w:rPr>
        <w:t xml:space="preserve">, </w:t>
      </w:r>
      <w:r w:rsidRPr="004F4CB1">
        <w:rPr>
          <w:rFonts w:ascii="Times New Roman" w:hAnsi="Times New Roman" w:cs="Times New Roman"/>
          <w:i/>
          <w:iCs/>
        </w:rPr>
        <w:t>11</w:t>
      </w:r>
      <w:r w:rsidRPr="004F4CB1">
        <w:rPr>
          <w:rFonts w:ascii="Times New Roman" w:hAnsi="Times New Roman" w:cs="Times New Roman"/>
        </w:rPr>
        <w:t>(3), 519–548. https://doi.org/10.1007/s40822-021-00168-3</w:t>
      </w:r>
    </w:p>
    <w:p w14:paraId="354834A9"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Gulseven, O., Alhadi, A. A., &amp; Salam, S. A. (2023). Determinants of Trade in the Middle East and North Africa. </w:t>
      </w:r>
      <w:r w:rsidRPr="004F4CB1">
        <w:rPr>
          <w:rFonts w:ascii="Times New Roman" w:hAnsi="Times New Roman" w:cs="Times New Roman"/>
          <w:i/>
          <w:iCs/>
        </w:rPr>
        <w:t>Montenegrin Journal of Economics</w:t>
      </w:r>
      <w:r w:rsidRPr="004F4CB1">
        <w:rPr>
          <w:rFonts w:ascii="Times New Roman" w:hAnsi="Times New Roman" w:cs="Times New Roman"/>
        </w:rPr>
        <w:t xml:space="preserve">, </w:t>
      </w:r>
      <w:r w:rsidRPr="004F4CB1">
        <w:rPr>
          <w:rFonts w:ascii="Times New Roman" w:hAnsi="Times New Roman" w:cs="Times New Roman"/>
          <w:i/>
          <w:iCs/>
        </w:rPr>
        <w:t>19</w:t>
      </w:r>
      <w:r w:rsidRPr="004F4CB1">
        <w:rPr>
          <w:rFonts w:ascii="Times New Roman" w:hAnsi="Times New Roman" w:cs="Times New Roman"/>
        </w:rPr>
        <w:t>(4), 115–124. https://doi.org/10.14254/1800-5845/2023.19-4.10</w:t>
      </w:r>
    </w:p>
    <w:p w14:paraId="2E19125C"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Gulseven, O., Salam, S. A., &amp; Alhadi, A. A. (2023). Can WTO Membership Boost Intra-African Trade? </w:t>
      </w:r>
      <w:r w:rsidRPr="004F4CB1">
        <w:rPr>
          <w:rFonts w:ascii="Times New Roman" w:hAnsi="Times New Roman" w:cs="Times New Roman"/>
          <w:i/>
          <w:iCs/>
        </w:rPr>
        <w:t>Scientific African</w:t>
      </w:r>
      <w:r w:rsidRPr="004F4CB1">
        <w:rPr>
          <w:rFonts w:ascii="Times New Roman" w:hAnsi="Times New Roman" w:cs="Times New Roman"/>
        </w:rPr>
        <w:t>, e01728. https://doi.org/10.1016/j.sciaf.2023.e01728</w:t>
      </w:r>
    </w:p>
    <w:p w14:paraId="12E21A88"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Head, K., &amp; Mayer, T. (2014). Gravity Equations: Workhorse,Toolkit, and Cookbook. In </w:t>
      </w:r>
      <w:r w:rsidRPr="004F4CB1">
        <w:rPr>
          <w:rFonts w:ascii="Times New Roman" w:hAnsi="Times New Roman" w:cs="Times New Roman"/>
          <w:i/>
          <w:iCs/>
        </w:rPr>
        <w:t>Handbook of International Economics</w:t>
      </w:r>
      <w:r w:rsidRPr="004F4CB1">
        <w:rPr>
          <w:rFonts w:ascii="Times New Roman" w:hAnsi="Times New Roman" w:cs="Times New Roman"/>
        </w:rPr>
        <w:t xml:space="preserve"> (Vol. 4, pp. 131–195). Elsevier. https://doi.org/10.1016/B978-0-444-54314-1.00003-3</w:t>
      </w:r>
    </w:p>
    <w:p w14:paraId="07209559"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Head, K., Mayer, T., &amp; Ries, J. (2010). The erosion of colonial trade linkages after independence. </w:t>
      </w:r>
      <w:r w:rsidRPr="004F4CB1">
        <w:rPr>
          <w:rFonts w:ascii="Times New Roman" w:hAnsi="Times New Roman" w:cs="Times New Roman"/>
          <w:i/>
          <w:iCs/>
        </w:rPr>
        <w:t>Journal of International Economics</w:t>
      </w:r>
      <w:r w:rsidRPr="004F4CB1">
        <w:rPr>
          <w:rFonts w:ascii="Times New Roman" w:hAnsi="Times New Roman" w:cs="Times New Roman"/>
        </w:rPr>
        <w:t xml:space="preserve">, </w:t>
      </w:r>
      <w:r w:rsidRPr="004F4CB1">
        <w:rPr>
          <w:rFonts w:ascii="Times New Roman" w:hAnsi="Times New Roman" w:cs="Times New Roman"/>
          <w:i/>
          <w:iCs/>
        </w:rPr>
        <w:t>81</w:t>
      </w:r>
      <w:r w:rsidRPr="004F4CB1">
        <w:rPr>
          <w:rFonts w:ascii="Times New Roman" w:hAnsi="Times New Roman" w:cs="Times New Roman"/>
        </w:rPr>
        <w:t>(1), 1–14. https://doi.org/10.1016/j.jinteco.2010.01.002</w:t>
      </w:r>
    </w:p>
    <w:p w14:paraId="080E24D1"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Islam, S. N., Islam, M. S., Islam, M. R., &amp; Alam, M. A. (2024). The Effect of Financial Development, Tariff, and RTA on Exports: A Structural Gravity Analysis. </w:t>
      </w:r>
      <w:r w:rsidRPr="004F4CB1">
        <w:rPr>
          <w:rFonts w:ascii="Times New Roman" w:hAnsi="Times New Roman" w:cs="Times New Roman"/>
          <w:i/>
          <w:iCs/>
        </w:rPr>
        <w:t>The Journal of Economic Integration</w:t>
      </w:r>
      <w:r w:rsidRPr="004F4CB1">
        <w:rPr>
          <w:rFonts w:ascii="Times New Roman" w:hAnsi="Times New Roman" w:cs="Times New Roman"/>
        </w:rPr>
        <w:t xml:space="preserve">, </w:t>
      </w:r>
      <w:r w:rsidRPr="004F4CB1">
        <w:rPr>
          <w:rFonts w:ascii="Times New Roman" w:hAnsi="Times New Roman" w:cs="Times New Roman"/>
          <w:i/>
          <w:iCs/>
        </w:rPr>
        <w:t>39</w:t>
      </w:r>
      <w:r w:rsidRPr="004F4CB1">
        <w:rPr>
          <w:rFonts w:ascii="Times New Roman" w:hAnsi="Times New Roman" w:cs="Times New Roman"/>
        </w:rPr>
        <w:t>(1), 107–150. https://doi.org/https://doi.org/10.11130/jei.2024007</w:t>
      </w:r>
    </w:p>
    <w:p w14:paraId="21A72338"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Kumari, M. (2025). India-MERCOSUR Preferential Trade Agreement: An Ex-Post Evaluation under Modern Gravity Framework. </w:t>
      </w:r>
      <w:r w:rsidRPr="004F4CB1">
        <w:rPr>
          <w:rFonts w:ascii="Times New Roman" w:hAnsi="Times New Roman" w:cs="Times New Roman"/>
          <w:i/>
          <w:iCs/>
        </w:rPr>
        <w:t>The Journal of Economic Integration</w:t>
      </w:r>
      <w:r w:rsidRPr="004F4CB1">
        <w:rPr>
          <w:rFonts w:ascii="Times New Roman" w:hAnsi="Times New Roman" w:cs="Times New Roman"/>
        </w:rPr>
        <w:t xml:space="preserve">, </w:t>
      </w:r>
      <w:r w:rsidRPr="004F4CB1">
        <w:rPr>
          <w:rFonts w:ascii="Times New Roman" w:hAnsi="Times New Roman" w:cs="Times New Roman"/>
          <w:i/>
          <w:iCs/>
        </w:rPr>
        <w:t>40</w:t>
      </w:r>
      <w:r w:rsidRPr="004F4CB1">
        <w:rPr>
          <w:rFonts w:ascii="Times New Roman" w:hAnsi="Times New Roman" w:cs="Times New Roman"/>
        </w:rPr>
        <w:t>(2), 367–390. https://doi.org/10.11130/jei.2024054</w:t>
      </w:r>
    </w:p>
    <w:p w14:paraId="23FEE526"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Larch, M., Monteiro, J.-A., Piermartini, R., &amp; Yotov, Y. (2019). On the Effects of GATT/WTO Membership on Trade: They are Positive and Large after All. </w:t>
      </w:r>
      <w:r w:rsidRPr="004F4CB1">
        <w:rPr>
          <w:rFonts w:ascii="Times New Roman" w:hAnsi="Times New Roman" w:cs="Times New Roman"/>
          <w:i/>
          <w:iCs/>
        </w:rPr>
        <w:t>SSRN Electronic Journal</w:t>
      </w:r>
      <w:r w:rsidRPr="004F4CB1">
        <w:rPr>
          <w:rFonts w:ascii="Times New Roman" w:hAnsi="Times New Roman" w:cs="Times New Roman"/>
        </w:rPr>
        <w:t>. https://doi.org/10.2139/ssrn.3421148</w:t>
      </w:r>
    </w:p>
    <w:p w14:paraId="04A9B96D"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Larch, M., Wanner, J., Yotov, Y. V., &amp; Zylkin, T. (2019). Currency Unions and Trade: A PPML Re-assessment with High-dimensional Fixed Effects. </w:t>
      </w:r>
      <w:r w:rsidRPr="004F4CB1">
        <w:rPr>
          <w:rFonts w:ascii="Times New Roman" w:hAnsi="Times New Roman" w:cs="Times New Roman"/>
          <w:i/>
          <w:iCs/>
        </w:rPr>
        <w:t>Oxford Bulletin of Economics and Statistics</w:t>
      </w:r>
      <w:r w:rsidRPr="004F4CB1">
        <w:rPr>
          <w:rFonts w:ascii="Times New Roman" w:hAnsi="Times New Roman" w:cs="Times New Roman"/>
        </w:rPr>
        <w:t xml:space="preserve">, </w:t>
      </w:r>
      <w:r w:rsidRPr="004F4CB1">
        <w:rPr>
          <w:rFonts w:ascii="Times New Roman" w:hAnsi="Times New Roman" w:cs="Times New Roman"/>
          <w:i/>
          <w:iCs/>
        </w:rPr>
        <w:t>81</w:t>
      </w:r>
      <w:r w:rsidRPr="004F4CB1">
        <w:rPr>
          <w:rFonts w:ascii="Times New Roman" w:hAnsi="Times New Roman" w:cs="Times New Roman"/>
        </w:rPr>
        <w:t>(3), 487–510. https://doi.org/10.1111/obes.12283</w:t>
      </w:r>
    </w:p>
    <w:p w14:paraId="7E3B3D2C"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Larch, M., &amp; Yotov, Y. V. (2025). Deep Trade Agreements and FDI in Partial and General Equilibrium: A Structural Estimation Framework. </w:t>
      </w:r>
      <w:r w:rsidRPr="004F4CB1">
        <w:rPr>
          <w:rFonts w:ascii="Times New Roman" w:hAnsi="Times New Roman" w:cs="Times New Roman"/>
          <w:i/>
          <w:iCs/>
        </w:rPr>
        <w:t>The World Bank Economic Review</w:t>
      </w:r>
      <w:r w:rsidRPr="004F4CB1">
        <w:rPr>
          <w:rFonts w:ascii="Times New Roman" w:hAnsi="Times New Roman" w:cs="Times New Roman"/>
        </w:rPr>
        <w:t xml:space="preserve">, </w:t>
      </w:r>
      <w:r w:rsidRPr="004F4CB1">
        <w:rPr>
          <w:rFonts w:ascii="Times New Roman" w:hAnsi="Times New Roman" w:cs="Times New Roman"/>
          <w:i/>
          <w:iCs/>
        </w:rPr>
        <w:t>39</w:t>
      </w:r>
      <w:r w:rsidRPr="004F4CB1">
        <w:rPr>
          <w:rFonts w:ascii="Times New Roman" w:hAnsi="Times New Roman" w:cs="Times New Roman"/>
        </w:rPr>
        <w:t>(2), 281–307. https://doi.org/10.1093/wber/lhae031</w:t>
      </w:r>
    </w:p>
    <w:p w14:paraId="41A6B220"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Masood, A., Ahmed, J., &amp; Kareem, F. O. (2023). The OIC’s Intra-Bloc and Extra-Bloc Trade: How Effective are the FTAs? </w:t>
      </w:r>
      <w:r w:rsidRPr="004F4CB1">
        <w:rPr>
          <w:rFonts w:ascii="Times New Roman" w:hAnsi="Times New Roman" w:cs="Times New Roman"/>
          <w:i/>
          <w:iCs/>
        </w:rPr>
        <w:t>The Journal of Economic Integration</w:t>
      </w:r>
      <w:r w:rsidRPr="004F4CB1">
        <w:rPr>
          <w:rFonts w:ascii="Times New Roman" w:hAnsi="Times New Roman" w:cs="Times New Roman"/>
        </w:rPr>
        <w:t xml:space="preserve">, </w:t>
      </w:r>
      <w:r w:rsidRPr="004F4CB1">
        <w:rPr>
          <w:rFonts w:ascii="Times New Roman" w:hAnsi="Times New Roman" w:cs="Times New Roman"/>
          <w:i/>
          <w:iCs/>
        </w:rPr>
        <w:t>38</w:t>
      </w:r>
      <w:r w:rsidRPr="004F4CB1">
        <w:rPr>
          <w:rFonts w:ascii="Times New Roman" w:hAnsi="Times New Roman" w:cs="Times New Roman"/>
        </w:rPr>
        <w:t>(3), 360–382. https://doi.org/https://doi.org/10.11130/jei.2023.38.3.360</w:t>
      </w:r>
    </w:p>
    <w:p w14:paraId="330C5A41"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Mazhikeyev, A., &amp; Edwards, T. H. (2021). Post-colonial trade between Russia and former Soviet republics: Back to big brother? </w:t>
      </w:r>
      <w:r w:rsidRPr="004F4CB1">
        <w:rPr>
          <w:rFonts w:ascii="Times New Roman" w:hAnsi="Times New Roman" w:cs="Times New Roman"/>
          <w:i/>
          <w:iCs/>
        </w:rPr>
        <w:t>Economic Change and Restructuring</w:t>
      </w:r>
      <w:r w:rsidRPr="004F4CB1">
        <w:rPr>
          <w:rFonts w:ascii="Times New Roman" w:hAnsi="Times New Roman" w:cs="Times New Roman"/>
        </w:rPr>
        <w:t xml:space="preserve">, </w:t>
      </w:r>
      <w:r w:rsidRPr="004F4CB1">
        <w:rPr>
          <w:rFonts w:ascii="Times New Roman" w:hAnsi="Times New Roman" w:cs="Times New Roman"/>
          <w:i/>
          <w:iCs/>
        </w:rPr>
        <w:t>54</w:t>
      </w:r>
      <w:r w:rsidRPr="004F4CB1">
        <w:rPr>
          <w:rFonts w:ascii="Times New Roman" w:hAnsi="Times New Roman" w:cs="Times New Roman"/>
        </w:rPr>
        <w:t>(3), 877–918. https://doi.org/10.1007/s10644-020-09302-8</w:t>
      </w:r>
    </w:p>
    <w:p w14:paraId="7BEF4747"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Pomfret, R. (2021). From Landlocked to Land-Linked? Central Asia’s Place in the Eurasian Economy. In A. Mihr (Ed.), </w:t>
      </w:r>
      <w:r w:rsidRPr="004F4CB1">
        <w:rPr>
          <w:rFonts w:ascii="Times New Roman" w:hAnsi="Times New Roman" w:cs="Times New Roman"/>
          <w:i/>
          <w:iCs/>
        </w:rPr>
        <w:t>Between Peace and Conflict in the East and the West: Studies on Transformation and Development in the OSCE Region</w:t>
      </w:r>
      <w:r w:rsidRPr="004F4CB1">
        <w:rPr>
          <w:rFonts w:ascii="Times New Roman" w:hAnsi="Times New Roman" w:cs="Times New Roman"/>
        </w:rPr>
        <w:t xml:space="preserve"> (pp. 195–209). Springer International Publishing. https://doi.org/10.1007/978-3-030-77489-9_10</w:t>
      </w:r>
    </w:p>
    <w:p w14:paraId="258E5C91"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Pöyhönen, P. (1963). A Tentative Model for the Volume of Trade between Countries. </w:t>
      </w:r>
      <w:r w:rsidRPr="004F4CB1">
        <w:rPr>
          <w:rFonts w:ascii="Times New Roman" w:hAnsi="Times New Roman" w:cs="Times New Roman"/>
          <w:i/>
          <w:iCs/>
        </w:rPr>
        <w:t>Weltwirtschaftliches Archiv</w:t>
      </w:r>
      <w:r w:rsidRPr="004F4CB1">
        <w:rPr>
          <w:rFonts w:ascii="Times New Roman" w:hAnsi="Times New Roman" w:cs="Times New Roman"/>
        </w:rPr>
        <w:t xml:space="preserve">, </w:t>
      </w:r>
      <w:r w:rsidRPr="004F4CB1">
        <w:rPr>
          <w:rFonts w:ascii="Times New Roman" w:hAnsi="Times New Roman" w:cs="Times New Roman"/>
          <w:i/>
          <w:iCs/>
        </w:rPr>
        <w:t>90</w:t>
      </w:r>
      <w:r w:rsidRPr="004F4CB1">
        <w:rPr>
          <w:rFonts w:ascii="Times New Roman" w:hAnsi="Times New Roman" w:cs="Times New Roman"/>
        </w:rPr>
        <w:t>, 93–100.</w:t>
      </w:r>
    </w:p>
    <w:p w14:paraId="6181DE32"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Rose, A. K. (2004). Do We Really Know That the WTO Increases Trade? </w:t>
      </w:r>
      <w:r w:rsidRPr="004F4CB1">
        <w:rPr>
          <w:rFonts w:ascii="Times New Roman" w:hAnsi="Times New Roman" w:cs="Times New Roman"/>
          <w:i/>
          <w:iCs/>
        </w:rPr>
        <w:t>American Economic Review</w:t>
      </w:r>
      <w:r w:rsidRPr="004F4CB1">
        <w:rPr>
          <w:rFonts w:ascii="Times New Roman" w:hAnsi="Times New Roman" w:cs="Times New Roman"/>
        </w:rPr>
        <w:t xml:space="preserve">, </w:t>
      </w:r>
      <w:r w:rsidRPr="004F4CB1">
        <w:rPr>
          <w:rFonts w:ascii="Times New Roman" w:hAnsi="Times New Roman" w:cs="Times New Roman"/>
          <w:i/>
          <w:iCs/>
        </w:rPr>
        <w:t>94</w:t>
      </w:r>
      <w:r w:rsidRPr="004F4CB1">
        <w:rPr>
          <w:rFonts w:ascii="Times New Roman" w:hAnsi="Times New Roman" w:cs="Times New Roman"/>
        </w:rPr>
        <w:t>(1), 98–114. https://doi.org/10.1257/000282804322970724</w:t>
      </w:r>
    </w:p>
    <w:p w14:paraId="4E3614DB"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Silva, J. M. C. S., &amp; Tenreyro, S. (2006). The Log of Gravity. </w:t>
      </w:r>
      <w:r w:rsidRPr="004F4CB1">
        <w:rPr>
          <w:rFonts w:ascii="Times New Roman" w:hAnsi="Times New Roman" w:cs="Times New Roman"/>
          <w:i/>
          <w:iCs/>
        </w:rPr>
        <w:t>The Review of Economics and Statistics</w:t>
      </w:r>
      <w:r w:rsidRPr="004F4CB1">
        <w:rPr>
          <w:rFonts w:ascii="Times New Roman" w:hAnsi="Times New Roman" w:cs="Times New Roman"/>
        </w:rPr>
        <w:t xml:space="preserve">, </w:t>
      </w:r>
      <w:r w:rsidRPr="004F4CB1">
        <w:rPr>
          <w:rFonts w:ascii="Times New Roman" w:hAnsi="Times New Roman" w:cs="Times New Roman"/>
          <w:i/>
          <w:iCs/>
        </w:rPr>
        <w:t>88</w:t>
      </w:r>
      <w:r w:rsidRPr="004F4CB1">
        <w:rPr>
          <w:rFonts w:ascii="Times New Roman" w:hAnsi="Times New Roman" w:cs="Times New Roman"/>
        </w:rPr>
        <w:t>(4), 641–658. https://doi.org/10.1162/rest.88.4.641</w:t>
      </w:r>
    </w:p>
    <w:p w14:paraId="0BCAF698"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lang w:val="pl-PL"/>
        </w:rPr>
        <w:t xml:space="preserve">Subramanian, A., &amp; Wei, S.-J. (2007). </w:t>
      </w:r>
      <w:r w:rsidRPr="004F4CB1">
        <w:rPr>
          <w:rFonts w:ascii="Times New Roman" w:hAnsi="Times New Roman" w:cs="Times New Roman"/>
        </w:rPr>
        <w:t xml:space="preserve">The WTO promotes trade, strongly but unevenly. </w:t>
      </w:r>
      <w:r w:rsidRPr="004F4CB1">
        <w:rPr>
          <w:rFonts w:ascii="Times New Roman" w:hAnsi="Times New Roman" w:cs="Times New Roman"/>
          <w:i/>
          <w:iCs/>
        </w:rPr>
        <w:t>Journal of International Economics</w:t>
      </w:r>
      <w:r w:rsidRPr="004F4CB1">
        <w:rPr>
          <w:rFonts w:ascii="Times New Roman" w:hAnsi="Times New Roman" w:cs="Times New Roman"/>
        </w:rPr>
        <w:t xml:space="preserve">, </w:t>
      </w:r>
      <w:r w:rsidRPr="004F4CB1">
        <w:rPr>
          <w:rFonts w:ascii="Times New Roman" w:hAnsi="Times New Roman" w:cs="Times New Roman"/>
          <w:i/>
          <w:iCs/>
        </w:rPr>
        <w:t>72</w:t>
      </w:r>
      <w:r w:rsidRPr="004F4CB1">
        <w:rPr>
          <w:rFonts w:ascii="Times New Roman" w:hAnsi="Times New Roman" w:cs="Times New Roman"/>
        </w:rPr>
        <w:t>(1), 151–175. https://doi.org/10.1016/j.jinteco.2006.07.007</w:t>
      </w:r>
    </w:p>
    <w:p w14:paraId="0462E151"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Tinbergen, J. (1962). </w:t>
      </w:r>
      <w:r w:rsidRPr="004F4CB1">
        <w:rPr>
          <w:rFonts w:ascii="Times New Roman" w:hAnsi="Times New Roman" w:cs="Times New Roman"/>
          <w:i/>
          <w:iCs/>
        </w:rPr>
        <w:t>Shaping the World Economy; Suggestions for an International Economic Policy</w:t>
      </w:r>
      <w:r w:rsidRPr="004F4CB1">
        <w:rPr>
          <w:rFonts w:ascii="Times New Roman" w:hAnsi="Times New Roman" w:cs="Times New Roman"/>
        </w:rPr>
        <w:t>. The Twentieth Century Fund. https://repub.eur.nl/pub/16826</w:t>
      </w:r>
    </w:p>
    <w:p w14:paraId="606A8776"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Tomz, M., Goldstein, J. L., &amp; Rivers, D. (2007). Do We Really Know That the WTO Increases Trade? Comment. </w:t>
      </w:r>
      <w:r w:rsidRPr="004F4CB1">
        <w:rPr>
          <w:rFonts w:ascii="Times New Roman" w:hAnsi="Times New Roman" w:cs="Times New Roman"/>
          <w:i/>
          <w:iCs/>
        </w:rPr>
        <w:t>American Economic Review</w:t>
      </w:r>
      <w:r w:rsidRPr="004F4CB1">
        <w:rPr>
          <w:rFonts w:ascii="Times New Roman" w:hAnsi="Times New Roman" w:cs="Times New Roman"/>
        </w:rPr>
        <w:t xml:space="preserve">, </w:t>
      </w:r>
      <w:r w:rsidRPr="004F4CB1">
        <w:rPr>
          <w:rFonts w:ascii="Times New Roman" w:hAnsi="Times New Roman" w:cs="Times New Roman"/>
          <w:i/>
          <w:iCs/>
        </w:rPr>
        <w:t>97</w:t>
      </w:r>
      <w:r w:rsidRPr="004F4CB1">
        <w:rPr>
          <w:rFonts w:ascii="Times New Roman" w:hAnsi="Times New Roman" w:cs="Times New Roman"/>
        </w:rPr>
        <w:t>(5), 2005–2018. https://doi.org/10.1257/aer.97.5.2005</w:t>
      </w:r>
    </w:p>
    <w:p w14:paraId="71DBAC0E"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Vinokurov, E. (2018). </w:t>
      </w:r>
      <w:r w:rsidRPr="004F4CB1">
        <w:rPr>
          <w:rFonts w:ascii="Times New Roman" w:hAnsi="Times New Roman" w:cs="Times New Roman"/>
          <w:i/>
          <w:iCs/>
        </w:rPr>
        <w:t>Introduction to the Eurasian Economic Union</w:t>
      </w:r>
      <w:r w:rsidRPr="004F4CB1">
        <w:rPr>
          <w:rFonts w:ascii="Times New Roman" w:hAnsi="Times New Roman" w:cs="Times New Roman"/>
        </w:rPr>
        <w:t>. Springer International Publishing. https://doi.org/10.1007/978-3-319-92825-8</w:t>
      </w:r>
    </w:p>
    <w:p w14:paraId="13648E66" w14:textId="77777777" w:rsidR="00CE5C32" w:rsidRPr="004F4CB1" w:rsidRDefault="00CE5C32" w:rsidP="00CE5C32">
      <w:pPr>
        <w:pStyle w:val="Bibliography"/>
        <w:bidi w:val="0"/>
        <w:spacing w:after="120" w:line="240" w:lineRule="auto"/>
        <w:ind w:left="0" w:firstLine="0"/>
        <w:rPr>
          <w:rFonts w:ascii="Times New Roman" w:hAnsi="Times New Roman" w:cs="Times New Roman"/>
        </w:rPr>
      </w:pPr>
      <w:r w:rsidRPr="004F4CB1">
        <w:rPr>
          <w:rFonts w:ascii="Times New Roman" w:hAnsi="Times New Roman" w:cs="Times New Roman"/>
        </w:rPr>
        <w:t xml:space="preserve">Yotov, Y. V., Piermartini, R., Monteiro, J.-A., &amp; Larch, M. (2016). </w:t>
      </w:r>
      <w:r w:rsidRPr="004F4CB1">
        <w:rPr>
          <w:rFonts w:ascii="Times New Roman" w:hAnsi="Times New Roman" w:cs="Times New Roman"/>
          <w:i/>
          <w:iCs/>
        </w:rPr>
        <w:t>An Advanced Guide to Trade Policy Analysis​: The Structural Gravity Model</w:t>
      </w:r>
      <w:r w:rsidRPr="004F4CB1">
        <w:rPr>
          <w:rFonts w:ascii="Times New Roman" w:hAnsi="Times New Roman" w:cs="Times New Roman"/>
        </w:rPr>
        <w:t>. WTO. https://doi.org/10.30875/abc0167e-en</w:t>
      </w:r>
    </w:p>
    <w:p w14:paraId="31D0236C" w14:textId="04F037E9" w:rsidR="008C4601" w:rsidRPr="00B976A8" w:rsidRDefault="008C4601" w:rsidP="00CE5C32">
      <w:pPr>
        <w:bidi w:val="0"/>
        <w:spacing w:after="120" w:line="240" w:lineRule="auto"/>
        <w:jc w:val="right"/>
        <w:rPr>
          <w:rFonts w:ascii="Times New Roman" w:hAnsi="Times New Roman"/>
          <w:b/>
          <w:bCs/>
          <w:kern w:val="0"/>
          <w14:ligatures w14:val="none"/>
        </w:rPr>
      </w:pPr>
      <w:r w:rsidRPr="004F4CB1">
        <w:rPr>
          <w:rFonts w:ascii="Times New Roman" w:hAnsi="Times New Roman" w:cs="Times New Roman"/>
          <w:b/>
          <w:bCs/>
          <w:kern w:val="0"/>
          <w14:ligatures w14:val="none"/>
        </w:rPr>
        <w:fldChar w:fldCharType="end"/>
      </w:r>
    </w:p>
    <w:sectPr w:rsidR="008C4601" w:rsidRPr="00B976A8" w:rsidSect="00C04F0D">
      <w:footerReference w:type="default" r:id="rId12"/>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DAC80B" w14:textId="77777777" w:rsidR="00984922" w:rsidRDefault="00984922" w:rsidP="008A08CF">
      <w:pPr>
        <w:spacing w:after="0" w:line="240" w:lineRule="auto"/>
      </w:pPr>
      <w:r>
        <w:separator/>
      </w:r>
    </w:p>
  </w:endnote>
  <w:endnote w:type="continuationSeparator" w:id="0">
    <w:p w14:paraId="6319C3B2" w14:textId="77777777" w:rsidR="00984922" w:rsidRDefault="00984922" w:rsidP="008A0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89C78" w14:textId="3C13981C" w:rsidR="00A0514D" w:rsidRDefault="00A0514D">
    <w:pPr>
      <w:pStyle w:val="Footer"/>
    </w:pPr>
  </w:p>
  <w:p w14:paraId="4F5C9B1F" w14:textId="77777777" w:rsidR="00F246CD" w:rsidRDefault="00F246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697B0" w14:textId="77777777" w:rsidR="00984922" w:rsidRDefault="00984922" w:rsidP="008A08CF">
      <w:pPr>
        <w:spacing w:after="0" w:line="240" w:lineRule="auto"/>
      </w:pPr>
      <w:r>
        <w:separator/>
      </w:r>
    </w:p>
  </w:footnote>
  <w:footnote w:type="continuationSeparator" w:id="0">
    <w:p w14:paraId="57870A2A" w14:textId="77777777" w:rsidR="00984922" w:rsidRDefault="00984922" w:rsidP="008A08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9201"/>
    <w:multiLevelType w:val="multilevel"/>
    <w:tmpl w:val="2050E2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15:restartNumberingAfterBreak="0">
    <w:nsid w:val="03103D96"/>
    <w:multiLevelType w:val="multilevel"/>
    <w:tmpl w:val="A69AF7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33F7CF0"/>
    <w:multiLevelType w:val="multilevel"/>
    <w:tmpl w:val="B50E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661F9"/>
    <w:multiLevelType w:val="multilevel"/>
    <w:tmpl w:val="981E2E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B40AA6"/>
    <w:multiLevelType w:val="hybridMultilevel"/>
    <w:tmpl w:val="F8EC112E"/>
    <w:lvl w:ilvl="0" w:tplc="C228FB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377F3A"/>
    <w:multiLevelType w:val="multilevel"/>
    <w:tmpl w:val="3188BE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2D57D6"/>
    <w:multiLevelType w:val="hybridMultilevel"/>
    <w:tmpl w:val="C9B25276"/>
    <w:lvl w:ilvl="0" w:tplc="C228FB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FE4EC0"/>
    <w:multiLevelType w:val="hybridMultilevel"/>
    <w:tmpl w:val="7D5CB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35461B"/>
    <w:multiLevelType w:val="multilevel"/>
    <w:tmpl w:val="6668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0A42F3"/>
    <w:multiLevelType w:val="hybridMultilevel"/>
    <w:tmpl w:val="A41C4F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AFB23D2"/>
    <w:multiLevelType w:val="multilevel"/>
    <w:tmpl w:val="C9FE9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C64CEE"/>
    <w:multiLevelType w:val="multilevel"/>
    <w:tmpl w:val="FE04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33048"/>
    <w:multiLevelType w:val="multilevel"/>
    <w:tmpl w:val="CDEC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C40589"/>
    <w:multiLevelType w:val="hybridMultilevel"/>
    <w:tmpl w:val="21CAA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8D6F6B"/>
    <w:multiLevelType w:val="hybridMultilevel"/>
    <w:tmpl w:val="B4FCAECE"/>
    <w:lvl w:ilvl="0" w:tplc="3EBAC94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4B6A25"/>
    <w:multiLevelType w:val="multilevel"/>
    <w:tmpl w:val="996E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0715EB"/>
    <w:multiLevelType w:val="multilevel"/>
    <w:tmpl w:val="2084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585360">
    <w:abstractNumId w:val="4"/>
  </w:num>
  <w:num w:numId="2" w16cid:durableId="1209880418">
    <w:abstractNumId w:val="7"/>
  </w:num>
  <w:num w:numId="3" w16cid:durableId="848254301">
    <w:abstractNumId w:val="6"/>
  </w:num>
  <w:num w:numId="4" w16cid:durableId="992828599">
    <w:abstractNumId w:val="10"/>
  </w:num>
  <w:num w:numId="5" w16cid:durableId="113252326">
    <w:abstractNumId w:val="1"/>
  </w:num>
  <w:num w:numId="6" w16cid:durableId="1802576968">
    <w:abstractNumId w:val="3"/>
  </w:num>
  <w:num w:numId="7" w16cid:durableId="215943858">
    <w:abstractNumId w:val="5"/>
  </w:num>
  <w:num w:numId="8" w16cid:durableId="1387483614">
    <w:abstractNumId w:val="8"/>
  </w:num>
  <w:num w:numId="9" w16cid:durableId="1122959981">
    <w:abstractNumId w:val="12"/>
  </w:num>
  <w:num w:numId="10" w16cid:durableId="243875385">
    <w:abstractNumId w:val="16"/>
  </w:num>
  <w:num w:numId="11" w16cid:durableId="2104764497">
    <w:abstractNumId w:val="13"/>
  </w:num>
  <w:num w:numId="12" w16cid:durableId="88084218">
    <w:abstractNumId w:val="9"/>
  </w:num>
  <w:num w:numId="13" w16cid:durableId="4451953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63433476">
    <w:abstractNumId w:val="14"/>
  </w:num>
  <w:num w:numId="15" w16cid:durableId="135146595">
    <w:abstractNumId w:val="15"/>
  </w:num>
  <w:num w:numId="16" w16cid:durableId="1551377137">
    <w:abstractNumId w:val="11"/>
  </w:num>
  <w:num w:numId="17" w16cid:durableId="8058571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8CF"/>
    <w:rsid w:val="00001489"/>
    <w:rsid w:val="000023D7"/>
    <w:rsid w:val="00011C00"/>
    <w:rsid w:val="00015D20"/>
    <w:rsid w:val="00015F43"/>
    <w:rsid w:val="000162C5"/>
    <w:rsid w:val="00021A61"/>
    <w:rsid w:val="0002250D"/>
    <w:rsid w:val="000237DB"/>
    <w:rsid w:val="00026FDD"/>
    <w:rsid w:val="000331D9"/>
    <w:rsid w:val="00036158"/>
    <w:rsid w:val="00040047"/>
    <w:rsid w:val="00052606"/>
    <w:rsid w:val="00070C59"/>
    <w:rsid w:val="000717C0"/>
    <w:rsid w:val="00074EFE"/>
    <w:rsid w:val="0008263B"/>
    <w:rsid w:val="00085D97"/>
    <w:rsid w:val="000A092C"/>
    <w:rsid w:val="000A2FD0"/>
    <w:rsid w:val="000A648B"/>
    <w:rsid w:val="000A66B0"/>
    <w:rsid w:val="000A6D0A"/>
    <w:rsid w:val="000A7A0F"/>
    <w:rsid w:val="000B19BD"/>
    <w:rsid w:val="000B50C0"/>
    <w:rsid w:val="000B5A45"/>
    <w:rsid w:val="000C251B"/>
    <w:rsid w:val="000C4D19"/>
    <w:rsid w:val="000C5A28"/>
    <w:rsid w:val="000E4A5C"/>
    <w:rsid w:val="000F3305"/>
    <w:rsid w:val="00104157"/>
    <w:rsid w:val="00110032"/>
    <w:rsid w:val="00110D96"/>
    <w:rsid w:val="001131A8"/>
    <w:rsid w:val="00113779"/>
    <w:rsid w:val="001166CD"/>
    <w:rsid w:val="00127469"/>
    <w:rsid w:val="00130817"/>
    <w:rsid w:val="00130C9B"/>
    <w:rsid w:val="00135017"/>
    <w:rsid w:val="0014083A"/>
    <w:rsid w:val="00142912"/>
    <w:rsid w:val="001609A1"/>
    <w:rsid w:val="001612FC"/>
    <w:rsid w:val="001664A5"/>
    <w:rsid w:val="00177F4F"/>
    <w:rsid w:val="001841B4"/>
    <w:rsid w:val="00190BF8"/>
    <w:rsid w:val="00191BC5"/>
    <w:rsid w:val="00194E9F"/>
    <w:rsid w:val="00194EDC"/>
    <w:rsid w:val="00195D9D"/>
    <w:rsid w:val="001A48C7"/>
    <w:rsid w:val="001B50F9"/>
    <w:rsid w:val="001C1CF0"/>
    <w:rsid w:val="001C6A5F"/>
    <w:rsid w:val="001D1034"/>
    <w:rsid w:val="001E291F"/>
    <w:rsid w:val="001E444B"/>
    <w:rsid w:val="001E7AA8"/>
    <w:rsid w:val="001F1A01"/>
    <w:rsid w:val="001F64C4"/>
    <w:rsid w:val="002006C4"/>
    <w:rsid w:val="00201E72"/>
    <w:rsid w:val="00204777"/>
    <w:rsid w:val="002065B0"/>
    <w:rsid w:val="00207B4A"/>
    <w:rsid w:val="00214DA9"/>
    <w:rsid w:val="00216E0D"/>
    <w:rsid w:val="00220B88"/>
    <w:rsid w:val="00223703"/>
    <w:rsid w:val="00230AA2"/>
    <w:rsid w:val="00232A9B"/>
    <w:rsid w:val="00234218"/>
    <w:rsid w:val="00256139"/>
    <w:rsid w:val="0026242D"/>
    <w:rsid w:val="00271623"/>
    <w:rsid w:val="0027344D"/>
    <w:rsid w:val="00276988"/>
    <w:rsid w:val="00276ACD"/>
    <w:rsid w:val="0027738D"/>
    <w:rsid w:val="00280C07"/>
    <w:rsid w:val="00284E3C"/>
    <w:rsid w:val="002956B9"/>
    <w:rsid w:val="00296B9A"/>
    <w:rsid w:val="002A291C"/>
    <w:rsid w:val="002A4FE2"/>
    <w:rsid w:val="002A5DFE"/>
    <w:rsid w:val="002B1B6F"/>
    <w:rsid w:val="002B40C8"/>
    <w:rsid w:val="002B6D4D"/>
    <w:rsid w:val="002C3599"/>
    <w:rsid w:val="002D00DF"/>
    <w:rsid w:val="002D2ADC"/>
    <w:rsid w:val="002D5034"/>
    <w:rsid w:val="002D683E"/>
    <w:rsid w:val="002E1227"/>
    <w:rsid w:val="002E2D40"/>
    <w:rsid w:val="002E2EFF"/>
    <w:rsid w:val="002E3C78"/>
    <w:rsid w:val="002E4B37"/>
    <w:rsid w:val="002E7299"/>
    <w:rsid w:val="002F7677"/>
    <w:rsid w:val="00301426"/>
    <w:rsid w:val="003051D3"/>
    <w:rsid w:val="003060E2"/>
    <w:rsid w:val="00306A5C"/>
    <w:rsid w:val="003073FE"/>
    <w:rsid w:val="003109BF"/>
    <w:rsid w:val="00311D31"/>
    <w:rsid w:val="0031283B"/>
    <w:rsid w:val="003210F2"/>
    <w:rsid w:val="00322E0A"/>
    <w:rsid w:val="00323D1F"/>
    <w:rsid w:val="00332C5B"/>
    <w:rsid w:val="00334740"/>
    <w:rsid w:val="0033538E"/>
    <w:rsid w:val="00353A75"/>
    <w:rsid w:val="00357F35"/>
    <w:rsid w:val="00361AA6"/>
    <w:rsid w:val="00363147"/>
    <w:rsid w:val="00367FEC"/>
    <w:rsid w:val="00370278"/>
    <w:rsid w:val="00372138"/>
    <w:rsid w:val="00387B3F"/>
    <w:rsid w:val="003949CF"/>
    <w:rsid w:val="00394F24"/>
    <w:rsid w:val="003A1AFA"/>
    <w:rsid w:val="003A64E4"/>
    <w:rsid w:val="003B0953"/>
    <w:rsid w:val="003B0BA8"/>
    <w:rsid w:val="003C5249"/>
    <w:rsid w:val="003C5FD8"/>
    <w:rsid w:val="003D12D1"/>
    <w:rsid w:val="003D2F61"/>
    <w:rsid w:val="003D43F7"/>
    <w:rsid w:val="003D7B89"/>
    <w:rsid w:val="003E4CAC"/>
    <w:rsid w:val="003E5F69"/>
    <w:rsid w:val="003F3162"/>
    <w:rsid w:val="003F7C37"/>
    <w:rsid w:val="00411394"/>
    <w:rsid w:val="00412C49"/>
    <w:rsid w:val="004166B7"/>
    <w:rsid w:val="00421C4D"/>
    <w:rsid w:val="00430AB2"/>
    <w:rsid w:val="00431F10"/>
    <w:rsid w:val="004372AD"/>
    <w:rsid w:val="00442217"/>
    <w:rsid w:val="004451AD"/>
    <w:rsid w:val="0044635A"/>
    <w:rsid w:val="004521CD"/>
    <w:rsid w:val="0045437B"/>
    <w:rsid w:val="00454CB8"/>
    <w:rsid w:val="00455A07"/>
    <w:rsid w:val="0045670B"/>
    <w:rsid w:val="004619E8"/>
    <w:rsid w:val="00470F36"/>
    <w:rsid w:val="0047276D"/>
    <w:rsid w:val="00473C78"/>
    <w:rsid w:val="00476684"/>
    <w:rsid w:val="00480F2D"/>
    <w:rsid w:val="004A32C2"/>
    <w:rsid w:val="004B3F88"/>
    <w:rsid w:val="004C00B8"/>
    <w:rsid w:val="004C065C"/>
    <w:rsid w:val="004C1B6D"/>
    <w:rsid w:val="004C656F"/>
    <w:rsid w:val="004C749B"/>
    <w:rsid w:val="004D1B49"/>
    <w:rsid w:val="004D2DFF"/>
    <w:rsid w:val="004D4EB4"/>
    <w:rsid w:val="004D64C6"/>
    <w:rsid w:val="004D6D9C"/>
    <w:rsid w:val="004D6E68"/>
    <w:rsid w:val="004E22E3"/>
    <w:rsid w:val="004E63DF"/>
    <w:rsid w:val="004F4CB1"/>
    <w:rsid w:val="004F5EDA"/>
    <w:rsid w:val="00500909"/>
    <w:rsid w:val="00510A83"/>
    <w:rsid w:val="00513BB0"/>
    <w:rsid w:val="005145C0"/>
    <w:rsid w:val="0051499F"/>
    <w:rsid w:val="005209B9"/>
    <w:rsid w:val="00521911"/>
    <w:rsid w:val="00522776"/>
    <w:rsid w:val="00523474"/>
    <w:rsid w:val="00541EA1"/>
    <w:rsid w:val="00553084"/>
    <w:rsid w:val="0055426C"/>
    <w:rsid w:val="00554F34"/>
    <w:rsid w:val="005709DF"/>
    <w:rsid w:val="0057664D"/>
    <w:rsid w:val="005810E2"/>
    <w:rsid w:val="00583AA8"/>
    <w:rsid w:val="00583DFA"/>
    <w:rsid w:val="005A5E8F"/>
    <w:rsid w:val="005A7675"/>
    <w:rsid w:val="005B2A5D"/>
    <w:rsid w:val="005C6437"/>
    <w:rsid w:val="005D5EA1"/>
    <w:rsid w:val="005D63B1"/>
    <w:rsid w:val="005E3A7E"/>
    <w:rsid w:val="005E3C42"/>
    <w:rsid w:val="005F0B3A"/>
    <w:rsid w:val="005F3DB7"/>
    <w:rsid w:val="005F6646"/>
    <w:rsid w:val="00601639"/>
    <w:rsid w:val="00602B2C"/>
    <w:rsid w:val="00606C25"/>
    <w:rsid w:val="0061119C"/>
    <w:rsid w:val="006165B9"/>
    <w:rsid w:val="00617A76"/>
    <w:rsid w:val="00620AC1"/>
    <w:rsid w:val="00627274"/>
    <w:rsid w:val="006314C4"/>
    <w:rsid w:val="00632325"/>
    <w:rsid w:val="00633E48"/>
    <w:rsid w:val="006461E7"/>
    <w:rsid w:val="00646F0B"/>
    <w:rsid w:val="0065418C"/>
    <w:rsid w:val="00657699"/>
    <w:rsid w:val="00657DC0"/>
    <w:rsid w:val="00671371"/>
    <w:rsid w:val="00683F07"/>
    <w:rsid w:val="00686FFB"/>
    <w:rsid w:val="00690705"/>
    <w:rsid w:val="00694A5C"/>
    <w:rsid w:val="00695AFE"/>
    <w:rsid w:val="00696B3E"/>
    <w:rsid w:val="006A0D9C"/>
    <w:rsid w:val="006A4899"/>
    <w:rsid w:val="006A49F4"/>
    <w:rsid w:val="006B0FD4"/>
    <w:rsid w:val="006B17BD"/>
    <w:rsid w:val="006B515F"/>
    <w:rsid w:val="006D3F84"/>
    <w:rsid w:val="006E7215"/>
    <w:rsid w:val="006F0754"/>
    <w:rsid w:val="007017C2"/>
    <w:rsid w:val="00703303"/>
    <w:rsid w:val="00710C19"/>
    <w:rsid w:val="00711564"/>
    <w:rsid w:val="007119DF"/>
    <w:rsid w:val="00735F30"/>
    <w:rsid w:val="00740CEF"/>
    <w:rsid w:val="00744155"/>
    <w:rsid w:val="0074443D"/>
    <w:rsid w:val="007554FB"/>
    <w:rsid w:val="00757A6A"/>
    <w:rsid w:val="00766204"/>
    <w:rsid w:val="00770627"/>
    <w:rsid w:val="00776A81"/>
    <w:rsid w:val="007849B4"/>
    <w:rsid w:val="00786F91"/>
    <w:rsid w:val="00790A07"/>
    <w:rsid w:val="007A0402"/>
    <w:rsid w:val="007A05C2"/>
    <w:rsid w:val="007A70DE"/>
    <w:rsid w:val="007B0ED0"/>
    <w:rsid w:val="007B535E"/>
    <w:rsid w:val="007B5BCE"/>
    <w:rsid w:val="007B7F74"/>
    <w:rsid w:val="007C4355"/>
    <w:rsid w:val="007C5E46"/>
    <w:rsid w:val="007D0AF4"/>
    <w:rsid w:val="007D466E"/>
    <w:rsid w:val="007D6C16"/>
    <w:rsid w:val="007E0FFB"/>
    <w:rsid w:val="007F2CCF"/>
    <w:rsid w:val="007F3456"/>
    <w:rsid w:val="00800A53"/>
    <w:rsid w:val="00801576"/>
    <w:rsid w:val="00802C04"/>
    <w:rsid w:val="00804A59"/>
    <w:rsid w:val="00804F2B"/>
    <w:rsid w:val="00815780"/>
    <w:rsid w:val="00820552"/>
    <w:rsid w:val="008214AB"/>
    <w:rsid w:val="008277BC"/>
    <w:rsid w:val="00832CDF"/>
    <w:rsid w:val="008334F9"/>
    <w:rsid w:val="0084103E"/>
    <w:rsid w:val="00844A5B"/>
    <w:rsid w:val="00844FD7"/>
    <w:rsid w:val="00850AD3"/>
    <w:rsid w:val="00854A34"/>
    <w:rsid w:val="00856FCD"/>
    <w:rsid w:val="008574B2"/>
    <w:rsid w:val="00861C90"/>
    <w:rsid w:val="00862D25"/>
    <w:rsid w:val="0086453B"/>
    <w:rsid w:val="00873F31"/>
    <w:rsid w:val="00877F86"/>
    <w:rsid w:val="008836C8"/>
    <w:rsid w:val="008865A4"/>
    <w:rsid w:val="008921CC"/>
    <w:rsid w:val="008A08CF"/>
    <w:rsid w:val="008A3A8B"/>
    <w:rsid w:val="008A558F"/>
    <w:rsid w:val="008B1EF2"/>
    <w:rsid w:val="008C4601"/>
    <w:rsid w:val="008C64AD"/>
    <w:rsid w:val="008C6945"/>
    <w:rsid w:val="008D575C"/>
    <w:rsid w:val="008D7CCD"/>
    <w:rsid w:val="008E413F"/>
    <w:rsid w:val="008E55D5"/>
    <w:rsid w:val="009023A8"/>
    <w:rsid w:val="0091583A"/>
    <w:rsid w:val="00923A86"/>
    <w:rsid w:val="00935CD7"/>
    <w:rsid w:val="0094072F"/>
    <w:rsid w:val="0094536B"/>
    <w:rsid w:val="00951D71"/>
    <w:rsid w:val="009759ED"/>
    <w:rsid w:val="009801AA"/>
    <w:rsid w:val="0098050C"/>
    <w:rsid w:val="00982D3F"/>
    <w:rsid w:val="00984922"/>
    <w:rsid w:val="009863E8"/>
    <w:rsid w:val="00991E06"/>
    <w:rsid w:val="009922BD"/>
    <w:rsid w:val="00993899"/>
    <w:rsid w:val="00997E16"/>
    <w:rsid w:val="009A723A"/>
    <w:rsid w:val="009B0783"/>
    <w:rsid w:val="009C52A4"/>
    <w:rsid w:val="009D7505"/>
    <w:rsid w:val="009E1D22"/>
    <w:rsid w:val="009E2CC0"/>
    <w:rsid w:val="009E3F46"/>
    <w:rsid w:val="009E5662"/>
    <w:rsid w:val="009F0250"/>
    <w:rsid w:val="00A01360"/>
    <w:rsid w:val="00A0514D"/>
    <w:rsid w:val="00A14B77"/>
    <w:rsid w:val="00A20942"/>
    <w:rsid w:val="00A25497"/>
    <w:rsid w:val="00A26B6C"/>
    <w:rsid w:val="00A27C20"/>
    <w:rsid w:val="00A30677"/>
    <w:rsid w:val="00A33DE7"/>
    <w:rsid w:val="00A43D7A"/>
    <w:rsid w:val="00A44867"/>
    <w:rsid w:val="00A45954"/>
    <w:rsid w:val="00A619F9"/>
    <w:rsid w:val="00A8189C"/>
    <w:rsid w:val="00A836C5"/>
    <w:rsid w:val="00A837B5"/>
    <w:rsid w:val="00A877BD"/>
    <w:rsid w:val="00AA1782"/>
    <w:rsid w:val="00AA4F65"/>
    <w:rsid w:val="00AB0195"/>
    <w:rsid w:val="00AB1076"/>
    <w:rsid w:val="00AC6583"/>
    <w:rsid w:val="00AD0196"/>
    <w:rsid w:val="00AD382D"/>
    <w:rsid w:val="00AD4C51"/>
    <w:rsid w:val="00AE080D"/>
    <w:rsid w:val="00AE1143"/>
    <w:rsid w:val="00AE3DCD"/>
    <w:rsid w:val="00AE5CFF"/>
    <w:rsid w:val="00AE6898"/>
    <w:rsid w:val="00AF30D9"/>
    <w:rsid w:val="00AF696D"/>
    <w:rsid w:val="00AF7718"/>
    <w:rsid w:val="00B04062"/>
    <w:rsid w:val="00B06D94"/>
    <w:rsid w:val="00B16656"/>
    <w:rsid w:val="00B22F05"/>
    <w:rsid w:val="00B2412D"/>
    <w:rsid w:val="00B43B99"/>
    <w:rsid w:val="00B4674B"/>
    <w:rsid w:val="00B60587"/>
    <w:rsid w:val="00B70F37"/>
    <w:rsid w:val="00B91BB9"/>
    <w:rsid w:val="00B976A8"/>
    <w:rsid w:val="00BA036B"/>
    <w:rsid w:val="00BA18EF"/>
    <w:rsid w:val="00BB0EBB"/>
    <w:rsid w:val="00BB2D16"/>
    <w:rsid w:val="00BB439F"/>
    <w:rsid w:val="00BB4477"/>
    <w:rsid w:val="00BD4C20"/>
    <w:rsid w:val="00BD777F"/>
    <w:rsid w:val="00BD78CD"/>
    <w:rsid w:val="00BE0F0F"/>
    <w:rsid w:val="00BE1742"/>
    <w:rsid w:val="00BE2B5C"/>
    <w:rsid w:val="00BE4948"/>
    <w:rsid w:val="00BE5961"/>
    <w:rsid w:val="00BE7358"/>
    <w:rsid w:val="00BF0E0E"/>
    <w:rsid w:val="00BF2B40"/>
    <w:rsid w:val="00C0145D"/>
    <w:rsid w:val="00C01500"/>
    <w:rsid w:val="00C03252"/>
    <w:rsid w:val="00C04F0D"/>
    <w:rsid w:val="00C063C4"/>
    <w:rsid w:val="00C06587"/>
    <w:rsid w:val="00C2525A"/>
    <w:rsid w:val="00C25DC6"/>
    <w:rsid w:val="00C4031F"/>
    <w:rsid w:val="00C40E85"/>
    <w:rsid w:val="00C45A8B"/>
    <w:rsid w:val="00C50056"/>
    <w:rsid w:val="00C50CCB"/>
    <w:rsid w:val="00C537E9"/>
    <w:rsid w:val="00C569C7"/>
    <w:rsid w:val="00C63927"/>
    <w:rsid w:val="00C66220"/>
    <w:rsid w:val="00C7123A"/>
    <w:rsid w:val="00C71F72"/>
    <w:rsid w:val="00C77110"/>
    <w:rsid w:val="00C80B29"/>
    <w:rsid w:val="00C921E2"/>
    <w:rsid w:val="00C935F9"/>
    <w:rsid w:val="00C96A13"/>
    <w:rsid w:val="00CA44F8"/>
    <w:rsid w:val="00CA78A8"/>
    <w:rsid w:val="00CB0288"/>
    <w:rsid w:val="00CB5BF9"/>
    <w:rsid w:val="00CC5B37"/>
    <w:rsid w:val="00CC6126"/>
    <w:rsid w:val="00CC6EB0"/>
    <w:rsid w:val="00CD0CEA"/>
    <w:rsid w:val="00CD3816"/>
    <w:rsid w:val="00CD7099"/>
    <w:rsid w:val="00CE5C32"/>
    <w:rsid w:val="00CF03DA"/>
    <w:rsid w:val="00CF0BBB"/>
    <w:rsid w:val="00CF5969"/>
    <w:rsid w:val="00D017F5"/>
    <w:rsid w:val="00D04A46"/>
    <w:rsid w:val="00D05E84"/>
    <w:rsid w:val="00D131C6"/>
    <w:rsid w:val="00D16CFB"/>
    <w:rsid w:val="00D234F3"/>
    <w:rsid w:val="00D32DC1"/>
    <w:rsid w:val="00D34BEA"/>
    <w:rsid w:val="00D36F7E"/>
    <w:rsid w:val="00D41396"/>
    <w:rsid w:val="00D50AB6"/>
    <w:rsid w:val="00D55E11"/>
    <w:rsid w:val="00D609BF"/>
    <w:rsid w:val="00D71473"/>
    <w:rsid w:val="00D716F7"/>
    <w:rsid w:val="00D74FD9"/>
    <w:rsid w:val="00D83E35"/>
    <w:rsid w:val="00D868ED"/>
    <w:rsid w:val="00D87B22"/>
    <w:rsid w:val="00D9168B"/>
    <w:rsid w:val="00DA1C36"/>
    <w:rsid w:val="00DA5F8F"/>
    <w:rsid w:val="00DA6C2E"/>
    <w:rsid w:val="00DB48A0"/>
    <w:rsid w:val="00DD1216"/>
    <w:rsid w:val="00DD16B3"/>
    <w:rsid w:val="00DD1DA3"/>
    <w:rsid w:val="00DD538C"/>
    <w:rsid w:val="00DD7CC0"/>
    <w:rsid w:val="00DE18CC"/>
    <w:rsid w:val="00DE34C4"/>
    <w:rsid w:val="00DF17F2"/>
    <w:rsid w:val="00DF5374"/>
    <w:rsid w:val="00DF6B9B"/>
    <w:rsid w:val="00E0088E"/>
    <w:rsid w:val="00E066AC"/>
    <w:rsid w:val="00E10651"/>
    <w:rsid w:val="00E15B73"/>
    <w:rsid w:val="00E21D1D"/>
    <w:rsid w:val="00E23C62"/>
    <w:rsid w:val="00E24FEE"/>
    <w:rsid w:val="00E400A8"/>
    <w:rsid w:val="00E4303C"/>
    <w:rsid w:val="00E46A02"/>
    <w:rsid w:val="00E51E09"/>
    <w:rsid w:val="00E56749"/>
    <w:rsid w:val="00E57453"/>
    <w:rsid w:val="00E6742A"/>
    <w:rsid w:val="00E7375E"/>
    <w:rsid w:val="00E74B47"/>
    <w:rsid w:val="00E74D72"/>
    <w:rsid w:val="00E821A7"/>
    <w:rsid w:val="00E82689"/>
    <w:rsid w:val="00E8673E"/>
    <w:rsid w:val="00E951F9"/>
    <w:rsid w:val="00EA7012"/>
    <w:rsid w:val="00EB2776"/>
    <w:rsid w:val="00EB2A1E"/>
    <w:rsid w:val="00EB2DDE"/>
    <w:rsid w:val="00EC28FA"/>
    <w:rsid w:val="00EC7627"/>
    <w:rsid w:val="00ED2CC8"/>
    <w:rsid w:val="00ED2F4B"/>
    <w:rsid w:val="00ED5D1D"/>
    <w:rsid w:val="00F02BF1"/>
    <w:rsid w:val="00F048F3"/>
    <w:rsid w:val="00F04AD7"/>
    <w:rsid w:val="00F21D8E"/>
    <w:rsid w:val="00F246CD"/>
    <w:rsid w:val="00F2478F"/>
    <w:rsid w:val="00F250F9"/>
    <w:rsid w:val="00F25FFD"/>
    <w:rsid w:val="00F31E45"/>
    <w:rsid w:val="00F45CAB"/>
    <w:rsid w:val="00F468CF"/>
    <w:rsid w:val="00F5191E"/>
    <w:rsid w:val="00F53C15"/>
    <w:rsid w:val="00F64100"/>
    <w:rsid w:val="00F66F1D"/>
    <w:rsid w:val="00F71DB9"/>
    <w:rsid w:val="00F720C0"/>
    <w:rsid w:val="00F7228D"/>
    <w:rsid w:val="00F75BB8"/>
    <w:rsid w:val="00F84620"/>
    <w:rsid w:val="00F91D14"/>
    <w:rsid w:val="00F94040"/>
    <w:rsid w:val="00F94C14"/>
    <w:rsid w:val="00FA27BF"/>
    <w:rsid w:val="00FA6B7A"/>
    <w:rsid w:val="00FB00CE"/>
    <w:rsid w:val="00FB013E"/>
    <w:rsid w:val="00FB6A8A"/>
    <w:rsid w:val="00FB6D20"/>
    <w:rsid w:val="00FD01DC"/>
    <w:rsid w:val="00FD226F"/>
    <w:rsid w:val="00FE5ED6"/>
    <w:rsid w:val="00FE657A"/>
    <w:rsid w:val="00FE6C5D"/>
    <w:rsid w:val="00FE7151"/>
    <w:rsid w:val="00FF06BB"/>
    <w:rsid w:val="00FF1A3E"/>
    <w:rsid w:val="00FF5C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26E06C"/>
  <w15:chartTrackingRefBased/>
  <w15:docId w15:val="{825AB133-CC98-4208-A706-5A93998EE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8CF"/>
    <w:pPr>
      <w:bidi/>
    </w:pPr>
  </w:style>
  <w:style w:type="paragraph" w:styleId="Heading1">
    <w:name w:val="heading 1"/>
    <w:basedOn w:val="Normal"/>
    <w:next w:val="Normal"/>
    <w:link w:val="Heading1Char"/>
    <w:uiPriority w:val="9"/>
    <w:qFormat/>
    <w:rsid w:val="008A0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8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8CF"/>
    <w:rPr>
      <w:rFonts w:eastAsiaTheme="majorEastAsia" w:cstheme="majorBidi"/>
      <w:color w:val="272727" w:themeColor="text1" w:themeTint="D8"/>
    </w:rPr>
  </w:style>
  <w:style w:type="paragraph" w:styleId="Title">
    <w:name w:val="Title"/>
    <w:basedOn w:val="Normal"/>
    <w:next w:val="Normal"/>
    <w:link w:val="TitleChar"/>
    <w:uiPriority w:val="10"/>
    <w:qFormat/>
    <w:rsid w:val="008A0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8CF"/>
    <w:pPr>
      <w:spacing w:before="160"/>
      <w:jc w:val="center"/>
    </w:pPr>
    <w:rPr>
      <w:i/>
      <w:iCs/>
      <w:color w:val="404040" w:themeColor="text1" w:themeTint="BF"/>
    </w:rPr>
  </w:style>
  <w:style w:type="character" w:customStyle="1" w:styleId="QuoteChar">
    <w:name w:val="Quote Char"/>
    <w:basedOn w:val="DefaultParagraphFont"/>
    <w:link w:val="Quote"/>
    <w:uiPriority w:val="29"/>
    <w:rsid w:val="008A08CF"/>
    <w:rPr>
      <w:i/>
      <w:iCs/>
      <w:color w:val="404040" w:themeColor="text1" w:themeTint="BF"/>
    </w:rPr>
  </w:style>
  <w:style w:type="paragraph" w:styleId="ListParagraph">
    <w:name w:val="List Paragraph"/>
    <w:basedOn w:val="Normal"/>
    <w:uiPriority w:val="34"/>
    <w:qFormat/>
    <w:rsid w:val="008A08CF"/>
    <w:pPr>
      <w:ind w:left="720"/>
      <w:contextualSpacing/>
    </w:pPr>
  </w:style>
  <w:style w:type="character" w:styleId="IntenseEmphasis">
    <w:name w:val="Intense Emphasis"/>
    <w:basedOn w:val="DefaultParagraphFont"/>
    <w:uiPriority w:val="21"/>
    <w:qFormat/>
    <w:rsid w:val="008A08CF"/>
    <w:rPr>
      <w:i/>
      <w:iCs/>
      <w:color w:val="0F4761" w:themeColor="accent1" w:themeShade="BF"/>
    </w:rPr>
  </w:style>
  <w:style w:type="paragraph" w:styleId="IntenseQuote">
    <w:name w:val="Intense Quote"/>
    <w:basedOn w:val="Normal"/>
    <w:next w:val="Normal"/>
    <w:link w:val="IntenseQuoteChar"/>
    <w:uiPriority w:val="30"/>
    <w:qFormat/>
    <w:rsid w:val="008A0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8CF"/>
    <w:rPr>
      <w:i/>
      <w:iCs/>
      <w:color w:val="0F4761" w:themeColor="accent1" w:themeShade="BF"/>
    </w:rPr>
  </w:style>
  <w:style w:type="character" w:styleId="IntenseReference">
    <w:name w:val="Intense Reference"/>
    <w:basedOn w:val="DefaultParagraphFont"/>
    <w:uiPriority w:val="32"/>
    <w:qFormat/>
    <w:rsid w:val="008A08CF"/>
    <w:rPr>
      <w:b/>
      <w:bCs/>
      <w:smallCaps/>
      <w:color w:val="0F4761" w:themeColor="accent1" w:themeShade="BF"/>
      <w:spacing w:val="5"/>
    </w:rPr>
  </w:style>
  <w:style w:type="paragraph" w:styleId="Header">
    <w:name w:val="header"/>
    <w:basedOn w:val="Normal"/>
    <w:link w:val="HeaderChar"/>
    <w:uiPriority w:val="99"/>
    <w:unhideWhenUsed/>
    <w:rsid w:val="008A08CF"/>
    <w:pPr>
      <w:tabs>
        <w:tab w:val="center" w:pos="4153"/>
        <w:tab w:val="right" w:pos="8306"/>
      </w:tabs>
      <w:spacing w:after="0" w:line="240" w:lineRule="auto"/>
    </w:pPr>
  </w:style>
  <w:style w:type="character" w:customStyle="1" w:styleId="HeaderChar">
    <w:name w:val="Header Char"/>
    <w:basedOn w:val="DefaultParagraphFont"/>
    <w:link w:val="Header"/>
    <w:uiPriority w:val="99"/>
    <w:rsid w:val="008A08CF"/>
  </w:style>
  <w:style w:type="paragraph" w:styleId="Footer">
    <w:name w:val="footer"/>
    <w:basedOn w:val="Normal"/>
    <w:link w:val="FooterChar"/>
    <w:uiPriority w:val="99"/>
    <w:unhideWhenUsed/>
    <w:rsid w:val="008A08CF"/>
    <w:pPr>
      <w:tabs>
        <w:tab w:val="center" w:pos="4153"/>
        <w:tab w:val="right" w:pos="8306"/>
      </w:tabs>
      <w:spacing w:after="0" w:line="240" w:lineRule="auto"/>
    </w:pPr>
  </w:style>
  <w:style w:type="character" w:customStyle="1" w:styleId="FooterChar">
    <w:name w:val="Footer Char"/>
    <w:basedOn w:val="DefaultParagraphFont"/>
    <w:link w:val="Footer"/>
    <w:uiPriority w:val="99"/>
    <w:rsid w:val="008A08CF"/>
  </w:style>
  <w:style w:type="paragraph" w:styleId="NoSpacing">
    <w:name w:val="No Spacing"/>
    <w:link w:val="NoSpacingChar"/>
    <w:uiPriority w:val="1"/>
    <w:qFormat/>
    <w:rsid w:val="008A08CF"/>
    <w:pPr>
      <w:bidi/>
      <w:spacing w:after="0" w:line="240" w:lineRule="auto"/>
    </w:pPr>
  </w:style>
  <w:style w:type="character" w:customStyle="1" w:styleId="NoSpacingChar">
    <w:name w:val="No Spacing Char"/>
    <w:basedOn w:val="DefaultParagraphFont"/>
    <w:link w:val="NoSpacing"/>
    <w:uiPriority w:val="1"/>
    <w:rsid w:val="008A08CF"/>
  </w:style>
  <w:style w:type="character" w:styleId="PlaceholderText">
    <w:name w:val="Placeholder Text"/>
    <w:basedOn w:val="DefaultParagraphFont"/>
    <w:uiPriority w:val="99"/>
    <w:semiHidden/>
    <w:rsid w:val="008A08CF"/>
    <w:rPr>
      <w:color w:val="666666"/>
    </w:rPr>
  </w:style>
  <w:style w:type="paragraph" w:styleId="NormalWeb">
    <w:name w:val="Normal (Web)"/>
    <w:basedOn w:val="Normal"/>
    <w:uiPriority w:val="99"/>
    <w:unhideWhenUsed/>
    <w:rsid w:val="008A08CF"/>
    <w:rPr>
      <w:rFonts w:ascii="Times New Roman" w:hAnsi="Times New Roman" w:cs="Times New Roman"/>
    </w:rPr>
  </w:style>
  <w:style w:type="character" w:styleId="Hyperlink">
    <w:name w:val="Hyperlink"/>
    <w:basedOn w:val="DefaultParagraphFont"/>
    <w:uiPriority w:val="99"/>
    <w:unhideWhenUsed/>
    <w:rsid w:val="008A08CF"/>
    <w:rPr>
      <w:color w:val="467886" w:themeColor="hyperlink"/>
      <w:u w:val="single"/>
    </w:rPr>
  </w:style>
  <w:style w:type="character" w:styleId="UnresolvedMention">
    <w:name w:val="Unresolved Mention"/>
    <w:basedOn w:val="DefaultParagraphFont"/>
    <w:uiPriority w:val="99"/>
    <w:semiHidden/>
    <w:unhideWhenUsed/>
    <w:rsid w:val="008A08CF"/>
    <w:rPr>
      <w:color w:val="605E5C"/>
      <w:shd w:val="clear" w:color="auto" w:fill="E1DFDD"/>
    </w:rPr>
  </w:style>
  <w:style w:type="character" w:styleId="FollowedHyperlink">
    <w:name w:val="FollowedHyperlink"/>
    <w:basedOn w:val="DefaultParagraphFont"/>
    <w:uiPriority w:val="99"/>
    <w:semiHidden/>
    <w:unhideWhenUsed/>
    <w:rsid w:val="008A08CF"/>
    <w:rPr>
      <w:color w:val="96607D" w:themeColor="followedHyperlink"/>
      <w:u w:val="single"/>
    </w:rPr>
  </w:style>
  <w:style w:type="character" w:styleId="Emphasis">
    <w:name w:val="Emphasis"/>
    <w:basedOn w:val="DefaultParagraphFont"/>
    <w:uiPriority w:val="20"/>
    <w:qFormat/>
    <w:rsid w:val="008A08CF"/>
    <w:rPr>
      <w:i/>
      <w:iCs/>
    </w:rPr>
  </w:style>
  <w:style w:type="character" w:customStyle="1" w:styleId="ms-1">
    <w:name w:val="ms-1"/>
    <w:basedOn w:val="DefaultParagraphFont"/>
    <w:rsid w:val="008A08CF"/>
  </w:style>
  <w:style w:type="character" w:customStyle="1" w:styleId="max-w-15ch">
    <w:name w:val="max-w-[15ch]"/>
    <w:basedOn w:val="DefaultParagraphFont"/>
    <w:rsid w:val="008A08CF"/>
  </w:style>
  <w:style w:type="character" w:customStyle="1" w:styleId="-me-1">
    <w:name w:val="-me-1"/>
    <w:basedOn w:val="DefaultParagraphFont"/>
    <w:rsid w:val="008A08CF"/>
  </w:style>
  <w:style w:type="character" w:styleId="Strong">
    <w:name w:val="Strong"/>
    <w:basedOn w:val="DefaultParagraphFont"/>
    <w:uiPriority w:val="22"/>
    <w:qFormat/>
    <w:rsid w:val="008A08CF"/>
    <w:rPr>
      <w:b/>
      <w:bCs/>
    </w:rPr>
  </w:style>
  <w:style w:type="paragraph" w:styleId="Bibliography">
    <w:name w:val="Bibliography"/>
    <w:basedOn w:val="Normal"/>
    <w:next w:val="Normal"/>
    <w:uiPriority w:val="37"/>
    <w:unhideWhenUsed/>
    <w:rsid w:val="008A08CF"/>
    <w:pPr>
      <w:spacing w:after="0" w:line="480" w:lineRule="auto"/>
      <w:ind w:left="720" w:hanging="720"/>
    </w:pPr>
  </w:style>
  <w:style w:type="table" w:styleId="TableGrid">
    <w:name w:val="Table Grid"/>
    <w:basedOn w:val="TableNormal"/>
    <w:uiPriority w:val="39"/>
    <w:rsid w:val="00394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664A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mpact">
    <w:name w:val="Compact"/>
    <w:basedOn w:val="BodyText"/>
    <w:qFormat/>
    <w:rsid w:val="00A26B6C"/>
    <w:pPr>
      <w:bidi w:val="0"/>
      <w:spacing w:before="36" w:after="36" w:line="240" w:lineRule="auto"/>
    </w:pPr>
    <w:rPr>
      <w:rFonts w:ascii="Times New Roman" w:hAnsi="Times New Roman"/>
      <w:kern w:val="0"/>
      <w14:ligatures w14:val="none"/>
    </w:rPr>
  </w:style>
  <w:style w:type="table" w:customStyle="1" w:styleId="Table">
    <w:name w:val="Table"/>
    <w:semiHidden/>
    <w:unhideWhenUsed/>
    <w:qFormat/>
    <w:rsid w:val="00A26B6C"/>
    <w:pPr>
      <w:spacing w:after="200" w:line="240" w:lineRule="auto"/>
    </w:pPr>
    <w:rPr>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A26B6C"/>
    <w:pPr>
      <w:spacing w:after="120"/>
    </w:pPr>
  </w:style>
  <w:style w:type="character" w:customStyle="1" w:styleId="BodyTextChar">
    <w:name w:val="Body Text Char"/>
    <w:basedOn w:val="DefaultParagraphFont"/>
    <w:link w:val="BodyText"/>
    <w:uiPriority w:val="99"/>
    <w:semiHidden/>
    <w:rsid w:val="00A26B6C"/>
  </w:style>
  <w:style w:type="paragraph" w:styleId="Caption">
    <w:name w:val="caption"/>
    <w:basedOn w:val="Normal"/>
    <w:next w:val="Normal"/>
    <w:uiPriority w:val="35"/>
    <w:unhideWhenUsed/>
    <w:qFormat/>
    <w:rsid w:val="007554F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25129">
      <w:bodyDiv w:val="1"/>
      <w:marLeft w:val="0"/>
      <w:marRight w:val="0"/>
      <w:marTop w:val="0"/>
      <w:marBottom w:val="0"/>
      <w:divBdr>
        <w:top w:val="none" w:sz="0" w:space="0" w:color="auto"/>
        <w:left w:val="none" w:sz="0" w:space="0" w:color="auto"/>
        <w:bottom w:val="none" w:sz="0" w:space="0" w:color="auto"/>
        <w:right w:val="none" w:sz="0" w:space="0" w:color="auto"/>
      </w:divBdr>
    </w:div>
    <w:div w:id="45027225">
      <w:bodyDiv w:val="1"/>
      <w:marLeft w:val="0"/>
      <w:marRight w:val="0"/>
      <w:marTop w:val="0"/>
      <w:marBottom w:val="0"/>
      <w:divBdr>
        <w:top w:val="none" w:sz="0" w:space="0" w:color="auto"/>
        <w:left w:val="none" w:sz="0" w:space="0" w:color="auto"/>
        <w:bottom w:val="none" w:sz="0" w:space="0" w:color="auto"/>
        <w:right w:val="none" w:sz="0" w:space="0" w:color="auto"/>
      </w:divBdr>
    </w:div>
    <w:div w:id="157769703">
      <w:bodyDiv w:val="1"/>
      <w:marLeft w:val="0"/>
      <w:marRight w:val="0"/>
      <w:marTop w:val="0"/>
      <w:marBottom w:val="0"/>
      <w:divBdr>
        <w:top w:val="none" w:sz="0" w:space="0" w:color="auto"/>
        <w:left w:val="none" w:sz="0" w:space="0" w:color="auto"/>
        <w:bottom w:val="none" w:sz="0" w:space="0" w:color="auto"/>
        <w:right w:val="none" w:sz="0" w:space="0" w:color="auto"/>
      </w:divBdr>
      <w:divsChild>
        <w:div w:id="1849631530">
          <w:marLeft w:val="0"/>
          <w:marRight w:val="0"/>
          <w:marTop w:val="0"/>
          <w:marBottom w:val="200"/>
          <w:divBdr>
            <w:top w:val="none" w:sz="0" w:space="0" w:color="auto"/>
            <w:left w:val="none" w:sz="0" w:space="0" w:color="auto"/>
            <w:bottom w:val="none" w:sz="0" w:space="0" w:color="auto"/>
            <w:right w:val="none" w:sz="0" w:space="0" w:color="auto"/>
          </w:divBdr>
        </w:div>
        <w:div w:id="896623584">
          <w:marLeft w:val="0"/>
          <w:marRight w:val="0"/>
          <w:marTop w:val="0"/>
          <w:marBottom w:val="200"/>
          <w:divBdr>
            <w:top w:val="none" w:sz="0" w:space="0" w:color="auto"/>
            <w:left w:val="none" w:sz="0" w:space="0" w:color="auto"/>
            <w:bottom w:val="none" w:sz="0" w:space="0" w:color="auto"/>
            <w:right w:val="none" w:sz="0" w:space="0" w:color="auto"/>
          </w:divBdr>
        </w:div>
        <w:div w:id="475877497">
          <w:marLeft w:val="0"/>
          <w:marRight w:val="0"/>
          <w:marTop w:val="0"/>
          <w:marBottom w:val="200"/>
          <w:divBdr>
            <w:top w:val="none" w:sz="0" w:space="0" w:color="auto"/>
            <w:left w:val="none" w:sz="0" w:space="0" w:color="auto"/>
            <w:bottom w:val="none" w:sz="0" w:space="0" w:color="auto"/>
            <w:right w:val="none" w:sz="0" w:space="0" w:color="auto"/>
          </w:divBdr>
        </w:div>
        <w:div w:id="1088579385">
          <w:marLeft w:val="0"/>
          <w:marRight w:val="0"/>
          <w:marTop w:val="0"/>
          <w:marBottom w:val="200"/>
          <w:divBdr>
            <w:top w:val="none" w:sz="0" w:space="0" w:color="auto"/>
            <w:left w:val="none" w:sz="0" w:space="0" w:color="auto"/>
            <w:bottom w:val="none" w:sz="0" w:space="0" w:color="auto"/>
            <w:right w:val="none" w:sz="0" w:space="0" w:color="auto"/>
          </w:divBdr>
        </w:div>
        <w:div w:id="874461736">
          <w:marLeft w:val="0"/>
          <w:marRight w:val="0"/>
          <w:marTop w:val="0"/>
          <w:marBottom w:val="200"/>
          <w:divBdr>
            <w:top w:val="none" w:sz="0" w:space="0" w:color="auto"/>
            <w:left w:val="none" w:sz="0" w:space="0" w:color="auto"/>
            <w:bottom w:val="none" w:sz="0" w:space="0" w:color="auto"/>
            <w:right w:val="none" w:sz="0" w:space="0" w:color="auto"/>
          </w:divBdr>
        </w:div>
        <w:div w:id="1319966528">
          <w:marLeft w:val="0"/>
          <w:marRight w:val="0"/>
          <w:marTop w:val="0"/>
          <w:marBottom w:val="200"/>
          <w:divBdr>
            <w:top w:val="none" w:sz="0" w:space="0" w:color="auto"/>
            <w:left w:val="none" w:sz="0" w:space="0" w:color="auto"/>
            <w:bottom w:val="none" w:sz="0" w:space="0" w:color="auto"/>
            <w:right w:val="none" w:sz="0" w:space="0" w:color="auto"/>
          </w:divBdr>
        </w:div>
        <w:div w:id="1943150641">
          <w:marLeft w:val="0"/>
          <w:marRight w:val="0"/>
          <w:marTop w:val="0"/>
          <w:marBottom w:val="200"/>
          <w:divBdr>
            <w:top w:val="none" w:sz="0" w:space="0" w:color="auto"/>
            <w:left w:val="none" w:sz="0" w:space="0" w:color="auto"/>
            <w:bottom w:val="none" w:sz="0" w:space="0" w:color="auto"/>
            <w:right w:val="none" w:sz="0" w:space="0" w:color="auto"/>
          </w:divBdr>
        </w:div>
      </w:divsChild>
    </w:div>
    <w:div w:id="241764382">
      <w:bodyDiv w:val="1"/>
      <w:marLeft w:val="0"/>
      <w:marRight w:val="0"/>
      <w:marTop w:val="0"/>
      <w:marBottom w:val="0"/>
      <w:divBdr>
        <w:top w:val="none" w:sz="0" w:space="0" w:color="auto"/>
        <w:left w:val="none" w:sz="0" w:space="0" w:color="auto"/>
        <w:bottom w:val="none" w:sz="0" w:space="0" w:color="auto"/>
        <w:right w:val="none" w:sz="0" w:space="0" w:color="auto"/>
      </w:divBdr>
    </w:div>
    <w:div w:id="262223211">
      <w:bodyDiv w:val="1"/>
      <w:marLeft w:val="0"/>
      <w:marRight w:val="0"/>
      <w:marTop w:val="0"/>
      <w:marBottom w:val="0"/>
      <w:divBdr>
        <w:top w:val="none" w:sz="0" w:space="0" w:color="auto"/>
        <w:left w:val="none" w:sz="0" w:space="0" w:color="auto"/>
        <w:bottom w:val="none" w:sz="0" w:space="0" w:color="auto"/>
        <w:right w:val="none" w:sz="0" w:space="0" w:color="auto"/>
      </w:divBdr>
    </w:div>
    <w:div w:id="330374961">
      <w:bodyDiv w:val="1"/>
      <w:marLeft w:val="0"/>
      <w:marRight w:val="0"/>
      <w:marTop w:val="0"/>
      <w:marBottom w:val="0"/>
      <w:divBdr>
        <w:top w:val="none" w:sz="0" w:space="0" w:color="auto"/>
        <w:left w:val="none" w:sz="0" w:space="0" w:color="auto"/>
        <w:bottom w:val="none" w:sz="0" w:space="0" w:color="auto"/>
        <w:right w:val="none" w:sz="0" w:space="0" w:color="auto"/>
      </w:divBdr>
    </w:div>
    <w:div w:id="410273880">
      <w:bodyDiv w:val="1"/>
      <w:marLeft w:val="0"/>
      <w:marRight w:val="0"/>
      <w:marTop w:val="0"/>
      <w:marBottom w:val="0"/>
      <w:divBdr>
        <w:top w:val="none" w:sz="0" w:space="0" w:color="auto"/>
        <w:left w:val="none" w:sz="0" w:space="0" w:color="auto"/>
        <w:bottom w:val="none" w:sz="0" w:space="0" w:color="auto"/>
        <w:right w:val="none" w:sz="0" w:space="0" w:color="auto"/>
      </w:divBdr>
    </w:div>
    <w:div w:id="494954047">
      <w:bodyDiv w:val="1"/>
      <w:marLeft w:val="0"/>
      <w:marRight w:val="0"/>
      <w:marTop w:val="0"/>
      <w:marBottom w:val="0"/>
      <w:divBdr>
        <w:top w:val="none" w:sz="0" w:space="0" w:color="auto"/>
        <w:left w:val="none" w:sz="0" w:space="0" w:color="auto"/>
        <w:bottom w:val="none" w:sz="0" w:space="0" w:color="auto"/>
        <w:right w:val="none" w:sz="0" w:space="0" w:color="auto"/>
      </w:divBdr>
      <w:divsChild>
        <w:div w:id="1823159984">
          <w:marLeft w:val="0"/>
          <w:marRight w:val="0"/>
          <w:marTop w:val="0"/>
          <w:marBottom w:val="200"/>
          <w:divBdr>
            <w:top w:val="none" w:sz="0" w:space="0" w:color="auto"/>
            <w:left w:val="none" w:sz="0" w:space="0" w:color="auto"/>
            <w:bottom w:val="none" w:sz="0" w:space="0" w:color="auto"/>
            <w:right w:val="none" w:sz="0" w:space="0" w:color="auto"/>
          </w:divBdr>
        </w:div>
        <w:div w:id="491530414">
          <w:marLeft w:val="0"/>
          <w:marRight w:val="0"/>
          <w:marTop w:val="0"/>
          <w:marBottom w:val="200"/>
          <w:divBdr>
            <w:top w:val="none" w:sz="0" w:space="0" w:color="auto"/>
            <w:left w:val="none" w:sz="0" w:space="0" w:color="auto"/>
            <w:bottom w:val="none" w:sz="0" w:space="0" w:color="auto"/>
            <w:right w:val="none" w:sz="0" w:space="0" w:color="auto"/>
          </w:divBdr>
        </w:div>
      </w:divsChild>
    </w:div>
    <w:div w:id="568150409">
      <w:bodyDiv w:val="1"/>
      <w:marLeft w:val="0"/>
      <w:marRight w:val="0"/>
      <w:marTop w:val="0"/>
      <w:marBottom w:val="0"/>
      <w:divBdr>
        <w:top w:val="none" w:sz="0" w:space="0" w:color="auto"/>
        <w:left w:val="none" w:sz="0" w:space="0" w:color="auto"/>
        <w:bottom w:val="none" w:sz="0" w:space="0" w:color="auto"/>
        <w:right w:val="none" w:sz="0" w:space="0" w:color="auto"/>
      </w:divBdr>
      <w:divsChild>
        <w:div w:id="1817339029">
          <w:marLeft w:val="0"/>
          <w:marRight w:val="0"/>
          <w:marTop w:val="0"/>
          <w:marBottom w:val="200"/>
          <w:divBdr>
            <w:top w:val="none" w:sz="0" w:space="0" w:color="auto"/>
            <w:left w:val="none" w:sz="0" w:space="0" w:color="auto"/>
            <w:bottom w:val="none" w:sz="0" w:space="0" w:color="auto"/>
            <w:right w:val="none" w:sz="0" w:space="0" w:color="auto"/>
          </w:divBdr>
        </w:div>
        <w:div w:id="1388412738">
          <w:marLeft w:val="0"/>
          <w:marRight w:val="0"/>
          <w:marTop w:val="0"/>
          <w:marBottom w:val="200"/>
          <w:divBdr>
            <w:top w:val="none" w:sz="0" w:space="0" w:color="auto"/>
            <w:left w:val="none" w:sz="0" w:space="0" w:color="auto"/>
            <w:bottom w:val="none" w:sz="0" w:space="0" w:color="auto"/>
            <w:right w:val="none" w:sz="0" w:space="0" w:color="auto"/>
          </w:divBdr>
        </w:div>
      </w:divsChild>
    </w:div>
    <w:div w:id="638002600">
      <w:bodyDiv w:val="1"/>
      <w:marLeft w:val="0"/>
      <w:marRight w:val="0"/>
      <w:marTop w:val="0"/>
      <w:marBottom w:val="0"/>
      <w:divBdr>
        <w:top w:val="none" w:sz="0" w:space="0" w:color="auto"/>
        <w:left w:val="none" w:sz="0" w:space="0" w:color="auto"/>
        <w:bottom w:val="none" w:sz="0" w:space="0" w:color="auto"/>
        <w:right w:val="none" w:sz="0" w:space="0" w:color="auto"/>
      </w:divBdr>
    </w:div>
    <w:div w:id="684332303">
      <w:bodyDiv w:val="1"/>
      <w:marLeft w:val="0"/>
      <w:marRight w:val="0"/>
      <w:marTop w:val="0"/>
      <w:marBottom w:val="0"/>
      <w:divBdr>
        <w:top w:val="none" w:sz="0" w:space="0" w:color="auto"/>
        <w:left w:val="none" w:sz="0" w:space="0" w:color="auto"/>
        <w:bottom w:val="none" w:sz="0" w:space="0" w:color="auto"/>
        <w:right w:val="none" w:sz="0" w:space="0" w:color="auto"/>
      </w:divBdr>
    </w:div>
    <w:div w:id="749736409">
      <w:bodyDiv w:val="1"/>
      <w:marLeft w:val="0"/>
      <w:marRight w:val="0"/>
      <w:marTop w:val="0"/>
      <w:marBottom w:val="0"/>
      <w:divBdr>
        <w:top w:val="none" w:sz="0" w:space="0" w:color="auto"/>
        <w:left w:val="none" w:sz="0" w:space="0" w:color="auto"/>
        <w:bottom w:val="none" w:sz="0" w:space="0" w:color="auto"/>
        <w:right w:val="none" w:sz="0" w:space="0" w:color="auto"/>
      </w:divBdr>
    </w:div>
    <w:div w:id="777917936">
      <w:bodyDiv w:val="1"/>
      <w:marLeft w:val="0"/>
      <w:marRight w:val="0"/>
      <w:marTop w:val="0"/>
      <w:marBottom w:val="0"/>
      <w:divBdr>
        <w:top w:val="none" w:sz="0" w:space="0" w:color="auto"/>
        <w:left w:val="none" w:sz="0" w:space="0" w:color="auto"/>
        <w:bottom w:val="none" w:sz="0" w:space="0" w:color="auto"/>
        <w:right w:val="none" w:sz="0" w:space="0" w:color="auto"/>
      </w:divBdr>
      <w:divsChild>
        <w:div w:id="807209446">
          <w:marLeft w:val="0"/>
          <w:marRight w:val="0"/>
          <w:marTop w:val="0"/>
          <w:marBottom w:val="200"/>
          <w:divBdr>
            <w:top w:val="none" w:sz="0" w:space="0" w:color="auto"/>
            <w:left w:val="none" w:sz="0" w:space="0" w:color="auto"/>
            <w:bottom w:val="none" w:sz="0" w:space="0" w:color="auto"/>
            <w:right w:val="none" w:sz="0" w:space="0" w:color="auto"/>
          </w:divBdr>
        </w:div>
        <w:div w:id="1941911550">
          <w:marLeft w:val="0"/>
          <w:marRight w:val="0"/>
          <w:marTop w:val="0"/>
          <w:marBottom w:val="200"/>
          <w:divBdr>
            <w:top w:val="none" w:sz="0" w:space="0" w:color="auto"/>
            <w:left w:val="none" w:sz="0" w:space="0" w:color="auto"/>
            <w:bottom w:val="none" w:sz="0" w:space="0" w:color="auto"/>
            <w:right w:val="none" w:sz="0" w:space="0" w:color="auto"/>
          </w:divBdr>
        </w:div>
        <w:div w:id="397359624">
          <w:marLeft w:val="0"/>
          <w:marRight w:val="0"/>
          <w:marTop w:val="0"/>
          <w:marBottom w:val="200"/>
          <w:divBdr>
            <w:top w:val="none" w:sz="0" w:space="0" w:color="auto"/>
            <w:left w:val="none" w:sz="0" w:space="0" w:color="auto"/>
            <w:bottom w:val="none" w:sz="0" w:space="0" w:color="auto"/>
            <w:right w:val="none" w:sz="0" w:space="0" w:color="auto"/>
          </w:divBdr>
        </w:div>
        <w:div w:id="1561670287">
          <w:marLeft w:val="0"/>
          <w:marRight w:val="0"/>
          <w:marTop w:val="0"/>
          <w:marBottom w:val="200"/>
          <w:divBdr>
            <w:top w:val="none" w:sz="0" w:space="0" w:color="auto"/>
            <w:left w:val="none" w:sz="0" w:space="0" w:color="auto"/>
            <w:bottom w:val="none" w:sz="0" w:space="0" w:color="auto"/>
            <w:right w:val="none" w:sz="0" w:space="0" w:color="auto"/>
          </w:divBdr>
        </w:div>
        <w:div w:id="1671787602">
          <w:marLeft w:val="0"/>
          <w:marRight w:val="0"/>
          <w:marTop w:val="0"/>
          <w:marBottom w:val="200"/>
          <w:divBdr>
            <w:top w:val="none" w:sz="0" w:space="0" w:color="auto"/>
            <w:left w:val="none" w:sz="0" w:space="0" w:color="auto"/>
            <w:bottom w:val="none" w:sz="0" w:space="0" w:color="auto"/>
            <w:right w:val="none" w:sz="0" w:space="0" w:color="auto"/>
          </w:divBdr>
        </w:div>
        <w:div w:id="202208875">
          <w:marLeft w:val="0"/>
          <w:marRight w:val="0"/>
          <w:marTop w:val="0"/>
          <w:marBottom w:val="200"/>
          <w:divBdr>
            <w:top w:val="none" w:sz="0" w:space="0" w:color="auto"/>
            <w:left w:val="none" w:sz="0" w:space="0" w:color="auto"/>
            <w:bottom w:val="none" w:sz="0" w:space="0" w:color="auto"/>
            <w:right w:val="none" w:sz="0" w:space="0" w:color="auto"/>
          </w:divBdr>
        </w:div>
        <w:div w:id="309947215">
          <w:marLeft w:val="0"/>
          <w:marRight w:val="0"/>
          <w:marTop w:val="0"/>
          <w:marBottom w:val="200"/>
          <w:divBdr>
            <w:top w:val="none" w:sz="0" w:space="0" w:color="auto"/>
            <w:left w:val="none" w:sz="0" w:space="0" w:color="auto"/>
            <w:bottom w:val="none" w:sz="0" w:space="0" w:color="auto"/>
            <w:right w:val="none" w:sz="0" w:space="0" w:color="auto"/>
          </w:divBdr>
        </w:div>
      </w:divsChild>
    </w:div>
    <w:div w:id="852500663">
      <w:bodyDiv w:val="1"/>
      <w:marLeft w:val="0"/>
      <w:marRight w:val="0"/>
      <w:marTop w:val="0"/>
      <w:marBottom w:val="0"/>
      <w:divBdr>
        <w:top w:val="none" w:sz="0" w:space="0" w:color="auto"/>
        <w:left w:val="none" w:sz="0" w:space="0" w:color="auto"/>
        <w:bottom w:val="none" w:sz="0" w:space="0" w:color="auto"/>
        <w:right w:val="none" w:sz="0" w:space="0" w:color="auto"/>
      </w:divBdr>
    </w:div>
    <w:div w:id="852762433">
      <w:bodyDiv w:val="1"/>
      <w:marLeft w:val="0"/>
      <w:marRight w:val="0"/>
      <w:marTop w:val="0"/>
      <w:marBottom w:val="0"/>
      <w:divBdr>
        <w:top w:val="none" w:sz="0" w:space="0" w:color="auto"/>
        <w:left w:val="none" w:sz="0" w:space="0" w:color="auto"/>
        <w:bottom w:val="none" w:sz="0" w:space="0" w:color="auto"/>
        <w:right w:val="none" w:sz="0" w:space="0" w:color="auto"/>
      </w:divBdr>
    </w:div>
    <w:div w:id="930968235">
      <w:bodyDiv w:val="1"/>
      <w:marLeft w:val="0"/>
      <w:marRight w:val="0"/>
      <w:marTop w:val="0"/>
      <w:marBottom w:val="0"/>
      <w:divBdr>
        <w:top w:val="none" w:sz="0" w:space="0" w:color="auto"/>
        <w:left w:val="none" w:sz="0" w:space="0" w:color="auto"/>
        <w:bottom w:val="none" w:sz="0" w:space="0" w:color="auto"/>
        <w:right w:val="none" w:sz="0" w:space="0" w:color="auto"/>
      </w:divBdr>
    </w:div>
    <w:div w:id="991057925">
      <w:bodyDiv w:val="1"/>
      <w:marLeft w:val="0"/>
      <w:marRight w:val="0"/>
      <w:marTop w:val="0"/>
      <w:marBottom w:val="0"/>
      <w:divBdr>
        <w:top w:val="none" w:sz="0" w:space="0" w:color="auto"/>
        <w:left w:val="none" w:sz="0" w:space="0" w:color="auto"/>
        <w:bottom w:val="none" w:sz="0" w:space="0" w:color="auto"/>
        <w:right w:val="none" w:sz="0" w:space="0" w:color="auto"/>
      </w:divBdr>
      <w:divsChild>
        <w:div w:id="1899197700">
          <w:marLeft w:val="0"/>
          <w:marRight w:val="0"/>
          <w:marTop w:val="0"/>
          <w:marBottom w:val="200"/>
          <w:divBdr>
            <w:top w:val="none" w:sz="0" w:space="0" w:color="auto"/>
            <w:left w:val="none" w:sz="0" w:space="0" w:color="auto"/>
            <w:bottom w:val="none" w:sz="0" w:space="0" w:color="auto"/>
            <w:right w:val="none" w:sz="0" w:space="0" w:color="auto"/>
          </w:divBdr>
        </w:div>
        <w:div w:id="1041052110">
          <w:marLeft w:val="0"/>
          <w:marRight w:val="0"/>
          <w:marTop w:val="0"/>
          <w:marBottom w:val="200"/>
          <w:divBdr>
            <w:top w:val="none" w:sz="0" w:space="0" w:color="auto"/>
            <w:left w:val="none" w:sz="0" w:space="0" w:color="auto"/>
            <w:bottom w:val="none" w:sz="0" w:space="0" w:color="auto"/>
            <w:right w:val="none" w:sz="0" w:space="0" w:color="auto"/>
          </w:divBdr>
        </w:div>
        <w:div w:id="1074931997">
          <w:marLeft w:val="0"/>
          <w:marRight w:val="0"/>
          <w:marTop w:val="0"/>
          <w:marBottom w:val="200"/>
          <w:divBdr>
            <w:top w:val="none" w:sz="0" w:space="0" w:color="auto"/>
            <w:left w:val="none" w:sz="0" w:space="0" w:color="auto"/>
            <w:bottom w:val="none" w:sz="0" w:space="0" w:color="auto"/>
            <w:right w:val="none" w:sz="0" w:space="0" w:color="auto"/>
          </w:divBdr>
        </w:div>
        <w:div w:id="1557856559">
          <w:marLeft w:val="0"/>
          <w:marRight w:val="0"/>
          <w:marTop w:val="0"/>
          <w:marBottom w:val="200"/>
          <w:divBdr>
            <w:top w:val="none" w:sz="0" w:space="0" w:color="auto"/>
            <w:left w:val="none" w:sz="0" w:space="0" w:color="auto"/>
            <w:bottom w:val="none" w:sz="0" w:space="0" w:color="auto"/>
            <w:right w:val="none" w:sz="0" w:space="0" w:color="auto"/>
          </w:divBdr>
        </w:div>
        <w:div w:id="791364594">
          <w:marLeft w:val="0"/>
          <w:marRight w:val="0"/>
          <w:marTop w:val="0"/>
          <w:marBottom w:val="200"/>
          <w:divBdr>
            <w:top w:val="none" w:sz="0" w:space="0" w:color="auto"/>
            <w:left w:val="none" w:sz="0" w:space="0" w:color="auto"/>
            <w:bottom w:val="none" w:sz="0" w:space="0" w:color="auto"/>
            <w:right w:val="none" w:sz="0" w:space="0" w:color="auto"/>
          </w:divBdr>
        </w:div>
        <w:div w:id="220749877">
          <w:marLeft w:val="0"/>
          <w:marRight w:val="0"/>
          <w:marTop w:val="0"/>
          <w:marBottom w:val="200"/>
          <w:divBdr>
            <w:top w:val="none" w:sz="0" w:space="0" w:color="auto"/>
            <w:left w:val="none" w:sz="0" w:space="0" w:color="auto"/>
            <w:bottom w:val="none" w:sz="0" w:space="0" w:color="auto"/>
            <w:right w:val="none" w:sz="0" w:space="0" w:color="auto"/>
          </w:divBdr>
        </w:div>
        <w:div w:id="1837918055">
          <w:marLeft w:val="0"/>
          <w:marRight w:val="0"/>
          <w:marTop w:val="0"/>
          <w:marBottom w:val="200"/>
          <w:divBdr>
            <w:top w:val="none" w:sz="0" w:space="0" w:color="auto"/>
            <w:left w:val="none" w:sz="0" w:space="0" w:color="auto"/>
            <w:bottom w:val="none" w:sz="0" w:space="0" w:color="auto"/>
            <w:right w:val="none" w:sz="0" w:space="0" w:color="auto"/>
          </w:divBdr>
        </w:div>
      </w:divsChild>
    </w:div>
    <w:div w:id="1039934900">
      <w:bodyDiv w:val="1"/>
      <w:marLeft w:val="0"/>
      <w:marRight w:val="0"/>
      <w:marTop w:val="0"/>
      <w:marBottom w:val="0"/>
      <w:divBdr>
        <w:top w:val="none" w:sz="0" w:space="0" w:color="auto"/>
        <w:left w:val="none" w:sz="0" w:space="0" w:color="auto"/>
        <w:bottom w:val="none" w:sz="0" w:space="0" w:color="auto"/>
        <w:right w:val="none" w:sz="0" w:space="0" w:color="auto"/>
      </w:divBdr>
    </w:div>
    <w:div w:id="1070693611">
      <w:bodyDiv w:val="1"/>
      <w:marLeft w:val="0"/>
      <w:marRight w:val="0"/>
      <w:marTop w:val="0"/>
      <w:marBottom w:val="0"/>
      <w:divBdr>
        <w:top w:val="none" w:sz="0" w:space="0" w:color="auto"/>
        <w:left w:val="none" w:sz="0" w:space="0" w:color="auto"/>
        <w:bottom w:val="none" w:sz="0" w:space="0" w:color="auto"/>
        <w:right w:val="none" w:sz="0" w:space="0" w:color="auto"/>
      </w:divBdr>
    </w:div>
    <w:div w:id="1102528435">
      <w:bodyDiv w:val="1"/>
      <w:marLeft w:val="0"/>
      <w:marRight w:val="0"/>
      <w:marTop w:val="0"/>
      <w:marBottom w:val="0"/>
      <w:divBdr>
        <w:top w:val="none" w:sz="0" w:space="0" w:color="auto"/>
        <w:left w:val="none" w:sz="0" w:space="0" w:color="auto"/>
        <w:bottom w:val="none" w:sz="0" w:space="0" w:color="auto"/>
        <w:right w:val="none" w:sz="0" w:space="0" w:color="auto"/>
      </w:divBdr>
      <w:divsChild>
        <w:div w:id="6761270">
          <w:marLeft w:val="0"/>
          <w:marRight w:val="0"/>
          <w:marTop w:val="0"/>
          <w:marBottom w:val="200"/>
          <w:divBdr>
            <w:top w:val="none" w:sz="0" w:space="0" w:color="auto"/>
            <w:left w:val="none" w:sz="0" w:space="0" w:color="auto"/>
            <w:bottom w:val="none" w:sz="0" w:space="0" w:color="auto"/>
            <w:right w:val="none" w:sz="0" w:space="0" w:color="auto"/>
          </w:divBdr>
        </w:div>
        <w:div w:id="1078595270">
          <w:marLeft w:val="0"/>
          <w:marRight w:val="0"/>
          <w:marTop w:val="0"/>
          <w:marBottom w:val="200"/>
          <w:divBdr>
            <w:top w:val="none" w:sz="0" w:space="0" w:color="auto"/>
            <w:left w:val="none" w:sz="0" w:space="0" w:color="auto"/>
            <w:bottom w:val="none" w:sz="0" w:space="0" w:color="auto"/>
            <w:right w:val="none" w:sz="0" w:space="0" w:color="auto"/>
          </w:divBdr>
        </w:div>
        <w:div w:id="1182818759">
          <w:marLeft w:val="0"/>
          <w:marRight w:val="0"/>
          <w:marTop w:val="0"/>
          <w:marBottom w:val="200"/>
          <w:divBdr>
            <w:top w:val="none" w:sz="0" w:space="0" w:color="auto"/>
            <w:left w:val="none" w:sz="0" w:space="0" w:color="auto"/>
            <w:bottom w:val="none" w:sz="0" w:space="0" w:color="auto"/>
            <w:right w:val="none" w:sz="0" w:space="0" w:color="auto"/>
          </w:divBdr>
        </w:div>
        <w:div w:id="672492882">
          <w:marLeft w:val="0"/>
          <w:marRight w:val="0"/>
          <w:marTop w:val="0"/>
          <w:marBottom w:val="200"/>
          <w:divBdr>
            <w:top w:val="none" w:sz="0" w:space="0" w:color="auto"/>
            <w:left w:val="none" w:sz="0" w:space="0" w:color="auto"/>
            <w:bottom w:val="none" w:sz="0" w:space="0" w:color="auto"/>
            <w:right w:val="none" w:sz="0" w:space="0" w:color="auto"/>
          </w:divBdr>
        </w:div>
        <w:div w:id="1639334542">
          <w:marLeft w:val="0"/>
          <w:marRight w:val="0"/>
          <w:marTop w:val="0"/>
          <w:marBottom w:val="200"/>
          <w:divBdr>
            <w:top w:val="none" w:sz="0" w:space="0" w:color="auto"/>
            <w:left w:val="none" w:sz="0" w:space="0" w:color="auto"/>
            <w:bottom w:val="none" w:sz="0" w:space="0" w:color="auto"/>
            <w:right w:val="none" w:sz="0" w:space="0" w:color="auto"/>
          </w:divBdr>
        </w:div>
        <w:div w:id="1371610722">
          <w:marLeft w:val="0"/>
          <w:marRight w:val="0"/>
          <w:marTop w:val="0"/>
          <w:marBottom w:val="200"/>
          <w:divBdr>
            <w:top w:val="none" w:sz="0" w:space="0" w:color="auto"/>
            <w:left w:val="none" w:sz="0" w:space="0" w:color="auto"/>
            <w:bottom w:val="none" w:sz="0" w:space="0" w:color="auto"/>
            <w:right w:val="none" w:sz="0" w:space="0" w:color="auto"/>
          </w:divBdr>
        </w:div>
        <w:div w:id="593589331">
          <w:marLeft w:val="0"/>
          <w:marRight w:val="0"/>
          <w:marTop w:val="0"/>
          <w:marBottom w:val="200"/>
          <w:divBdr>
            <w:top w:val="none" w:sz="0" w:space="0" w:color="auto"/>
            <w:left w:val="none" w:sz="0" w:space="0" w:color="auto"/>
            <w:bottom w:val="none" w:sz="0" w:space="0" w:color="auto"/>
            <w:right w:val="none" w:sz="0" w:space="0" w:color="auto"/>
          </w:divBdr>
        </w:div>
      </w:divsChild>
    </w:div>
    <w:div w:id="1122386089">
      <w:bodyDiv w:val="1"/>
      <w:marLeft w:val="0"/>
      <w:marRight w:val="0"/>
      <w:marTop w:val="0"/>
      <w:marBottom w:val="0"/>
      <w:divBdr>
        <w:top w:val="none" w:sz="0" w:space="0" w:color="auto"/>
        <w:left w:val="none" w:sz="0" w:space="0" w:color="auto"/>
        <w:bottom w:val="none" w:sz="0" w:space="0" w:color="auto"/>
        <w:right w:val="none" w:sz="0" w:space="0" w:color="auto"/>
      </w:divBdr>
    </w:div>
    <w:div w:id="1130124582">
      <w:bodyDiv w:val="1"/>
      <w:marLeft w:val="0"/>
      <w:marRight w:val="0"/>
      <w:marTop w:val="0"/>
      <w:marBottom w:val="0"/>
      <w:divBdr>
        <w:top w:val="none" w:sz="0" w:space="0" w:color="auto"/>
        <w:left w:val="none" w:sz="0" w:space="0" w:color="auto"/>
        <w:bottom w:val="none" w:sz="0" w:space="0" w:color="auto"/>
        <w:right w:val="none" w:sz="0" w:space="0" w:color="auto"/>
      </w:divBdr>
    </w:div>
    <w:div w:id="1343360807">
      <w:bodyDiv w:val="1"/>
      <w:marLeft w:val="0"/>
      <w:marRight w:val="0"/>
      <w:marTop w:val="0"/>
      <w:marBottom w:val="0"/>
      <w:divBdr>
        <w:top w:val="none" w:sz="0" w:space="0" w:color="auto"/>
        <w:left w:val="none" w:sz="0" w:space="0" w:color="auto"/>
        <w:bottom w:val="none" w:sz="0" w:space="0" w:color="auto"/>
        <w:right w:val="none" w:sz="0" w:space="0" w:color="auto"/>
      </w:divBdr>
    </w:div>
    <w:div w:id="1385250538">
      <w:bodyDiv w:val="1"/>
      <w:marLeft w:val="0"/>
      <w:marRight w:val="0"/>
      <w:marTop w:val="0"/>
      <w:marBottom w:val="0"/>
      <w:divBdr>
        <w:top w:val="none" w:sz="0" w:space="0" w:color="auto"/>
        <w:left w:val="none" w:sz="0" w:space="0" w:color="auto"/>
        <w:bottom w:val="none" w:sz="0" w:space="0" w:color="auto"/>
        <w:right w:val="none" w:sz="0" w:space="0" w:color="auto"/>
      </w:divBdr>
    </w:div>
    <w:div w:id="1457943677">
      <w:bodyDiv w:val="1"/>
      <w:marLeft w:val="0"/>
      <w:marRight w:val="0"/>
      <w:marTop w:val="0"/>
      <w:marBottom w:val="0"/>
      <w:divBdr>
        <w:top w:val="none" w:sz="0" w:space="0" w:color="auto"/>
        <w:left w:val="none" w:sz="0" w:space="0" w:color="auto"/>
        <w:bottom w:val="none" w:sz="0" w:space="0" w:color="auto"/>
        <w:right w:val="none" w:sz="0" w:space="0" w:color="auto"/>
      </w:divBdr>
    </w:div>
    <w:div w:id="1489175250">
      <w:bodyDiv w:val="1"/>
      <w:marLeft w:val="0"/>
      <w:marRight w:val="0"/>
      <w:marTop w:val="0"/>
      <w:marBottom w:val="0"/>
      <w:divBdr>
        <w:top w:val="none" w:sz="0" w:space="0" w:color="auto"/>
        <w:left w:val="none" w:sz="0" w:space="0" w:color="auto"/>
        <w:bottom w:val="none" w:sz="0" w:space="0" w:color="auto"/>
        <w:right w:val="none" w:sz="0" w:space="0" w:color="auto"/>
      </w:divBdr>
    </w:div>
    <w:div w:id="1526014400">
      <w:bodyDiv w:val="1"/>
      <w:marLeft w:val="0"/>
      <w:marRight w:val="0"/>
      <w:marTop w:val="0"/>
      <w:marBottom w:val="0"/>
      <w:divBdr>
        <w:top w:val="none" w:sz="0" w:space="0" w:color="auto"/>
        <w:left w:val="none" w:sz="0" w:space="0" w:color="auto"/>
        <w:bottom w:val="none" w:sz="0" w:space="0" w:color="auto"/>
        <w:right w:val="none" w:sz="0" w:space="0" w:color="auto"/>
      </w:divBdr>
      <w:divsChild>
        <w:div w:id="1741243451">
          <w:marLeft w:val="0"/>
          <w:marRight w:val="0"/>
          <w:marTop w:val="0"/>
          <w:marBottom w:val="200"/>
          <w:divBdr>
            <w:top w:val="none" w:sz="0" w:space="0" w:color="auto"/>
            <w:left w:val="none" w:sz="0" w:space="0" w:color="auto"/>
            <w:bottom w:val="none" w:sz="0" w:space="0" w:color="auto"/>
            <w:right w:val="none" w:sz="0" w:space="0" w:color="auto"/>
          </w:divBdr>
        </w:div>
        <w:div w:id="684014495">
          <w:marLeft w:val="0"/>
          <w:marRight w:val="0"/>
          <w:marTop w:val="0"/>
          <w:marBottom w:val="200"/>
          <w:divBdr>
            <w:top w:val="none" w:sz="0" w:space="0" w:color="auto"/>
            <w:left w:val="none" w:sz="0" w:space="0" w:color="auto"/>
            <w:bottom w:val="none" w:sz="0" w:space="0" w:color="auto"/>
            <w:right w:val="none" w:sz="0" w:space="0" w:color="auto"/>
          </w:divBdr>
        </w:div>
      </w:divsChild>
    </w:div>
    <w:div w:id="1543663635">
      <w:bodyDiv w:val="1"/>
      <w:marLeft w:val="0"/>
      <w:marRight w:val="0"/>
      <w:marTop w:val="0"/>
      <w:marBottom w:val="0"/>
      <w:divBdr>
        <w:top w:val="none" w:sz="0" w:space="0" w:color="auto"/>
        <w:left w:val="none" w:sz="0" w:space="0" w:color="auto"/>
        <w:bottom w:val="none" w:sz="0" w:space="0" w:color="auto"/>
        <w:right w:val="none" w:sz="0" w:space="0" w:color="auto"/>
      </w:divBdr>
    </w:div>
    <w:div w:id="1574005881">
      <w:bodyDiv w:val="1"/>
      <w:marLeft w:val="0"/>
      <w:marRight w:val="0"/>
      <w:marTop w:val="0"/>
      <w:marBottom w:val="0"/>
      <w:divBdr>
        <w:top w:val="none" w:sz="0" w:space="0" w:color="auto"/>
        <w:left w:val="none" w:sz="0" w:space="0" w:color="auto"/>
        <w:bottom w:val="none" w:sz="0" w:space="0" w:color="auto"/>
        <w:right w:val="none" w:sz="0" w:space="0" w:color="auto"/>
      </w:divBdr>
      <w:divsChild>
        <w:div w:id="1631323915">
          <w:marLeft w:val="0"/>
          <w:marRight w:val="0"/>
          <w:marTop w:val="0"/>
          <w:marBottom w:val="200"/>
          <w:divBdr>
            <w:top w:val="none" w:sz="0" w:space="0" w:color="auto"/>
            <w:left w:val="none" w:sz="0" w:space="0" w:color="auto"/>
            <w:bottom w:val="none" w:sz="0" w:space="0" w:color="auto"/>
            <w:right w:val="none" w:sz="0" w:space="0" w:color="auto"/>
          </w:divBdr>
        </w:div>
        <w:div w:id="1245453510">
          <w:marLeft w:val="0"/>
          <w:marRight w:val="0"/>
          <w:marTop w:val="0"/>
          <w:marBottom w:val="200"/>
          <w:divBdr>
            <w:top w:val="none" w:sz="0" w:space="0" w:color="auto"/>
            <w:left w:val="none" w:sz="0" w:space="0" w:color="auto"/>
            <w:bottom w:val="none" w:sz="0" w:space="0" w:color="auto"/>
            <w:right w:val="none" w:sz="0" w:space="0" w:color="auto"/>
          </w:divBdr>
        </w:div>
      </w:divsChild>
    </w:div>
    <w:div w:id="1580872333">
      <w:bodyDiv w:val="1"/>
      <w:marLeft w:val="0"/>
      <w:marRight w:val="0"/>
      <w:marTop w:val="0"/>
      <w:marBottom w:val="0"/>
      <w:divBdr>
        <w:top w:val="none" w:sz="0" w:space="0" w:color="auto"/>
        <w:left w:val="none" w:sz="0" w:space="0" w:color="auto"/>
        <w:bottom w:val="none" w:sz="0" w:space="0" w:color="auto"/>
        <w:right w:val="none" w:sz="0" w:space="0" w:color="auto"/>
      </w:divBdr>
    </w:div>
    <w:div w:id="1628004266">
      <w:bodyDiv w:val="1"/>
      <w:marLeft w:val="0"/>
      <w:marRight w:val="0"/>
      <w:marTop w:val="0"/>
      <w:marBottom w:val="0"/>
      <w:divBdr>
        <w:top w:val="none" w:sz="0" w:space="0" w:color="auto"/>
        <w:left w:val="none" w:sz="0" w:space="0" w:color="auto"/>
        <w:bottom w:val="none" w:sz="0" w:space="0" w:color="auto"/>
        <w:right w:val="none" w:sz="0" w:space="0" w:color="auto"/>
      </w:divBdr>
    </w:div>
    <w:div w:id="1671443954">
      <w:bodyDiv w:val="1"/>
      <w:marLeft w:val="0"/>
      <w:marRight w:val="0"/>
      <w:marTop w:val="0"/>
      <w:marBottom w:val="0"/>
      <w:divBdr>
        <w:top w:val="none" w:sz="0" w:space="0" w:color="auto"/>
        <w:left w:val="none" w:sz="0" w:space="0" w:color="auto"/>
        <w:bottom w:val="none" w:sz="0" w:space="0" w:color="auto"/>
        <w:right w:val="none" w:sz="0" w:space="0" w:color="auto"/>
      </w:divBdr>
    </w:div>
    <w:div w:id="1766997485">
      <w:bodyDiv w:val="1"/>
      <w:marLeft w:val="0"/>
      <w:marRight w:val="0"/>
      <w:marTop w:val="0"/>
      <w:marBottom w:val="0"/>
      <w:divBdr>
        <w:top w:val="none" w:sz="0" w:space="0" w:color="auto"/>
        <w:left w:val="none" w:sz="0" w:space="0" w:color="auto"/>
        <w:bottom w:val="none" w:sz="0" w:space="0" w:color="auto"/>
        <w:right w:val="none" w:sz="0" w:space="0" w:color="auto"/>
      </w:divBdr>
    </w:div>
    <w:div w:id="1782873856">
      <w:bodyDiv w:val="1"/>
      <w:marLeft w:val="0"/>
      <w:marRight w:val="0"/>
      <w:marTop w:val="0"/>
      <w:marBottom w:val="0"/>
      <w:divBdr>
        <w:top w:val="none" w:sz="0" w:space="0" w:color="auto"/>
        <w:left w:val="none" w:sz="0" w:space="0" w:color="auto"/>
        <w:bottom w:val="none" w:sz="0" w:space="0" w:color="auto"/>
        <w:right w:val="none" w:sz="0" w:space="0" w:color="auto"/>
      </w:divBdr>
    </w:div>
    <w:div w:id="1851678494">
      <w:bodyDiv w:val="1"/>
      <w:marLeft w:val="0"/>
      <w:marRight w:val="0"/>
      <w:marTop w:val="0"/>
      <w:marBottom w:val="0"/>
      <w:divBdr>
        <w:top w:val="none" w:sz="0" w:space="0" w:color="auto"/>
        <w:left w:val="none" w:sz="0" w:space="0" w:color="auto"/>
        <w:bottom w:val="none" w:sz="0" w:space="0" w:color="auto"/>
        <w:right w:val="none" w:sz="0" w:space="0" w:color="auto"/>
      </w:divBdr>
    </w:div>
    <w:div w:id="1938827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9289E-42C3-4906-8BEF-335D67FCA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3</Pages>
  <Words>19625</Words>
  <Characters>111863</Characters>
  <Application>Microsoft Office Word</Application>
  <DocSecurity>0</DocSecurity>
  <Lines>932</Lines>
  <Paragraphs>262</Paragraphs>
  <ScaleCrop>false</ScaleCrop>
  <HeadingPairs>
    <vt:vector size="2" baseType="variant">
      <vt:variant>
        <vt:lpstr>Title</vt:lpstr>
      </vt:variant>
      <vt:variant>
        <vt:i4>1</vt:i4>
      </vt:variant>
    </vt:vector>
  </HeadingPairs>
  <TitlesOfParts>
    <vt:vector size="1" baseType="lpstr">
      <vt:lpstr/>
    </vt:vector>
  </TitlesOfParts>
  <Company>SQU</Company>
  <LinksUpToDate>false</LinksUpToDate>
  <CharactersWithSpaces>131226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Osman Gulseven</dc:creator>
  <cp:keywords/>
  <dc:description/>
  <cp:lastModifiedBy>Osman Gulseven</cp:lastModifiedBy>
  <cp:revision>76</cp:revision>
  <cp:lastPrinted>2026-05-31T09:18:00Z</cp:lastPrinted>
  <dcterms:created xsi:type="dcterms:W3CDTF">2026-05-31T09:44:00Z</dcterms:created>
  <dcterms:modified xsi:type="dcterms:W3CDTF">2026-05-31T11:31:00Z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id="p4jt0ArT"/&gt;&lt;style id="http://www.zotero.org/styles/apa" locale="en-US" hasBibliography="1" bibliographyStyleHasBeenSet="1"/&gt;&lt;prefs&gt;&lt;pref name="fieldType" value="Field"/&gt;&lt;pref name="dontAskDelayCit</vt:lpwstr>
  </property>
  <property fmtid="{D5CDD505-2E9C-101B-9397-08002B2CF9AE}" pid="3" name="ZOTERO_PREF_2">
    <vt:lpwstr>ationUpdates" value="true"/&gt;&lt;/prefs&gt;&lt;/data&gt;</vt:lpwstr>
  </property>
</Properties>
</file>