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pPr>
      <w:r>
        <w:rPr>
          <w:b/>
          <w:sz w:val="56"/>
        </w:rPr>
        <w:t>Global Classification of Health Information Systems as Critical, Protected, or High-Security Infrastructure</w:t>
      </w:r>
    </w:p>
    <w:p>
      <w:pPr>
        <w:jc w:val="center"/>
      </w:pPr>
    </w:p>
    <w:p>
      <w:pPr>
        <w:jc w:val="center"/>
      </w:pPr>
      <w:r>
        <w:rPr>
          <w:sz w:val="32"/>
        </w:rPr>
        <w:t>A comparative study (updated through January 2026)</w:t>
      </w:r>
    </w:p>
    <w:p>
      <w:pPr>
        <w:jc w:val="center"/>
      </w:pPr>
      <w:r>
        <w:rPr>
          <w:sz w:val="28"/>
        </w:rPr>
        <w:t>Version 2.0 — January 2026</w:t>
      </w:r>
    </w:p>
    <w:p>
      <w:pPr>
        <w:jc w:val="center"/>
      </w:pPr>
    </w:p>
    <w:p>
      <w:pPr>
        <w:jc w:val="center"/>
      </w:pPr>
      <w:r>
        <w:rPr>
          <w:b/>
          <w:sz w:val="36"/>
        </w:rPr>
        <w:t>Dr Vivek Gupta, MD, MSc</w:t>
      </w:r>
    </w:p>
    <w:p>
      <w:pPr>
        <w:jc w:val="center"/>
      </w:pPr>
      <w:r>
        <w:rPr>
          <w:sz w:val="28"/>
        </w:rPr>
        <w:t>Addl. Prof. and CISO, AIIMS, New Delhi</w:t>
      </w:r>
    </w:p>
    <w:p>
      <w:r>
        <w:br w:type="page"/>
      </w:r>
    </w:p>
    <w:bookmarkStart w:id="17" w:name="executive-summary"/>
    <w:p>
      <w:pPr>
        <w:pStyle w:val="Heading1"/>
      </w:pPr>
      <w:r>
        <w:t xml:space="preserve">Executive Summary</w:t>
      </w:r>
    </w:p>
    <w:p>
      <w:pPr>
        <w:pStyle w:val="FirstParagraph"/>
      </w:pPr>
      <w:r>
        <w:t xml:space="preserve">This comparative study analyzes how</w:t>
      </w:r>
      <w:r>
        <w:t xml:space="preserve"> </w:t>
      </w:r>
      <w:r>
        <w:rPr>
          <w:b/>
          <w:bCs/>
        </w:rPr>
        <w:t xml:space="preserve">17 jurisdictions</w:t>
      </w:r>
      <w:r>
        <w:t xml:space="preserve"> </w:t>
      </w:r>
      <w:r>
        <w:t xml:space="preserve">classify health-related information systems and operators as critical infrastructure, plus an additional</w:t>
      </w:r>
      <w:r>
        <w:t xml:space="preserve"> </w:t>
      </w:r>
      <w:r>
        <w:rPr>
          <w:b/>
          <w:bCs/>
        </w:rPr>
        <w:t xml:space="preserve">20+ countries</w:t>
      </w:r>
      <w:r>
        <w:t xml:space="preserve"> </w:t>
      </w:r>
      <w:r>
        <w:t xml:space="preserve">surveyed across Latin America, ASEAN, Africa, the Middle East, and Central Asia. Whether framed as</w:t>
      </w:r>
      <w:r>
        <w:t xml:space="preserve"> </w:t>
      </w:r>
      <w:r>
        <w:rPr>
          <w:i/>
          <w:iCs/>
        </w:rPr>
        <w:t xml:space="preserve">critical information infrastructure</w:t>
      </w:r>
      <w:r>
        <w:t xml:space="preserve">,</w:t>
      </w:r>
      <w:r>
        <w:t xml:space="preserve"> </w:t>
      </w:r>
      <w:r>
        <w:rPr>
          <w:i/>
          <w:iCs/>
        </w:rPr>
        <w:t xml:space="preserve">critical entities</w:t>
      </w:r>
      <w:r>
        <w:t xml:space="preserve">,</w:t>
      </w:r>
      <w:r>
        <w:t xml:space="preserve"> </w:t>
      </w:r>
      <w:r>
        <w:rPr>
          <w:i/>
          <w:iCs/>
        </w:rPr>
        <w:t xml:space="preserve">essential services</w:t>
      </w:r>
      <w:r>
        <w:t xml:space="preserve">, or equivalent constructs, this report identifies global patterns and actionable insights for policymakers.</w:t>
      </w:r>
    </w:p>
    <w:bookmarkStart w:id="9" w:name="scope-of-analysis"/>
    <w:p>
      <w:pPr>
        <w:pStyle w:val="Heading2"/>
      </w:pPr>
      <w:r>
        <w:t xml:space="preserve">Scope of Analysis</w:t>
      </w:r>
    </w:p>
    <w:tbl>
      <w:tblPr>
        <w:tblStyle w:val="Table"/>
        <w:tblW w:type="pct" w:w="5000"/>
        <w:tblLayout w:type="fixed"/>
        <w:tblLook w:firstRow="1" w:lastRow="0" w:firstColumn="0" w:lastColumn="0" w:noHBand="0" w:noVBand="0" w:val="0020"/>
      </w:tblPr>
      <w:tblGrid>
        <w:gridCol w:w="3046"/>
        <w:gridCol w:w="2132"/>
        <w:gridCol w:w="2741"/>
      </w:tblGrid>
      <w:tr>
        <w:trPr>
          <w:tblHeader w:val="on"/>
        </w:trPr>
        <w:tc>
          <w:tcPr/>
          <w:p>
            <w:pPr>
              <w:pStyle w:val="Compact"/>
              <w:jc w:val="left"/>
            </w:pPr>
            <w:r>
              <w:t xml:space="preserve">Coverage</w:t>
            </w:r>
          </w:p>
        </w:tc>
        <w:tc>
          <w:tcPr/>
          <w:p>
            <w:pPr>
              <w:pStyle w:val="Compact"/>
              <w:jc w:val="left"/>
            </w:pPr>
            <w:r>
              <w:t xml:space="preserve">Count</w:t>
            </w:r>
          </w:p>
        </w:tc>
        <w:tc>
          <w:tcPr/>
          <w:p>
            <w:pPr>
              <w:pStyle w:val="Compact"/>
              <w:jc w:val="left"/>
            </w:pPr>
            <w:r>
              <w:t xml:space="preserve">Regions</w:t>
            </w:r>
          </w:p>
        </w:tc>
      </w:tr>
      <w:tr>
        <w:tc>
          <w:tcPr/>
          <w:p>
            <w:pPr>
              <w:pStyle w:val="Compact"/>
              <w:jc w:val="left"/>
            </w:pPr>
            <w:r>
              <w:rPr>
                <w:b/>
                <w:bCs/>
              </w:rPr>
              <w:t xml:space="preserve">Deep-dive chapters</w:t>
            </w:r>
          </w:p>
        </w:tc>
        <w:tc>
          <w:tcPr/>
          <w:p>
            <w:pPr>
              <w:pStyle w:val="Compact"/>
              <w:jc w:val="left"/>
            </w:pPr>
            <w:r>
              <w:t xml:space="preserve">17</w:t>
            </w:r>
          </w:p>
        </w:tc>
        <w:tc>
          <w:tcPr/>
          <w:p>
            <w:pPr>
              <w:pStyle w:val="Compact"/>
              <w:jc w:val="left"/>
            </w:pPr>
            <w:r>
              <w:t xml:space="preserve">North America, Europe, Asia-Pacific, Middle East</w:t>
            </w:r>
          </w:p>
        </w:tc>
      </w:tr>
      <w:tr>
        <w:tc>
          <w:tcPr/>
          <w:p>
            <w:pPr>
              <w:pStyle w:val="Compact"/>
              <w:jc w:val="left"/>
            </w:pPr>
            <w:r>
              <w:rPr>
                <w:b/>
                <w:bCs/>
              </w:rPr>
              <w:t xml:space="preserve">Multi-region survey</w:t>
            </w:r>
          </w:p>
        </w:tc>
        <w:tc>
          <w:tcPr/>
          <w:p>
            <w:pPr>
              <w:pStyle w:val="Compact"/>
              <w:jc w:val="left"/>
            </w:pPr>
            <w:r>
              <w:t xml:space="preserve">20+</w:t>
            </w:r>
          </w:p>
        </w:tc>
        <w:tc>
          <w:tcPr/>
          <w:p>
            <w:pPr>
              <w:pStyle w:val="Compact"/>
              <w:jc w:val="left"/>
            </w:pPr>
            <w:r>
              <w:t xml:space="preserve">Latin America, ASEAN, Africa, Central Asia, Eastern Europe</w:t>
            </w:r>
          </w:p>
        </w:tc>
      </w:tr>
    </w:tbl>
    <w:bookmarkEnd w:id="9"/>
    <w:bookmarkStart w:id="10" w:name="key-findings"/>
    <w:p>
      <w:pPr>
        <w:pStyle w:val="Heading2"/>
      </w:pPr>
      <w:r>
        <w:t xml:space="preserve">Key Findings</w:t>
      </w:r>
    </w:p>
    <w:p>
      <w:pPr>
        <w:pStyle w:val="Compact"/>
        <w:numPr>
          <w:ilvl w:val="0"/>
          <w:numId w:val="1001"/>
        </w:numPr>
      </w:pPr>
      <w:r>
        <w:rPr>
          <w:b/>
          <w:bCs/>
        </w:rPr>
        <w:t xml:space="preserve">Universal prioritization of life-and-safety digital functions.</w:t>
      </w:r>
      <w:r>
        <w:t xml:space="preserve"> </w:t>
      </w:r>
      <w:r>
        <w:t xml:space="preserve">Across all 17 jurisdictions, consistent prioritization emerges for: emergency dispatch systems, major hospital clinical platforms (EMR/EHR, ICU monitoring), blood and organ allocation services, disease surveillance systems, and national health information exchanges.</w:t>
      </w:r>
    </w:p>
    <w:p>
      <w:pPr>
        <w:pStyle w:val="Compact"/>
        <w:numPr>
          <w:ilvl w:val="0"/>
          <w:numId w:val="1001"/>
        </w:numPr>
      </w:pPr>
      <w:r>
        <w:rPr>
          <w:b/>
          <w:bCs/>
        </w:rPr>
        <w:t xml:space="preserve">Multiple designation models, converging on hybrids.</w:t>
      </w:r>
      <w:r>
        <w:t xml:space="preserve"> </w:t>
      </w:r>
      <w:r>
        <w:t xml:space="preserve">Approaches include:</w:t>
      </w:r>
    </w:p>
    <w:p>
      <w:pPr>
        <w:pStyle w:val="Compact"/>
        <w:numPr>
          <w:ilvl w:val="1"/>
          <w:numId w:val="1002"/>
        </w:numPr>
      </w:pPr>
      <w:r>
        <w:rPr>
          <w:b/>
          <w:bCs/>
        </w:rPr>
        <w:t xml:space="preserve">Sector-based</w:t>
      </w:r>
      <w:r>
        <w:t xml:space="preserve"> </w:t>
      </w:r>
      <w:r>
        <w:t xml:space="preserve">(USA, Canada): broad coverage, lower precision</w:t>
      </w:r>
    </w:p>
    <w:p>
      <w:pPr>
        <w:pStyle w:val="Compact"/>
        <w:numPr>
          <w:ilvl w:val="1"/>
          <w:numId w:val="1002"/>
        </w:numPr>
      </w:pPr>
      <w:r>
        <w:rPr>
          <w:b/>
          <w:bCs/>
        </w:rPr>
        <w:t xml:space="preserve">Entity-based</w:t>
      </w:r>
      <w:r>
        <w:t xml:space="preserve"> </w:t>
      </w:r>
      <w:r>
        <w:t xml:space="preserve">(UK, EU, France): clear accountability, scalable</w:t>
      </w:r>
    </w:p>
    <w:p>
      <w:pPr>
        <w:pStyle w:val="Compact"/>
        <w:numPr>
          <w:ilvl w:val="1"/>
          <w:numId w:val="1002"/>
        </w:numPr>
      </w:pPr>
      <w:r>
        <w:rPr>
          <w:b/>
          <w:bCs/>
        </w:rPr>
        <w:t xml:space="preserve">System-based</w:t>
      </w:r>
      <w:r>
        <w:t xml:space="preserve"> </w:t>
      </w:r>
      <w:r>
        <w:t xml:space="preserve">(Singapore): precise, but complex to administer</w:t>
      </w:r>
    </w:p>
    <w:p>
      <w:pPr>
        <w:pStyle w:val="Compact"/>
        <w:numPr>
          <w:ilvl w:val="1"/>
          <w:numId w:val="1002"/>
        </w:numPr>
      </w:pPr>
      <w:r>
        <w:rPr>
          <w:b/>
          <w:bCs/>
        </w:rPr>
        <w:t xml:space="preserve">Asset-based</w:t>
      </w:r>
      <w:r>
        <w:t xml:space="preserve"> </w:t>
      </w:r>
      <w:r>
        <w:t xml:space="preserve">(Australia, Germany): explicit thresholds, easy to verify</w:t>
      </w:r>
    </w:p>
    <w:p>
      <w:pPr>
        <w:pStyle w:val="Compact"/>
        <w:numPr>
          <w:ilvl w:val="1"/>
          <w:numId w:val="1002"/>
        </w:numPr>
      </w:pPr>
      <w:r>
        <w:rPr>
          <w:b/>
          <w:bCs/>
        </w:rPr>
        <w:t xml:space="preserve">Hybrid models</w:t>
      </w:r>
      <w:r>
        <w:t xml:space="preserve"> </w:t>
      </w:r>
      <w:r>
        <w:t xml:space="preserve">increasingly common: combining quantitative thresholds with qualitative</w:t>
      </w:r>
      <w:r>
        <w:t xml:space="preserve"> </w:t>
      </w:r>
      <w:r>
        <w:t xml:space="preserve">“safety net”</w:t>
      </w:r>
      <w:r>
        <w:t xml:space="preserve"> </w:t>
      </w:r>
      <w:r>
        <w:t xml:space="preserve">criteria</w:t>
      </w:r>
    </w:p>
    <w:p>
      <w:pPr>
        <w:pStyle w:val="Compact"/>
        <w:numPr>
          <w:ilvl w:val="0"/>
          <w:numId w:val="1001"/>
        </w:numPr>
      </w:pPr>
      <w:r>
        <w:rPr>
          <w:b/>
          <w:bCs/>
        </w:rPr>
        <w:t xml:space="preserve">Criteria public; lists often confidential.</w:t>
      </w:r>
      <w:r>
        <w:t xml:space="preserve"> </w:t>
      </w:r>
      <w:r>
        <w:t xml:space="preserve">Most regimes publish designation</w:t>
      </w:r>
      <w:r>
        <w:t xml:space="preserve"> </w:t>
      </w:r>
      <w:r>
        <w:rPr>
          <w:i/>
          <w:iCs/>
        </w:rPr>
        <w:t xml:space="preserve">criteria</w:t>
      </w:r>
      <w:r>
        <w:t xml:space="preserve"> </w:t>
      </w:r>
      <w:r>
        <w:t xml:space="preserve">(enabling self-assessment) while keeping specific entity lists confidential to avoid creating target lists.</w:t>
      </w:r>
      <w:r>
        <w:t xml:space="preserve"> </w:t>
      </w:r>
      <w:r>
        <w:rPr>
          <w:b/>
          <w:bCs/>
        </w:rPr>
        <w:t xml:space="preserve">Exception:</w:t>
      </w:r>
      <w:r>
        <w:t xml:space="preserve"> </w:t>
      </w:r>
      <w:r>
        <w:t xml:space="preserve">South Korea publishes designations in the Official Gazette.</w:t>
      </w:r>
    </w:p>
    <w:p>
      <w:pPr>
        <w:pStyle w:val="Compact"/>
        <w:numPr>
          <w:ilvl w:val="0"/>
          <w:numId w:val="1001"/>
        </w:numPr>
      </w:pPr>
      <w:r>
        <w:rPr>
          <w:b/>
          <w:bCs/>
        </w:rPr>
        <w:t xml:space="preserve">Tiering structures vary.</w:t>
      </w:r>
      <w:r>
        <w:t xml:space="preserve"> </w:t>
      </w:r>
      <w:r>
        <w:t xml:space="preserve">From binary (designated/not) to multi-tier:</w:t>
      </w:r>
    </w:p>
    <w:p>
      <w:pPr>
        <w:pStyle w:val="Compact"/>
        <w:numPr>
          <w:ilvl w:val="1"/>
          <w:numId w:val="1003"/>
        </w:numPr>
      </w:pPr>
      <w:r>
        <w:rPr>
          <w:b/>
          <w:bCs/>
        </w:rPr>
        <w:t xml:space="preserve">Two-tier:</w:t>
      </w:r>
      <w:r>
        <w:t xml:space="preserve"> </w:t>
      </w:r>
      <w:r>
        <w:t xml:space="preserve">EU NIS2 (Essential/Important), Hong Kong (Category 1/2/3 obligations)</w:t>
      </w:r>
    </w:p>
    <w:p>
      <w:pPr>
        <w:pStyle w:val="Compact"/>
        <w:numPr>
          <w:ilvl w:val="1"/>
          <w:numId w:val="1003"/>
        </w:numPr>
      </w:pPr>
      <w:r>
        <w:rPr>
          <w:b/>
          <w:bCs/>
        </w:rPr>
        <w:t xml:space="preserve">Three-tier:</w:t>
      </w:r>
      <w:r>
        <w:t xml:space="preserve"> </w:t>
      </w:r>
      <w:r>
        <w:t xml:space="preserve">Israel (Basic/Medium/High database security)</w:t>
      </w:r>
    </w:p>
    <w:p>
      <w:pPr>
        <w:pStyle w:val="Compact"/>
        <w:numPr>
          <w:ilvl w:val="1"/>
          <w:numId w:val="1003"/>
        </w:numPr>
      </w:pPr>
      <w:r>
        <w:rPr>
          <w:b/>
          <w:bCs/>
        </w:rPr>
        <w:t xml:space="preserve">Single-tier + enhanced:</w:t>
      </w:r>
      <w:r>
        <w:t xml:space="preserve"> </w:t>
      </w:r>
      <w:r>
        <w:t xml:space="preserve">Australia (Critical Hospital → SoNS)</w:t>
      </w:r>
    </w:p>
    <w:p>
      <w:pPr>
        <w:pStyle w:val="Compact"/>
        <w:numPr>
          <w:ilvl w:val="0"/>
          <w:numId w:val="1001"/>
        </w:numPr>
      </w:pPr>
      <w:r>
        <w:rPr>
          <w:b/>
          <w:bCs/>
        </w:rPr>
        <w:t xml:space="preserve">2025–2026: A regulatory inflection point.</w:t>
      </w:r>
      <w:r>
        <w:t xml:space="preserve"> </w:t>
      </w:r>
      <w:r>
        <w:t xml:space="preserve">Eleven major regulatory milestones across eight jurisdictions are entering force, with convergence toward 24-hour early warning and 72-hour detailed incident reporting.</w:t>
      </w:r>
    </w:p>
    <w:bookmarkEnd w:id="10"/>
    <w:bookmarkStart w:id="11" w:name="key-regulatory-milestones-20252026"/>
    <w:p>
      <w:pPr>
        <w:pStyle w:val="Heading2"/>
      </w:pPr>
      <w:r>
        <w:t xml:space="preserve">Key Regulatory Milestones (2025–2026)</w:t>
      </w:r>
    </w:p>
    <w:tbl>
      <w:tblPr>
        <w:tblStyle w:val="Table"/>
        <w:tblW w:type="pct" w:w="5000"/>
        <w:tblLayout w:type="fixed"/>
        <w:tblLook w:firstRow="1" w:lastRow="0" w:firstColumn="0" w:lastColumn="0" w:noHBand="0" w:noVBand="0" w:val="0020"/>
      </w:tblPr>
      <w:tblGrid>
        <w:gridCol w:w="896"/>
        <w:gridCol w:w="2092"/>
        <w:gridCol w:w="1643"/>
        <w:gridCol w:w="3287"/>
      </w:tblGrid>
      <w:tr>
        <w:trPr>
          <w:tblHeader w:val="on"/>
        </w:trPr>
        <w:tc>
          <w:tcPr/>
          <w:p>
            <w:pPr>
              <w:pStyle w:val="Compact"/>
              <w:jc w:val="left"/>
            </w:pPr>
            <w:r>
              <w:t xml:space="preserve">Date</w:t>
            </w:r>
          </w:p>
        </w:tc>
        <w:tc>
          <w:tcPr/>
          <w:p>
            <w:pPr>
              <w:pStyle w:val="Compact"/>
              <w:jc w:val="left"/>
            </w:pPr>
            <w:r>
              <w:t xml:space="preserve">Jurisdiction</w:t>
            </w:r>
          </w:p>
        </w:tc>
        <w:tc>
          <w:tcPr/>
          <w:p>
            <w:pPr>
              <w:pStyle w:val="Compact"/>
              <w:jc w:val="left"/>
            </w:pPr>
            <w:r>
              <w:t xml:space="preserve">Milestone</w:t>
            </w:r>
          </w:p>
        </w:tc>
        <w:tc>
          <w:tcPr/>
          <w:p>
            <w:pPr>
              <w:pStyle w:val="Compact"/>
              <w:jc w:val="left"/>
            </w:pPr>
            <w:r>
              <w:t xml:space="preserve">Health Sector Impact</w:t>
            </w:r>
          </w:p>
        </w:tc>
      </w:tr>
      <w:tr>
        <w:tc>
          <w:tcPr/>
          <w:p>
            <w:pPr>
              <w:pStyle w:val="Compact"/>
              <w:jc w:val="left"/>
            </w:pPr>
            <w:r>
              <w:rPr>
                <w:b/>
                <w:bCs/>
              </w:rPr>
              <w:t xml:space="preserve">1 Apr 2025</w:t>
            </w:r>
          </w:p>
        </w:tc>
        <w:tc>
          <w:tcPr/>
          <w:p>
            <w:pPr>
              <w:pStyle w:val="Compact"/>
              <w:jc w:val="left"/>
            </w:pPr>
            <w:r>
              <w:t xml:space="preserve">Switzerland</w:t>
            </w:r>
          </w:p>
        </w:tc>
        <w:tc>
          <w:tcPr/>
          <w:p>
            <w:pPr>
              <w:pStyle w:val="Compact"/>
              <w:jc w:val="left"/>
            </w:pPr>
            <w:r>
              <w:t xml:space="preserve">Cybersecurity Ordinance (CSV) in force</w:t>
            </w:r>
          </w:p>
        </w:tc>
        <w:tc>
          <w:tcPr/>
          <w:p>
            <w:pPr>
              <w:pStyle w:val="Compact"/>
              <w:jc w:val="left"/>
            </w:pPr>
            <w:r>
              <w:t xml:space="preserve">24h reporting for hospitals, labs</w:t>
            </w:r>
          </w:p>
        </w:tc>
      </w:tr>
      <w:tr>
        <w:tc>
          <w:tcPr/>
          <w:p>
            <w:pPr>
              <w:pStyle w:val="Compact"/>
              <w:jc w:val="left"/>
            </w:pPr>
            <w:r>
              <w:rPr>
                <w:b/>
                <w:bCs/>
              </w:rPr>
              <w:t xml:space="preserve">30 May 2025</w:t>
            </w:r>
          </w:p>
        </w:tc>
        <w:tc>
          <w:tcPr/>
          <w:p>
            <w:pPr>
              <w:pStyle w:val="Compact"/>
              <w:jc w:val="left"/>
            </w:pPr>
            <w:r>
              <w:t xml:space="preserve">Australia</w:t>
            </w:r>
          </w:p>
        </w:tc>
        <w:tc>
          <w:tcPr/>
          <w:p>
            <w:pPr>
              <w:pStyle w:val="Compact"/>
              <w:jc w:val="left"/>
            </w:pPr>
            <w:r>
              <w:t xml:space="preserve">Ransomware payment reporting mandatory</w:t>
            </w:r>
          </w:p>
        </w:tc>
        <w:tc>
          <w:tcPr/>
          <w:p>
            <w:pPr>
              <w:pStyle w:val="Compact"/>
              <w:jc w:val="left"/>
            </w:pPr>
            <w:r>
              <w:t xml:space="preserve">Applies to critical hospitals</w:t>
            </w:r>
          </w:p>
        </w:tc>
      </w:tr>
      <w:tr>
        <w:tc>
          <w:tcPr/>
          <w:p>
            <w:pPr>
              <w:pStyle w:val="Compact"/>
              <w:jc w:val="left"/>
            </w:pPr>
            <w:r>
              <w:rPr>
                <w:b/>
                <w:bCs/>
              </w:rPr>
              <w:t xml:space="preserve">14 Aug 2025</w:t>
            </w:r>
          </w:p>
        </w:tc>
        <w:tc>
          <w:tcPr/>
          <w:p>
            <w:pPr>
              <w:pStyle w:val="Compact"/>
              <w:jc w:val="left"/>
            </w:pPr>
            <w:r>
              <w:t xml:space="preserve">Israel</w:t>
            </w:r>
          </w:p>
        </w:tc>
        <w:tc>
          <w:tcPr/>
          <w:p>
            <w:pPr>
              <w:pStyle w:val="Compact"/>
              <w:jc w:val="left"/>
            </w:pPr>
            <w:r>
              <w:t xml:space="preserve">Privacy Protection Law Amendment 13</w:t>
            </w:r>
          </w:p>
        </w:tc>
        <w:tc>
          <w:tcPr/>
          <w:p>
            <w:pPr>
              <w:pStyle w:val="Compact"/>
              <w:jc w:val="left"/>
            </w:pPr>
            <w:r>
              <w:t xml:space="preserve">3-tier database security levels</w:t>
            </w:r>
          </w:p>
        </w:tc>
      </w:tr>
      <w:tr>
        <w:tc>
          <w:tcPr/>
          <w:p>
            <w:pPr>
              <w:pStyle w:val="Compact"/>
              <w:jc w:val="left"/>
            </w:pPr>
            <w:r>
              <w:rPr>
                <w:b/>
                <w:bCs/>
              </w:rPr>
              <w:t xml:space="preserve">24 Sept 2025</w:t>
            </w:r>
          </w:p>
        </w:tc>
        <w:tc>
          <w:tcPr/>
          <w:p>
            <w:pPr>
              <w:pStyle w:val="Compact"/>
              <w:jc w:val="left"/>
            </w:pPr>
            <w:r>
              <w:t xml:space="preserve">Taiwan</w:t>
            </w:r>
          </w:p>
        </w:tc>
        <w:tc>
          <w:tcPr/>
          <w:p>
            <w:pPr>
              <w:pStyle w:val="Compact"/>
              <w:jc w:val="left"/>
            </w:pPr>
            <w:r>
              <w:t xml:space="preserve">Revised Cyber Security Management Act</w:t>
            </w:r>
          </w:p>
        </w:tc>
        <w:tc>
          <w:tcPr/>
          <w:p>
            <w:pPr>
              <w:pStyle w:val="Compact"/>
              <w:jc w:val="left"/>
            </w:pPr>
            <w:r>
              <w:t xml:space="preserve">MoDA as competent authority</w:t>
            </w:r>
          </w:p>
        </w:tc>
      </w:tr>
      <w:tr>
        <w:tc>
          <w:tcPr/>
          <w:p>
            <w:pPr>
              <w:pStyle w:val="Compact"/>
              <w:jc w:val="left"/>
            </w:pPr>
            <w:r>
              <w:rPr>
                <w:b/>
                <w:bCs/>
              </w:rPr>
              <w:t xml:space="preserve">1 Oct 2025</w:t>
            </w:r>
          </w:p>
        </w:tc>
        <w:tc>
          <w:tcPr/>
          <w:p>
            <w:pPr>
              <w:pStyle w:val="Compact"/>
              <w:jc w:val="left"/>
            </w:pPr>
            <w:r>
              <w:t xml:space="preserve">Norway</w:t>
            </w:r>
          </w:p>
        </w:tc>
        <w:tc>
          <w:tcPr/>
          <w:p>
            <w:pPr>
              <w:pStyle w:val="Compact"/>
              <w:jc w:val="left"/>
            </w:pPr>
            <w:r>
              <w:t xml:space="preserve">Digital Security Act in force</w:t>
            </w:r>
          </w:p>
        </w:tc>
        <w:tc>
          <w:tcPr/>
          <w:p>
            <w:pPr>
              <w:pStyle w:val="Compact"/>
              <w:jc w:val="left"/>
            </w:pPr>
            <w:r>
              <w:t xml:space="preserve">Health as</w:t>
            </w:r>
            <w:r>
              <w:t xml:space="preserve"> </w:t>
            </w:r>
            <w:r>
              <w:t xml:space="preserve">“socially important service”</w:t>
            </w:r>
          </w:p>
        </w:tc>
      </w:tr>
      <w:tr>
        <w:tc>
          <w:tcPr/>
          <w:p>
            <w:pPr>
              <w:pStyle w:val="Compact"/>
              <w:jc w:val="left"/>
            </w:pPr>
            <w:r>
              <w:rPr>
                <w:b/>
                <w:bCs/>
              </w:rPr>
              <w:t xml:space="preserve">Nov 2025</w:t>
            </w:r>
          </w:p>
        </w:tc>
        <w:tc>
          <w:tcPr/>
          <w:p>
            <w:pPr>
              <w:pStyle w:val="Compact"/>
              <w:jc w:val="left"/>
            </w:pPr>
            <w:r>
              <w:t xml:space="preserve">UK</w:t>
            </w:r>
          </w:p>
        </w:tc>
        <w:tc>
          <w:tcPr/>
          <w:p>
            <w:pPr>
              <w:pStyle w:val="Compact"/>
              <w:jc w:val="left"/>
            </w:pPr>
            <w:r>
              <w:t xml:space="preserve">Cyber Security Bill introduced</w:t>
            </w:r>
          </w:p>
        </w:tc>
        <w:tc>
          <w:tcPr/>
          <w:p>
            <w:pPr>
              <w:pStyle w:val="Compact"/>
              <w:jc w:val="left"/>
            </w:pPr>
            <w:r>
              <w:t xml:space="preserve">Expands to MSPs, 24h reporting</w:t>
            </w:r>
          </w:p>
        </w:tc>
      </w:tr>
      <w:tr>
        <w:tc>
          <w:tcPr/>
          <w:p>
            <w:pPr>
              <w:pStyle w:val="Compact"/>
              <w:jc w:val="left"/>
            </w:pPr>
            <w:r>
              <w:rPr>
                <w:b/>
                <w:bCs/>
              </w:rPr>
              <w:t xml:space="preserve">6 Dec 2025</w:t>
            </w:r>
          </w:p>
        </w:tc>
        <w:tc>
          <w:tcPr/>
          <w:p>
            <w:pPr>
              <w:pStyle w:val="Compact"/>
              <w:jc w:val="left"/>
            </w:pPr>
            <w:r>
              <w:t xml:space="preserve">Germany</w:t>
            </w:r>
          </w:p>
        </w:tc>
        <w:tc>
          <w:tcPr/>
          <w:p>
            <w:pPr>
              <w:pStyle w:val="Compact"/>
              <w:jc w:val="left"/>
            </w:pPr>
            <w:r>
              <w:t xml:space="preserve">NIS2 implementation law in force</w:t>
            </w:r>
          </w:p>
        </w:tc>
        <w:tc>
          <w:tcPr/>
          <w:p>
            <w:pPr>
              <w:pStyle w:val="Compact"/>
              <w:jc w:val="left"/>
            </w:pPr>
            <w:r>
              <w:t xml:space="preserve">30,000-case hospital threshold</w:t>
            </w:r>
          </w:p>
        </w:tc>
      </w:tr>
      <w:tr>
        <w:tc>
          <w:tcPr/>
          <w:p>
            <w:pPr>
              <w:pStyle w:val="Compact"/>
              <w:jc w:val="left"/>
            </w:pPr>
            <w:r>
              <w:rPr>
                <w:b/>
                <w:bCs/>
              </w:rPr>
              <w:t xml:space="preserve">1 Jan 2026</w:t>
            </w:r>
          </w:p>
        </w:tc>
        <w:tc>
          <w:tcPr/>
          <w:p>
            <w:pPr>
              <w:pStyle w:val="Compact"/>
              <w:jc w:val="left"/>
            </w:pPr>
            <w:r>
              <w:t xml:space="preserve">Hong Kong</w:t>
            </w:r>
          </w:p>
        </w:tc>
        <w:tc>
          <w:tcPr/>
          <w:p>
            <w:pPr>
              <w:pStyle w:val="Compact"/>
              <w:jc w:val="left"/>
            </w:pPr>
            <w:r>
              <w:t xml:space="preserve">CI Ordinance in force</w:t>
            </w:r>
          </w:p>
        </w:tc>
        <w:tc>
          <w:tcPr/>
          <w:p>
            <w:pPr>
              <w:pStyle w:val="Compact"/>
              <w:jc w:val="left"/>
            </w:pPr>
            <w:r>
              <w:t xml:space="preserve">12h/48h/14d incident reporting</w:t>
            </w:r>
          </w:p>
        </w:tc>
      </w:tr>
      <w:tr>
        <w:tc>
          <w:tcPr/>
          <w:p>
            <w:pPr>
              <w:pStyle w:val="Compact"/>
              <w:jc w:val="left"/>
            </w:pPr>
            <w:r>
              <w:rPr>
                <w:b/>
                <w:bCs/>
              </w:rPr>
              <w:t xml:space="preserve">1 Jan 2026</w:t>
            </w:r>
          </w:p>
        </w:tc>
        <w:tc>
          <w:tcPr/>
          <w:p>
            <w:pPr>
              <w:pStyle w:val="Compact"/>
              <w:jc w:val="left"/>
            </w:pPr>
            <w:r>
              <w:t xml:space="preserve">Australia</w:t>
            </w:r>
          </w:p>
        </w:tc>
        <w:tc>
          <w:tcPr/>
          <w:p>
            <w:pPr>
              <w:pStyle w:val="Compact"/>
              <w:jc w:val="left"/>
            </w:pPr>
            <w:r>
              <w:t xml:space="preserve">Strict enforcement posture begins</w:t>
            </w:r>
          </w:p>
        </w:tc>
        <w:tc>
          <w:tcPr/>
          <w:p>
            <w:pPr>
              <w:pStyle w:val="Compact"/>
              <w:jc w:val="left"/>
            </w:pPr>
            <w:r>
              <w:t xml:space="preserve">Enhanced supervision of ICU hospitals</w:t>
            </w:r>
          </w:p>
        </w:tc>
      </w:tr>
      <w:tr>
        <w:tc>
          <w:tcPr/>
          <w:p>
            <w:pPr>
              <w:pStyle w:val="Compact"/>
              <w:jc w:val="left"/>
            </w:pPr>
            <w:r>
              <w:rPr>
                <w:b/>
                <w:bCs/>
              </w:rPr>
              <w:t xml:space="preserve">May 2026</w:t>
            </w:r>
          </w:p>
        </w:tc>
        <w:tc>
          <w:tcPr/>
          <w:p>
            <w:pPr>
              <w:pStyle w:val="Compact"/>
              <w:jc w:val="left"/>
            </w:pPr>
            <w:r>
              <w:t xml:space="preserve">USA</w:t>
            </w:r>
          </w:p>
        </w:tc>
        <w:tc>
          <w:tcPr/>
          <w:p>
            <w:pPr>
              <w:pStyle w:val="Compact"/>
              <w:jc w:val="left"/>
            </w:pPr>
            <w:r>
              <w:t xml:space="preserve">CIRCIA final rule expected</w:t>
            </w:r>
          </w:p>
        </w:tc>
        <w:tc>
          <w:tcPr/>
          <w:p>
            <w:pPr>
              <w:pStyle w:val="Compact"/>
              <w:jc w:val="left"/>
            </w:pPr>
            <w:r>
              <w:t xml:space="preserve">72h incident/24h ransom reporting</w:t>
            </w:r>
          </w:p>
        </w:tc>
      </w:tr>
      <w:tr>
        <w:tc>
          <w:tcPr/>
          <w:p>
            <w:pPr>
              <w:pStyle w:val="Compact"/>
              <w:jc w:val="left"/>
            </w:pPr>
            <w:r>
              <w:rPr>
                <w:b/>
                <w:bCs/>
              </w:rPr>
              <w:t xml:space="preserve">17 July 2026</w:t>
            </w:r>
          </w:p>
        </w:tc>
        <w:tc>
          <w:tcPr/>
          <w:p>
            <w:pPr>
              <w:pStyle w:val="Compact"/>
              <w:jc w:val="left"/>
            </w:pPr>
            <w:r>
              <w:t xml:space="preserve">EU</w:t>
            </w:r>
          </w:p>
        </w:tc>
        <w:tc>
          <w:tcPr/>
          <w:p>
            <w:pPr>
              <w:pStyle w:val="Compact"/>
              <w:jc w:val="left"/>
            </w:pPr>
            <w:r>
              <w:t xml:space="preserve">CER Directive deadline</w:t>
            </w:r>
          </w:p>
        </w:tc>
        <w:tc>
          <w:tcPr/>
          <w:p>
            <w:pPr>
              <w:pStyle w:val="Compact"/>
              <w:jc w:val="left"/>
            </w:pPr>
            <w:r>
              <w:t xml:space="preserve">All-hazard resilience for health</w:t>
            </w:r>
          </w:p>
        </w:tc>
      </w:tr>
    </w:tbl>
    <w:bookmarkEnd w:id="11"/>
    <w:bookmarkStart w:id="12" w:name="incident-reporting-global-convergence"/>
    <w:p>
      <w:pPr>
        <w:pStyle w:val="Heading2"/>
      </w:pPr>
      <w:r>
        <w:t xml:space="preserve">Incident Reporting: Global Convergence</w:t>
      </w:r>
    </w:p>
    <w:tbl>
      <w:tblPr>
        <w:tblStyle w:val="Table"/>
        <w:tblW w:type="pct" w:w="5000"/>
        <w:tblLayout w:type="fixed"/>
        <w:tblLook w:firstRow="1" w:lastRow="0" w:firstColumn="0" w:lastColumn="0" w:noHBand="0" w:noVBand="0" w:val="0020"/>
      </w:tblPr>
      <w:tblGrid>
        <w:gridCol w:w="2640"/>
        <w:gridCol w:w="2950"/>
        <w:gridCol w:w="2329"/>
      </w:tblGrid>
      <w:tr>
        <w:trPr>
          <w:tblHeader w:val="on"/>
        </w:trPr>
        <w:tc>
          <w:tcPr/>
          <w:p>
            <w:pPr>
              <w:pStyle w:val="Compact"/>
              <w:jc w:val="left"/>
            </w:pPr>
            <w:r>
              <w:t xml:space="preserve">Reporting Stage</w:t>
            </w:r>
          </w:p>
        </w:tc>
        <w:tc>
          <w:tcPr/>
          <w:p>
            <w:pPr>
              <w:pStyle w:val="Compact"/>
              <w:jc w:val="left"/>
            </w:pPr>
            <w:r>
              <w:t xml:space="preserve">Emerging Standard</w:t>
            </w:r>
          </w:p>
        </w:tc>
        <w:tc>
          <w:tcPr/>
          <w:p>
            <w:pPr>
              <w:pStyle w:val="Compact"/>
              <w:jc w:val="left"/>
            </w:pPr>
            <w:r>
              <w:t xml:space="preserve">Jurisdictions</w:t>
            </w:r>
          </w:p>
        </w:tc>
      </w:tr>
      <w:tr>
        <w:tc>
          <w:tcPr/>
          <w:p>
            <w:pPr>
              <w:pStyle w:val="Compact"/>
              <w:jc w:val="left"/>
            </w:pPr>
            <w:r>
              <w:rPr>
                <w:b/>
                <w:bCs/>
              </w:rPr>
              <w:t xml:space="preserve">Early warning</w:t>
            </w:r>
          </w:p>
        </w:tc>
        <w:tc>
          <w:tcPr/>
          <w:p>
            <w:pPr>
              <w:pStyle w:val="Compact"/>
              <w:jc w:val="left"/>
            </w:pPr>
            <w:r>
              <w:t xml:space="preserve">12–24 hours</w:t>
            </w:r>
          </w:p>
        </w:tc>
        <w:tc>
          <w:tcPr/>
          <w:p>
            <w:pPr>
              <w:pStyle w:val="Compact"/>
              <w:jc w:val="left"/>
            </w:pPr>
            <w:r>
              <w:t xml:space="preserve">Hong Kong (12h), Norway (24h), Switzerland (24h), EU NIS2 (24h), UK (24h)</w:t>
            </w:r>
          </w:p>
        </w:tc>
      </w:tr>
      <w:tr>
        <w:tc>
          <w:tcPr/>
          <w:p>
            <w:pPr>
              <w:pStyle w:val="Compact"/>
              <w:jc w:val="left"/>
            </w:pPr>
            <w:r>
              <w:rPr>
                <w:b/>
                <w:bCs/>
              </w:rPr>
              <w:t xml:space="preserve">Detailed notification</w:t>
            </w:r>
          </w:p>
        </w:tc>
        <w:tc>
          <w:tcPr/>
          <w:p>
            <w:pPr>
              <w:pStyle w:val="Compact"/>
              <w:jc w:val="left"/>
            </w:pPr>
            <w:r>
              <w:t xml:space="preserve">48–72 hours</w:t>
            </w:r>
          </w:p>
        </w:tc>
        <w:tc>
          <w:tcPr/>
          <w:p>
            <w:pPr>
              <w:pStyle w:val="Compact"/>
              <w:jc w:val="left"/>
            </w:pPr>
            <w:r>
              <w:t xml:space="preserve">Hong Kong (48h), Norway (72h), EU NIS2 (72h), USA CIRCIA (72h)</w:t>
            </w:r>
          </w:p>
        </w:tc>
      </w:tr>
      <w:tr>
        <w:tc>
          <w:tcPr/>
          <w:p>
            <w:pPr>
              <w:pStyle w:val="Compact"/>
              <w:jc w:val="left"/>
            </w:pPr>
            <w:r>
              <w:rPr>
                <w:b/>
                <w:bCs/>
              </w:rPr>
              <w:t xml:space="preserve">Final report</w:t>
            </w:r>
          </w:p>
        </w:tc>
        <w:tc>
          <w:tcPr/>
          <w:p>
            <w:pPr>
              <w:pStyle w:val="Compact"/>
              <w:jc w:val="left"/>
            </w:pPr>
            <w:r>
              <w:t xml:space="preserve">14–30 days</w:t>
            </w:r>
          </w:p>
        </w:tc>
        <w:tc>
          <w:tcPr/>
          <w:p>
            <w:pPr>
              <w:pStyle w:val="Compact"/>
              <w:jc w:val="left"/>
            </w:pPr>
            <w:r>
              <w:t xml:space="preserve">Hong Kong (14d), Norway (1 month), EU NIS2 (1 month)</w:t>
            </w:r>
          </w:p>
        </w:tc>
      </w:tr>
      <w:tr>
        <w:tc>
          <w:tcPr/>
          <w:p>
            <w:pPr>
              <w:pStyle w:val="Compact"/>
              <w:jc w:val="left"/>
            </w:pPr>
            <w:r>
              <w:rPr>
                <w:b/>
                <w:bCs/>
              </w:rPr>
              <w:t xml:space="preserve">Ransom payment</w:t>
            </w:r>
          </w:p>
        </w:tc>
        <w:tc>
          <w:tcPr/>
          <w:p>
            <w:pPr>
              <w:pStyle w:val="Compact"/>
              <w:jc w:val="left"/>
            </w:pPr>
            <w:r>
              <w:t xml:space="preserve">24 hours</w:t>
            </w:r>
          </w:p>
        </w:tc>
        <w:tc>
          <w:tcPr/>
          <w:p>
            <w:pPr>
              <w:pStyle w:val="Compact"/>
              <w:jc w:val="left"/>
            </w:pPr>
            <w:r>
              <w:t xml:space="preserve">USA CIRCIA, Australia</w:t>
            </w:r>
          </w:p>
        </w:tc>
      </w:tr>
    </w:tbl>
    <w:bookmarkEnd w:id="12"/>
    <w:bookmarkStart w:id="13" w:name="designation-models-taxonomy"/>
    <w:p>
      <w:pPr>
        <w:pStyle w:val="Heading2"/>
      </w:pPr>
      <w:r>
        <w:t xml:space="preserve">Designation Models (Taxonomy)</w:t>
      </w:r>
    </w:p>
    <w:tbl>
      <w:tblPr>
        <w:tblStyle w:val="Table"/>
        <w:tblW w:type="pct" w:w="5000"/>
        <w:tblLayout w:type="fixed"/>
        <w:tblLook w:firstRow="1" w:lastRow="0" w:firstColumn="0" w:lastColumn="0" w:noHBand="0" w:noVBand="0" w:val="0020"/>
      </w:tblPr>
      <w:tblGrid>
        <w:gridCol w:w="1848"/>
        <w:gridCol w:w="3432"/>
        <w:gridCol w:w="2640"/>
      </w:tblGrid>
      <w:tr>
        <w:trPr>
          <w:tblHeader w:val="on"/>
        </w:trPr>
        <w:tc>
          <w:tcPr/>
          <w:p>
            <w:pPr>
              <w:pStyle w:val="Compact"/>
              <w:jc w:val="left"/>
            </w:pPr>
            <w:r>
              <w:t xml:space="preserve">Model</w:t>
            </w:r>
          </w:p>
        </w:tc>
        <w:tc>
          <w:tcPr/>
          <w:p>
            <w:pPr>
              <w:pStyle w:val="Compact"/>
              <w:jc w:val="left"/>
            </w:pPr>
            <w:r>
              <w:t xml:space="preserve">Description</w:t>
            </w:r>
          </w:p>
        </w:tc>
        <w:tc>
          <w:tcPr/>
          <w:p>
            <w:pPr>
              <w:pStyle w:val="Compact"/>
              <w:jc w:val="left"/>
            </w:pPr>
            <w:r>
              <w:t xml:space="preserve">Examples</w:t>
            </w:r>
          </w:p>
        </w:tc>
      </w:tr>
      <w:tr>
        <w:tc>
          <w:tcPr/>
          <w:p>
            <w:pPr>
              <w:pStyle w:val="Compact"/>
              <w:jc w:val="left"/>
            </w:pPr>
            <w:r>
              <w:rPr>
                <w:b/>
                <w:bCs/>
              </w:rPr>
              <w:t xml:space="preserve">System-based</w:t>
            </w:r>
          </w:p>
        </w:tc>
        <w:tc>
          <w:tcPr/>
          <w:p>
            <w:pPr>
              <w:pStyle w:val="Compact"/>
              <w:jc w:val="left"/>
            </w:pPr>
            <w:r>
              <w:t xml:space="preserve">Specific systems designated</w:t>
            </w:r>
          </w:p>
        </w:tc>
        <w:tc>
          <w:tcPr/>
          <w:p>
            <w:pPr>
              <w:pStyle w:val="Compact"/>
              <w:jc w:val="left"/>
            </w:pPr>
            <w:r>
              <w:t xml:space="preserve">Singapore (CII)</w:t>
            </w:r>
          </w:p>
        </w:tc>
      </w:tr>
      <w:tr>
        <w:tc>
          <w:tcPr/>
          <w:p>
            <w:pPr>
              <w:pStyle w:val="Compact"/>
              <w:jc w:val="left"/>
            </w:pPr>
            <w:r>
              <w:rPr>
                <w:b/>
                <w:bCs/>
              </w:rPr>
              <w:t xml:space="preserve">Entity-based</w:t>
            </w:r>
          </w:p>
        </w:tc>
        <w:tc>
          <w:tcPr/>
          <w:p>
            <w:pPr>
              <w:pStyle w:val="Compact"/>
              <w:jc w:val="left"/>
            </w:pPr>
            <w:r>
              <w:t xml:space="preserve">Operators/providers designated</w:t>
            </w:r>
          </w:p>
        </w:tc>
        <w:tc>
          <w:tcPr/>
          <w:p>
            <w:pPr>
              <w:pStyle w:val="Compact"/>
              <w:jc w:val="left"/>
            </w:pPr>
            <w:r>
              <w:t xml:space="preserve">UK (OES), EU (NIS2), France (OIV)</w:t>
            </w:r>
          </w:p>
        </w:tc>
      </w:tr>
      <w:tr>
        <w:tc>
          <w:tcPr/>
          <w:p>
            <w:pPr>
              <w:pStyle w:val="Compact"/>
              <w:jc w:val="left"/>
            </w:pPr>
            <w:r>
              <w:rPr>
                <w:b/>
                <w:bCs/>
              </w:rPr>
              <w:t xml:space="preserve">Asset-based</w:t>
            </w:r>
          </w:p>
        </w:tc>
        <w:tc>
          <w:tcPr/>
          <w:p>
            <w:pPr>
              <w:pStyle w:val="Compact"/>
              <w:jc w:val="left"/>
            </w:pPr>
            <w:r>
              <w:t xml:space="preserve">Specific facilities designated</w:t>
            </w:r>
          </w:p>
        </w:tc>
        <w:tc>
          <w:tcPr/>
          <w:p>
            <w:pPr>
              <w:pStyle w:val="Compact"/>
              <w:jc w:val="left"/>
            </w:pPr>
            <w:r>
              <w:t xml:space="preserve">Australia (ICU hospitals), Germany (30k cases)</w:t>
            </w:r>
          </w:p>
        </w:tc>
      </w:tr>
      <w:tr>
        <w:tc>
          <w:tcPr/>
          <w:p>
            <w:pPr>
              <w:pStyle w:val="Compact"/>
              <w:jc w:val="left"/>
            </w:pPr>
            <w:r>
              <w:rPr>
                <w:b/>
                <w:bCs/>
              </w:rPr>
              <w:t xml:space="preserve">Sector-based</w:t>
            </w:r>
          </w:p>
        </w:tc>
        <w:tc>
          <w:tcPr/>
          <w:p>
            <w:pPr>
              <w:pStyle w:val="Compact"/>
              <w:jc w:val="left"/>
            </w:pPr>
            <w:r>
              <w:t xml:space="preserve">Obligations apply to classes</w:t>
            </w:r>
          </w:p>
        </w:tc>
        <w:tc>
          <w:tcPr/>
          <w:p>
            <w:pPr>
              <w:pStyle w:val="Compact"/>
              <w:jc w:val="left"/>
            </w:pPr>
            <w:r>
              <w:t xml:space="preserve">USA (HPH sector), Canada (10 CI sectors)</w:t>
            </w:r>
          </w:p>
        </w:tc>
      </w:tr>
      <w:tr>
        <w:tc>
          <w:tcPr/>
          <w:p>
            <w:pPr>
              <w:pStyle w:val="Compact"/>
              <w:jc w:val="left"/>
            </w:pPr>
            <w:r>
              <w:rPr>
                <w:b/>
                <w:bCs/>
              </w:rPr>
              <w:t xml:space="preserve">Hybrid</w:t>
            </w:r>
          </w:p>
        </w:tc>
        <w:tc>
          <w:tcPr/>
          <w:p>
            <w:pPr>
              <w:pStyle w:val="Compact"/>
              <w:jc w:val="left"/>
            </w:pPr>
            <w:r>
              <w:t xml:space="preserve">Combined approaches</w:t>
            </w:r>
          </w:p>
        </w:tc>
        <w:tc>
          <w:tcPr/>
          <w:p>
            <w:pPr>
              <w:pStyle w:val="Compact"/>
              <w:jc w:val="left"/>
            </w:pPr>
            <w:r>
              <w:t xml:space="preserve">Germany (KRITIS + NIS2), Hong Kong</w:t>
            </w:r>
          </w:p>
        </w:tc>
      </w:tr>
    </w:tbl>
    <w:bookmarkEnd w:id="13"/>
    <w:bookmarkStart w:id="14" w:name="health-entities-most-commonly-designated"/>
    <w:p>
      <w:pPr>
        <w:pStyle w:val="Heading2"/>
      </w:pPr>
      <w:r>
        <w:t xml:space="preserve">Health Entities Most Commonly Designated</w:t>
      </w:r>
    </w:p>
    <w:p>
      <w:pPr>
        <w:pStyle w:val="FirstParagraph"/>
      </w:pPr>
      <w:r>
        <w:rPr>
          <w:b/>
          <w:bCs/>
        </w:rPr>
        <w:t xml:space="preserve">Near-universal inclusion (80%+ of frameworks):</w:t>
      </w:r>
    </w:p>
    <w:p>
      <w:pPr>
        <w:pStyle w:val="Compact"/>
        <w:numPr>
          <w:ilvl w:val="0"/>
          <w:numId w:val="1004"/>
        </w:numPr>
      </w:pPr>
      <w:r>
        <w:t xml:space="preserve">Hospitals with ICU/emergency capability</w:t>
      </w:r>
    </w:p>
    <w:p>
      <w:pPr>
        <w:pStyle w:val="Compact"/>
        <w:numPr>
          <w:ilvl w:val="0"/>
          <w:numId w:val="1004"/>
        </w:numPr>
      </w:pPr>
      <w:r>
        <w:t xml:space="preserve">National/regional health information exchanges</w:t>
      </w:r>
    </w:p>
    <w:p>
      <w:pPr>
        <w:pStyle w:val="Compact"/>
        <w:numPr>
          <w:ilvl w:val="0"/>
          <w:numId w:val="1004"/>
        </w:numPr>
      </w:pPr>
      <w:r>
        <w:t xml:space="preserve">Blood and organ allocation services</w:t>
      </w:r>
    </w:p>
    <w:p>
      <w:pPr>
        <w:pStyle w:val="Compact"/>
        <w:numPr>
          <w:ilvl w:val="0"/>
          <w:numId w:val="1004"/>
        </w:numPr>
      </w:pPr>
      <w:r>
        <w:t xml:space="preserve">Disease surveillance systems</w:t>
      </w:r>
    </w:p>
    <w:p>
      <w:pPr>
        <w:pStyle w:val="Compact"/>
        <w:numPr>
          <w:ilvl w:val="0"/>
          <w:numId w:val="1004"/>
        </w:numPr>
      </w:pPr>
      <w:r>
        <w:t xml:space="preserve">Emergency ambulance dispatch (CAD)</w:t>
      </w:r>
    </w:p>
    <w:p>
      <w:pPr>
        <w:pStyle w:val="FirstParagraph"/>
      </w:pPr>
      <w:r>
        <w:rPr>
          <w:b/>
          <w:bCs/>
        </w:rPr>
        <w:t xml:space="preserve">Frequently included (50–80%):</w:t>
      </w:r>
    </w:p>
    <w:p>
      <w:pPr>
        <w:pStyle w:val="Compact"/>
        <w:numPr>
          <w:ilvl w:val="0"/>
          <w:numId w:val="1005"/>
        </w:numPr>
      </w:pPr>
      <w:r>
        <w:t xml:space="preserve">Medical laboratories (reference/diagnostic)</w:t>
      </w:r>
    </w:p>
    <w:p>
      <w:pPr>
        <w:pStyle w:val="Compact"/>
        <w:numPr>
          <w:ilvl w:val="0"/>
          <w:numId w:val="1005"/>
        </w:numPr>
      </w:pPr>
      <w:r>
        <w:t xml:space="preserve">Pharmaceutical manufacturers/distributors</w:t>
      </w:r>
    </w:p>
    <w:p>
      <w:pPr>
        <w:pStyle w:val="Compact"/>
        <w:numPr>
          <w:ilvl w:val="0"/>
          <w:numId w:val="1005"/>
        </w:numPr>
      </w:pPr>
      <w:r>
        <w:t xml:space="preserve">Medical device manufacturers</w:t>
      </w:r>
    </w:p>
    <w:bookmarkEnd w:id="14"/>
    <w:bookmarkStart w:id="15" w:name="evidence-labels"/>
    <w:p>
      <w:pPr>
        <w:pStyle w:val="Heading2"/>
      </w:pPr>
      <w:r>
        <w:t xml:space="preserve">Evidence Labels</w:t>
      </w:r>
    </w:p>
    <w:p>
      <w:pPr>
        <w:pStyle w:val="FirstParagraph"/>
      </w:pPr>
      <w:r>
        <w:t xml:space="preserve">Where this report lists systems</w:t>
      </w:r>
      <w:r>
        <w:t xml:space="preserve"> </w:t>
      </w:r>
      <w:r>
        <w:t xml:space="preserve">“most likely”</w:t>
      </w:r>
      <w:r>
        <w:t xml:space="preserve"> </w:t>
      </w:r>
      <w:r>
        <w:t xml:space="preserve">to be treated as critical:</w:t>
      </w:r>
    </w:p>
    <w:p>
      <w:pPr>
        <w:pStyle w:val="Compact"/>
        <w:numPr>
          <w:ilvl w:val="0"/>
          <w:numId w:val="1006"/>
        </w:numPr>
      </w:pPr>
      <w:r>
        <w:rPr>
          <w:b/>
          <w:bCs/>
        </w:rPr>
        <w:t xml:space="preserve">(A) Explicit</w:t>
      </w:r>
      <w:r>
        <w:t xml:space="preserve"> </w:t>
      </w:r>
      <w:r>
        <w:t xml:space="preserve">— directly stated in law/regulation</w:t>
      </w:r>
      <w:r>
        <w:br/>
      </w:r>
    </w:p>
    <w:p>
      <w:pPr>
        <w:pStyle w:val="Compact"/>
        <w:numPr>
          <w:ilvl w:val="0"/>
          <w:numId w:val="1006"/>
        </w:numPr>
      </w:pPr>
      <w:r>
        <w:rPr>
          <w:b/>
          <w:bCs/>
        </w:rPr>
        <w:t xml:space="preserve">(B) Guidance</w:t>
      </w:r>
      <w:r>
        <w:t xml:space="preserve"> </w:t>
      </w:r>
      <w:r>
        <w:t xml:space="preserve">— stated in official policy documents</w:t>
      </w:r>
      <w:r>
        <w:br/>
      </w:r>
    </w:p>
    <w:p>
      <w:pPr>
        <w:pStyle w:val="Compact"/>
        <w:numPr>
          <w:ilvl w:val="0"/>
          <w:numId w:val="1006"/>
        </w:numPr>
      </w:pPr>
      <w:r>
        <w:rPr>
          <w:b/>
          <w:bCs/>
        </w:rPr>
        <w:t xml:space="preserve">(C) Criteria inference</w:t>
      </w:r>
      <w:r>
        <w:t xml:space="preserve"> </w:t>
      </w:r>
      <w:r>
        <w:t xml:space="preserve">— inferred from published thresholds</w:t>
      </w:r>
      <w:r>
        <w:br/>
      </w:r>
    </w:p>
    <w:p>
      <w:pPr>
        <w:pStyle w:val="Compact"/>
        <w:numPr>
          <w:ilvl w:val="0"/>
          <w:numId w:val="1006"/>
        </w:numPr>
      </w:pPr>
      <w:r>
        <w:rPr>
          <w:b/>
          <w:bCs/>
        </w:rPr>
        <w:t xml:space="preserve">(D) Expert judgement</w:t>
      </w:r>
      <w:r>
        <w:t xml:space="preserve"> </w:t>
      </w:r>
      <w:r>
        <w:t xml:space="preserve">— reasoned where sources are incomplete</w:t>
      </w:r>
    </w:p>
    <w:bookmarkEnd w:id="15"/>
    <w:bookmarkStart w:id="16" w:name="methodology"/>
    <w:p>
      <w:pPr>
        <w:pStyle w:val="Heading2"/>
      </w:pPr>
      <w:r>
        <w:t xml:space="preserve">Methodology</w:t>
      </w:r>
    </w:p>
    <w:p>
      <w:pPr>
        <w:pStyle w:val="FirstParagraph"/>
      </w:pPr>
      <w:r>
        <w:t xml:space="preserve">This analysis synthesizes:</w:t>
      </w:r>
    </w:p>
    <w:p>
      <w:pPr>
        <w:pStyle w:val="Compact"/>
        <w:numPr>
          <w:ilvl w:val="0"/>
          <w:numId w:val="1007"/>
        </w:numPr>
      </w:pPr>
      <w:r>
        <w:t xml:space="preserve">Official legislation and regulations (updated through January 2026)</w:t>
      </w:r>
    </w:p>
    <w:p>
      <w:pPr>
        <w:pStyle w:val="Compact"/>
        <w:numPr>
          <w:ilvl w:val="0"/>
          <w:numId w:val="1007"/>
        </w:numPr>
      </w:pPr>
      <w:r>
        <w:t xml:space="preserve">Competent-authority guidance documents and consultation papers</w:t>
      </w:r>
    </w:p>
    <w:p>
      <w:pPr>
        <w:pStyle w:val="Compact"/>
        <w:numPr>
          <w:ilvl w:val="0"/>
          <w:numId w:val="1007"/>
        </w:numPr>
      </w:pPr>
      <w:r>
        <w:t xml:space="preserve">Primary source verification for all 17 deep-dive jurisdictions</w:t>
      </w:r>
    </w:p>
    <w:p>
      <w:pPr>
        <w:pStyle w:val="Compact"/>
        <w:numPr>
          <w:ilvl w:val="0"/>
          <w:numId w:val="1007"/>
        </w:numPr>
      </w:pPr>
      <w:r>
        <w:t xml:space="preserve">Multi-region survey based on official government and agency sources</w:t>
      </w:r>
    </w:p>
    <w:p>
      <w:pPr>
        <w:pStyle w:val="FirstParagraph"/>
      </w:pPr>
      <w:r>
        <w:t xml:space="preserve">All substantive claims are supported by numbered references. Where lists are confidential, the report distinguishes between what is directly evidenced and what is inferred.</w:t>
      </w:r>
    </w:p>
    <w:p>
      <w:pPr>
        <w:sectPr>
          <w:type w:val="nextPage"/>
        </w:sectPr>
      </w:pPr>
    </w:p>
    <w:bookmarkEnd w:id="16"/>
    <w:bookmarkEnd w:id="17"/>
    <w:bookmarkStart w:id="23" w:name="table-of-contents"/>
    <w:p>
      <w:pPr>
        <w:pStyle w:val="Heading1"/>
      </w:pPr>
      <w:r>
        <w:t xml:space="preserve">Table of Contents</w:t>
      </w:r>
    </w:p>
    <w:bookmarkStart w:id="18" w:name="front-matter"/>
    <w:p>
      <w:pPr>
        <w:pStyle w:val="Heading2"/>
      </w:pPr>
      <w:r>
        <w:t xml:space="preserve">Front Matter</w:t>
      </w:r>
    </w:p>
    <w:p>
      <w:pPr>
        <w:pStyle w:val="Compact"/>
        <w:numPr>
          <w:ilvl w:val="0"/>
          <w:numId w:val="1008"/>
        </w:numPr>
      </w:pPr>
      <w:hyperlink w:anchor="executive-summary">
        <w:r>
          <w:rPr>
            <w:rStyle w:val="Hyperlink"/>
          </w:rPr>
          <w:t xml:space="preserve">Executive Summary</w:t>
        </w:r>
      </w:hyperlink>
    </w:p>
    <w:p>
      <w:pPr>
        <w:pStyle w:val="Compact"/>
        <w:numPr>
          <w:ilvl w:val="0"/>
          <w:numId w:val="1008"/>
        </w:numPr>
      </w:pPr>
      <w:hyperlink w:anchor="methodology">
        <w:r>
          <w:rPr>
            <w:rStyle w:val="Hyperlink"/>
          </w:rPr>
          <w:t xml:space="preserve">Methodology</w:t>
        </w:r>
      </w:hyperlink>
    </w:p>
    <w:p>
      <w:r>
        <w:pict>
          <v:rect style="width:0;height:1.5pt" o:hralign="center" o:hrstd="t" o:hr="t"/>
        </w:pict>
      </w:r>
    </w:p>
    <w:bookmarkEnd w:id="18"/>
    <w:bookmarkStart w:id="19" w:name="part-1-jurisdiction-chapters"/>
    <w:p>
      <w:pPr>
        <w:pStyle w:val="Heading2"/>
      </w:pPr>
      <w:r>
        <w:t xml:space="preserve">Part 1: Jurisdiction Chapters</w:t>
      </w:r>
    </w:p>
    <w:p>
      <w:pPr>
        <w:pStyle w:val="Compact"/>
        <w:numPr>
          <w:ilvl w:val="0"/>
          <w:numId w:val="1009"/>
        </w:numPr>
      </w:pPr>
      <w:hyperlink w:anchor="united-states-of-america-usa">
        <w:r>
          <w:rPr>
            <w:rStyle w:val="Hyperlink"/>
          </w:rPr>
          <w:t xml:space="preserve">United States of America (USA)</w:t>
        </w:r>
      </w:hyperlink>
    </w:p>
    <w:p>
      <w:pPr>
        <w:pStyle w:val="Compact"/>
        <w:numPr>
          <w:ilvl w:val="0"/>
          <w:numId w:val="1009"/>
        </w:numPr>
      </w:pPr>
      <w:hyperlink w:anchor="australia">
        <w:r>
          <w:rPr>
            <w:rStyle w:val="Hyperlink"/>
          </w:rPr>
          <w:t xml:space="preserve">Australia</w:t>
        </w:r>
      </w:hyperlink>
    </w:p>
    <w:p>
      <w:pPr>
        <w:pStyle w:val="Compact"/>
        <w:numPr>
          <w:ilvl w:val="0"/>
          <w:numId w:val="1009"/>
        </w:numPr>
      </w:pPr>
      <w:hyperlink w:anchor="european-union-nis2">
        <w:r>
          <w:rPr>
            <w:rStyle w:val="Hyperlink"/>
          </w:rPr>
          <w:t xml:space="preserve">European Union (NIS2)</w:t>
        </w:r>
      </w:hyperlink>
    </w:p>
    <w:p>
      <w:pPr>
        <w:pStyle w:val="Compact"/>
        <w:numPr>
          <w:ilvl w:val="0"/>
          <w:numId w:val="1009"/>
        </w:numPr>
      </w:pPr>
      <w:hyperlink w:anchor="canada">
        <w:r>
          <w:rPr>
            <w:rStyle w:val="Hyperlink"/>
          </w:rPr>
          <w:t xml:space="preserve">Canada</w:t>
        </w:r>
      </w:hyperlink>
    </w:p>
    <w:p>
      <w:pPr>
        <w:pStyle w:val="Compact"/>
        <w:numPr>
          <w:ilvl w:val="0"/>
          <w:numId w:val="1009"/>
        </w:numPr>
      </w:pPr>
      <w:hyperlink w:anchor="united-kingdom-uk">
        <w:r>
          <w:rPr>
            <w:rStyle w:val="Hyperlink"/>
          </w:rPr>
          <w:t xml:space="preserve">United Kingdom (UK)</w:t>
        </w:r>
      </w:hyperlink>
    </w:p>
    <w:p>
      <w:pPr>
        <w:pStyle w:val="Compact"/>
        <w:numPr>
          <w:ilvl w:val="0"/>
          <w:numId w:val="1009"/>
        </w:numPr>
      </w:pPr>
      <w:hyperlink w:anchor="germany">
        <w:r>
          <w:rPr>
            <w:rStyle w:val="Hyperlink"/>
          </w:rPr>
          <w:t xml:space="preserve">Germany</w:t>
        </w:r>
      </w:hyperlink>
    </w:p>
    <w:p>
      <w:pPr>
        <w:pStyle w:val="Compact"/>
        <w:numPr>
          <w:ilvl w:val="0"/>
          <w:numId w:val="1009"/>
        </w:numPr>
      </w:pPr>
      <w:hyperlink w:anchor="singapore">
        <w:r>
          <w:rPr>
            <w:rStyle w:val="Hyperlink"/>
          </w:rPr>
          <w:t xml:space="preserve">Singapore</w:t>
        </w:r>
      </w:hyperlink>
    </w:p>
    <w:p>
      <w:pPr>
        <w:pStyle w:val="Compact"/>
        <w:numPr>
          <w:ilvl w:val="0"/>
          <w:numId w:val="1009"/>
        </w:numPr>
      </w:pPr>
      <w:hyperlink w:anchor="new-zealand">
        <w:r>
          <w:rPr>
            <w:rStyle w:val="Hyperlink"/>
          </w:rPr>
          <w:t xml:space="preserve">New Zealand</w:t>
        </w:r>
      </w:hyperlink>
    </w:p>
    <w:p>
      <w:pPr>
        <w:pStyle w:val="Compact"/>
        <w:numPr>
          <w:ilvl w:val="0"/>
          <w:numId w:val="1009"/>
        </w:numPr>
      </w:pPr>
      <w:hyperlink w:anchor="japan">
        <w:r>
          <w:rPr>
            <w:rStyle w:val="Hyperlink"/>
          </w:rPr>
          <w:t xml:space="preserve">Japan</w:t>
        </w:r>
      </w:hyperlink>
    </w:p>
    <w:p>
      <w:pPr>
        <w:pStyle w:val="Compact"/>
        <w:numPr>
          <w:ilvl w:val="0"/>
          <w:numId w:val="1009"/>
        </w:numPr>
      </w:pPr>
      <w:hyperlink w:anchor="china-peoples-republic-of-china">
        <w:r>
          <w:rPr>
            <w:rStyle w:val="Hyperlink"/>
          </w:rPr>
          <w:t xml:space="preserve">China (People’s Republic of China)</w:t>
        </w:r>
      </w:hyperlink>
    </w:p>
    <w:p>
      <w:pPr>
        <w:pStyle w:val="Compact"/>
        <w:numPr>
          <w:ilvl w:val="0"/>
          <w:numId w:val="1009"/>
        </w:numPr>
      </w:pPr>
      <w:hyperlink w:anchor="south-korea">
        <w:r>
          <w:rPr>
            <w:rStyle w:val="Hyperlink"/>
          </w:rPr>
          <w:t xml:space="preserve">South Korea</w:t>
        </w:r>
      </w:hyperlink>
    </w:p>
    <w:p>
      <w:pPr>
        <w:pStyle w:val="Compact"/>
        <w:numPr>
          <w:ilvl w:val="0"/>
          <w:numId w:val="1009"/>
        </w:numPr>
      </w:pPr>
      <w:hyperlink w:anchor="france">
        <w:r>
          <w:rPr>
            <w:rStyle w:val="Hyperlink"/>
          </w:rPr>
          <w:t xml:space="preserve">France</w:t>
        </w:r>
      </w:hyperlink>
    </w:p>
    <w:p>
      <w:pPr>
        <w:pStyle w:val="Compact"/>
        <w:numPr>
          <w:ilvl w:val="0"/>
          <w:numId w:val="1009"/>
        </w:numPr>
      </w:pPr>
      <w:hyperlink w:anchor="norway">
        <w:r>
          <w:rPr>
            <w:rStyle w:val="Hyperlink"/>
          </w:rPr>
          <w:t xml:space="preserve">Norway</w:t>
        </w:r>
      </w:hyperlink>
    </w:p>
    <w:p>
      <w:pPr>
        <w:pStyle w:val="Compact"/>
        <w:numPr>
          <w:ilvl w:val="0"/>
          <w:numId w:val="1009"/>
        </w:numPr>
      </w:pPr>
      <w:hyperlink w:anchor="switzerland">
        <w:r>
          <w:rPr>
            <w:rStyle w:val="Hyperlink"/>
          </w:rPr>
          <w:t xml:space="preserve">Switzerland</w:t>
        </w:r>
      </w:hyperlink>
    </w:p>
    <w:p>
      <w:pPr>
        <w:pStyle w:val="Compact"/>
        <w:numPr>
          <w:ilvl w:val="0"/>
          <w:numId w:val="1009"/>
        </w:numPr>
      </w:pPr>
      <w:hyperlink w:anchor="taiwan">
        <w:r>
          <w:rPr>
            <w:rStyle w:val="Hyperlink"/>
          </w:rPr>
          <w:t xml:space="preserve">Taiwan</w:t>
        </w:r>
      </w:hyperlink>
    </w:p>
    <w:p>
      <w:pPr>
        <w:pStyle w:val="Compact"/>
        <w:numPr>
          <w:ilvl w:val="0"/>
          <w:numId w:val="1009"/>
        </w:numPr>
      </w:pPr>
      <w:hyperlink w:anchor="thailand">
        <w:r>
          <w:rPr>
            <w:rStyle w:val="Hyperlink"/>
          </w:rPr>
          <w:t xml:space="preserve">Thailand</w:t>
        </w:r>
      </w:hyperlink>
    </w:p>
    <w:p>
      <w:pPr>
        <w:pStyle w:val="Compact"/>
        <w:numPr>
          <w:ilvl w:val="0"/>
          <w:numId w:val="1009"/>
        </w:numPr>
      </w:pPr>
      <w:hyperlink w:anchor="hong-kong-hksar">
        <w:r>
          <w:rPr>
            <w:rStyle w:val="Hyperlink"/>
          </w:rPr>
          <w:t xml:space="preserve">Hong Kong (HKSAR)</w:t>
        </w:r>
      </w:hyperlink>
    </w:p>
    <w:p>
      <w:pPr>
        <w:pStyle w:val="Compact"/>
        <w:numPr>
          <w:ilvl w:val="0"/>
          <w:numId w:val="1009"/>
        </w:numPr>
      </w:pPr>
      <w:hyperlink w:anchor="israel">
        <w:r>
          <w:rPr>
            <w:rStyle w:val="Hyperlink"/>
          </w:rPr>
          <w:t xml:space="preserve">Israel</w:t>
        </w:r>
      </w:hyperlink>
    </w:p>
    <w:p>
      <w:r>
        <w:pict>
          <v:rect style="width:0;height:1.5pt" o:hralign="center" o:hrstd="t" o:hr="t"/>
        </w:pict>
      </w:r>
    </w:p>
    <w:bookmarkEnd w:id="19"/>
    <w:bookmarkStart w:id="20" w:name="part-2-synthesis-recommendations"/>
    <w:p>
      <w:pPr>
        <w:pStyle w:val="Heading2"/>
      </w:pPr>
      <w:r>
        <w:t xml:space="preserve">Part 2: Synthesis &amp; Recommendations</w:t>
      </w:r>
    </w:p>
    <w:p>
      <w:pPr>
        <w:pStyle w:val="Compact"/>
        <w:numPr>
          <w:ilvl w:val="0"/>
          <w:numId w:val="1010"/>
        </w:numPr>
      </w:pPr>
      <w:hyperlink w:anchor="X5a24a6d14bc8f340bbf04e6465a7388a3fabab2">
        <w:r>
          <w:rPr>
            <w:rStyle w:val="Hyperlink"/>
          </w:rPr>
          <w:t xml:space="preserve">Comparative Synthesis &amp; Framework Design Recommendations</w:t>
        </w:r>
      </w:hyperlink>
    </w:p>
    <w:p>
      <w:pPr>
        <w:pStyle w:val="Compact"/>
        <w:numPr>
          <w:ilvl w:val="1"/>
          <w:numId w:val="1011"/>
        </w:numPr>
      </w:pPr>
      <w:r>
        <w:t xml:space="preserve">Comparative Framework Overview</w:t>
      </w:r>
    </w:p>
    <w:p>
      <w:pPr>
        <w:pStyle w:val="Compact"/>
        <w:numPr>
          <w:ilvl w:val="1"/>
          <w:numId w:val="1011"/>
        </w:numPr>
      </w:pPr>
      <w:r>
        <w:t xml:space="preserve">Universal Health Information Systems Prioritized Globally</w:t>
      </w:r>
    </w:p>
    <w:p>
      <w:pPr>
        <w:pStyle w:val="Compact"/>
        <w:numPr>
          <w:ilvl w:val="1"/>
          <w:numId w:val="1011"/>
        </w:numPr>
      </w:pPr>
      <w:r>
        <w:t xml:space="preserve">Emerging Global Trends (2025-2026)</w:t>
      </w:r>
    </w:p>
    <w:p>
      <w:pPr>
        <w:pStyle w:val="Compact"/>
        <w:numPr>
          <w:ilvl w:val="1"/>
          <w:numId w:val="1011"/>
        </w:numPr>
      </w:pPr>
      <w:r>
        <w:t xml:space="preserve">Key Policy Design Insights for New Jurisdictions</w:t>
      </w:r>
    </w:p>
    <w:p>
      <w:pPr>
        <w:pStyle w:val="Compact"/>
        <w:numPr>
          <w:ilvl w:val="1"/>
          <w:numId w:val="1011"/>
        </w:numPr>
      </w:pPr>
      <w:r>
        <w:t xml:space="preserve">Updated Recommendations for Framework Design</w:t>
      </w:r>
    </w:p>
    <w:p>
      <w:pPr>
        <w:pStyle w:val="Compact"/>
        <w:numPr>
          <w:ilvl w:val="1"/>
          <w:numId w:val="1011"/>
        </w:numPr>
      </w:pPr>
      <w:r>
        <w:t xml:space="preserve">Implementation Roadmap for New Jurisdictions</w:t>
      </w:r>
    </w:p>
    <w:p>
      <w:pPr>
        <w:pStyle w:val="Compact"/>
        <w:numPr>
          <w:ilvl w:val="1"/>
          <w:numId w:val="1011"/>
        </w:numPr>
      </w:pPr>
      <w:r>
        <w:t xml:space="preserve">Conclusion</w:t>
      </w:r>
    </w:p>
    <w:p>
      <w:pPr>
        <w:pStyle w:val="Compact"/>
        <w:numPr>
          <w:ilvl w:val="0"/>
          <w:numId w:val="1010"/>
        </w:numPr>
      </w:pPr>
      <w:hyperlink w:anchor="Xcea9e0dcb34c0352ea3f82e24737fbe6bcc50ce">
        <w:r>
          <w:rPr>
            <w:rStyle w:val="Hyperlink"/>
          </w:rPr>
          <w:t xml:space="preserve">Health as a Critical Information / Critical Infrastructure Sector</w:t>
        </w:r>
      </w:hyperlink>
    </w:p>
    <w:p>
      <w:r>
        <w:pict>
          <v:rect style="width:0;height:1.5pt" o:hralign="center" o:hrstd="t" o:hr="t"/>
        </w:pict>
      </w:r>
    </w:p>
    <w:bookmarkEnd w:id="20"/>
    <w:bookmarkStart w:id="21" w:name="part-3-cii-metrics-and-grading-framework"/>
    <w:p>
      <w:pPr>
        <w:pStyle w:val="Heading2"/>
      </w:pPr>
      <w:r>
        <w:t xml:space="preserve">Part 3: CII Metrics and Grading Framework</w:t>
      </w:r>
    </w:p>
    <w:p>
      <w:pPr>
        <w:pStyle w:val="Compact"/>
        <w:numPr>
          <w:ilvl w:val="0"/>
          <w:numId w:val="1012"/>
        </w:numPr>
      </w:pPr>
      <w:hyperlink w:anchor="cii-metrics-and-grading-framework">
        <w:r>
          <w:rPr>
            <w:rStyle w:val="Hyperlink"/>
          </w:rPr>
          <w:t xml:space="preserve">CII Metrics and Grading Framework</w:t>
        </w:r>
      </w:hyperlink>
    </w:p>
    <w:p>
      <w:pPr>
        <w:pStyle w:val="Compact"/>
        <w:numPr>
          <w:ilvl w:val="1"/>
          <w:numId w:val="1013"/>
        </w:numPr>
      </w:pPr>
      <w:r>
        <w:t xml:space="preserve">Designation Metrics (Quantitative &amp; Qualitative)</w:t>
      </w:r>
    </w:p>
    <w:p>
      <w:pPr>
        <w:pStyle w:val="Compact"/>
        <w:numPr>
          <w:ilvl w:val="1"/>
          <w:numId w:val="1013"/>
        </w:numPr>
      </w:pPr>
      <w:r>
        <w:t xml:space="preserve">Multi-Tier Classification Framework</w:t>
      </w:r>
    </w:p>
    <w:p>
      <w:pPr>
        <w:pStyle w:val="Compact"/>
        <w:numPr>
          <w:ilvl w:val="1"/>
          <w:numId w:val="1013"/>
        </w:numPr>
      </w:pPr>
      <w:r>
        <w:t xml:space="preserve">Scoring Methodology</w:t>
      </w:r>
    </w:p>
    <w:p>
      <w:pPr>
        <w:pStyle w:val="Compact"/>
        <w:numPr>
          <w:ilvl w:val="1"/>
          <w:numId w:val="1013"/>
        </w:numPr>
      </w:pPr>
      <w:r>
        <w:t xml:space="preserve">System-Level Metrics</w:t>
      </w:r>
    </w:p>
    <w:p>
      <w:pPr>
        <w:pStyle w:val="Compact"/>
        <w:numPr>
          <w:ilvl w:val="1"/>
          <w:numId w:val="1013"/>
        </w:numPr>
      </w:pPr>
      <w:r>
        <w:t xml:space="preserve">Incident Impact Thresholds</w:t>
      </w:r>
    </w:p>
    <w:p>
      <w:pPr>
        <w:pStyle w:val="Compact"/>
        <w:numPr>
          <w:ilvl w:val="1"/>
          <w:numId w:val="1013"/>
        </w:numPr>
      </w:pPr>
      <w:r>
        <w:t xml:space="preserve">Composite Grading Framework</w:t>
      </w:r>
    </w:p>
    <w:p>
      <w:pPr>
        <w:pStyle w:val="Compact"/>
        <w:numPr>
          <w:ilvl w:val="1"/>
          <w:numId w:val="1013"/>
        </w:numPr>
      </w:pPr>
      <w:r>
        <w:t xml:space="preserve">Implementation Guidance</w:t>
      </w:r>
    </w:p>
    <w:p>
      <w:pPr>
        <w:pStyle w:val="Compact"/>
        <w:numPr>
          <w:ilvl w:val="1"/>
          <w:numId w:val="1013"/>
        </w:numPr>
      </w:pPr>
      <w:r>
        <w:t xml:space="preserve">Reference Jurisdictions</w:t>
      </w:r>
    </w:p>
    <w:p>
      <w:pPr>
        <w:pStyle w:val="Compact"/>
        <w:numPr>
          <w:ilvl w:val="1"/>
          <w:numId w:val="1013"/>
        </w:numPr>
      </w:pPr>
      <w:r>
        <w:t xml:space="preserve">Developing Country Adaptations</w:t>
      </w:r>
    </w:p>
    <w:p>
      <w:r>
        <w:pict>
          <v:rect style="width:0;height:1.5pt" o:hralign="center" o:hrstd="t" o:hr="t"/>
        </w:pict>
      </w:r>
    </w:p>
    <w:bookmarkEnd w:id="21"/>
    <w:bookmarkStart w:id="22" w:name="part-4-case-studies"/>
    <w:p>
      <w:pPr>
        <w:pStyle w:val="Heading2"/>
      </w:pPr>
      <w:r>
        <w:t xml:space="preserve">Part 4: Case Studies</w:t>
      </w:r>
    </w:p>
    <w:p>
      <w:pPr>
        <w:pStyle w:val="Compact"/>
        <w:numPr>
          <w:ilvl w:val="0"/>
          <w:numId w:val="1014"/>
        </w:numPr>
      </w:pPr>
      <w:hyperlink w:anchor="case-studies-overview-and-index">
        <w:r>
          <w:rPr>
            <w:rStyle w:val="Hyperlink"/>
          </w:rPr>
          <w:t xml:space="preserve">Case Studies Overview and Index</w:t>
        </w:r>
      </w:hyperlink>
    </w:p>
    <w:p>
      <w:pPr>
        <w:pStyle w:val="Compact"/>
        <w:numPr>
          <w:ilvl w:val="0"/>
          <w:numId w:val="1014"/>
        </w:numPr>
      </w:pPr>
      <w:hyperlink w:anchor="X96ed21381a9fb918259b8a07a835eab6c66e775">
        <w:r>
          <w:rPr>
            <w:rStyle w:val="Hyperlink"/>
          </w:rPr>
          <w:t xml:space="preserve">Case Studies: Healthcare Delivery Facilities</w:t>
        </w:r>
      </w:hyperlink>
    </w:p>
    <w:p>
      <w:pPr>
        <w:pStyle w:val="Compact"/>
        <w:numPr>
          <w:ilvl w:val="1"/>
          <w:numId w:val="1015"/>
        </w:numPr>
      </w:pPr>
      <w:r>
        <w:t xml:space="preserve">Metro General Hospital (Tertiary Teaching)</w:t>
      </w:r>
    </w:p>
    <w:p>
      <w:pPr>
        <w:pStyle w:val="Compact"/>
        <w:numPr>
          <w:ilvl w:val="1"/>
          <w:numId w:val="1015"/>
        </w:numPr>
      </w:pPr>
      <w:r>
        <w:t xml:space="preserve">Greenfield District Hospital (Sole Provider)</w:t>
      </w:r>
    </w:p>
    <w:p>
      <w:pPr>
        <w:pStyle w:val="Compact"/>
        <w:numPr>
          <w:ilvl w:val="1"/>
          <w:numId w:val="1015"/>
        </w:numPr>
      </w:pPr>
      <w:r>
        <w:t xml:space="preserve">HealthFirst Network (Private Chain)</w:t>
      </w:r>
    </w:p>
    <w:p>
      <w:pPr>
        <w:pStyle w:val="Compact"/>
        <w:numPr>
          <w:ilvl w:val="1"/>
          <w:numId w:val="1015"/>
        </w:numPr>
      </w:pPr>
      <w:r>
        <w:t xml:space="preserve">Riverside CHC (Community Health Centre)</w:t>
      </w:r>
    </w:p>
    <w:p>
      <w:pPr>
        <w:pStyle w:val="Compact"/>
        <w:numPr>
          <w:ilvl w:val="1"/>
          <w:numId w:val="1015"/>
        </w:numPr>
      </w:pPr>
      <w:r>
        <w:t xml:space="preserve">Sehat Setu (Telemedicine Hub)</w:t>
      </w:r>
    </w:p>
    <w:p>
      <w:pPr>
        <w:pStyle w:val="Compact"/>
        <w:numPr>
          <w:ilvl w:val="1"/>
          <w:numId w:val="1015"/>
        </w:numPr>
      </w:pPr>
      <w:r>
        <w:t xml:space="preserve">Lakshmi Devi Medical College (Research Institution)</w:t>
      </w:r>
    </w:p>
    <w:p>
      <w:pPr>
        <w:pStyle w:val="Compact"/>
        <w:numPr>
          <w:ilvl w:val="0"/>
          <w:numId w:val="1014"/>
        </w:numPr>
      </w:pPr>
      <w:hyperlink w:anchor="case-studies-digital-health-platforms">
        <w:r>
          <w:rPr>
            <w:rStyle w:val="Hyperlink"/>
          </w:rPr>
          <w:t xml:space="preserve">Case Studies: Digital Health Platforms</w:t>
        </w:r>
      </w:hyperlink>
    </w:p>
    <w:p>
      <w:pPr>
        <w:pStyle w:val="Compact"/>
        <w:numPr>
          <w:ilvl w:val="1"/>
          <w:numId w:val="1016"/>
        </w:numPr>
      </w:pPr>
      <w:r>
        <w:t xml:space="preserve">SwasthyaSetu (National Digital Health Platform)</w:t>
      </w:r>
    </w:p>
    <w:p>
      <w:pPr>
        <w:pStyle w:val="Compact"/>
        <w:numPr>
          <w:ilvl w:val="1"/>
          <w:numId w:val="1016"/>
        </w:numPr>
      </w:pPr>
      <w:r>
        <w:t xml:space="preserve">MyHealthVault (PHR/Health Data Aggregator)</w:t>
      </w:r>
    </w:p>
    <w:p>
      <w:pPr>
        <w:pStyle w:val="Compact"/>
        <w:numPr>
          <w:ilvl w:val="1"/>
          <w:numId w:val="1016"/>
        </w:numPr>
      </w:pPr>
      <w:r>
        <w:t xml:space="preserve">SwasthyaMitra (State HMIS - 500+ Hospitals)</w:t>
      </w:r>
    </w:p>
    <w:p>
      <w:pPr>
        <w:pStyle w:val="Compact"/>
        <w:numPr>
          <w:ilvl w:val="1"/>
          <w:numId w:val="1016"/>
        </w:numPr>
      </w:pPr>
      <w:r>
        <w:t xml:space="preserve">CareSync Enterprise (Multi-Hospital HMIS - 5 Hospitals)</w:t>
      </w:r>
    </w:p>
    <w:p>
      <w:pPr>
        <w:pStyle w:val="Compact"/>
        <w:numPr>
          <w:ilvl w:val="0"/>
          <w:numId w:val="1014"/>
        </w:numPr>
      </w:pPr>
      <w:hyperlink w:anchor="case-studies-diagnostics-pharma-biotech">
        <w:r>
          <w:rPr>
            <w:rStyle w:val="Hyperlink"/>
          </w:rPr>
          <w:t xml:space="preserve">Case Studies: Diagnostics, Pharma &amp; Biotech</w:t>
        </w:r>
      </w:hyperlink>
    </w:p>
    <w:p>
      <w:pPr>
        <w:pStyle w:val="Compact"/>
        <w:numPr>
          <w:ilvl w:val="1"/>
          <w:numId w:val="1017"/>
        </w:numPr>
      </w:pPr>
      <w:r>
        <w:t xml:space="preserve">DiagnoFirst Labs (Diagnostic Lab Chain)</w:t>
      </w:r>
    </w:p>
    <w:p>
      <w:pPr>
        <w:pStyle w:val="Compact"/>
        <w:numPr>
          <w:ilvl w:val="1"/>
          <w:numId w:val="1017"/>
        </w:numPr>
      </w:pPr>
      <w:r>
        <w:t xml:space="preserve">GenomeIndia Labs (Genomic Sequencing)</w:t>
      </w:r>
    </w:p>
    <w:p>
      <w:pPr>
        <w:pStyle w:val="Compact"/>
        <w:numPr>
          <w:ilvl w:val="1"/>
          <w:numId w:val="1017"/>
        </w:numPr>
      </w:pPr>
      <w:r>
        <w:t xml:space="preserve">BioShield Pharma (Vaccine Manufacturer)</w:t>
      </w:r>
    </w:p>
    <w:p>
      <w:pPr>
        <w:pStyle w:val="Compact"/>
        <w:numPr>
          <w:ilvl w:val="1"/>
          <w:numId w:val="1017"/>
        </w:numPr>
      </w:pPr>
      <w:r>
        <w:t xml:space="preserve">GeneSys BioTech (Biosimilar R&amp;D)</w:t>
      </w:r>
    </w:p>
    <w:p>
      <w:pPr>
        <w:pStyle w:val="Compact"/>
        <w:numPr>
          <w:ilvl w:val="0"/>
          <w:numId w:val="1014"/>
        </w:numPr>
      </w:pPr>
      <w:hyperlink w:anchor="X3816e3206f74118e378306c7eac76106737175d">
        <w:r>
          <w:rPr>
            <w:rStyle w:val="Hyperlink"/>
          </w:rPr>
          <w:t xml:space="preserve">Case Studies: Public Health Programs &amp; Surveillance</w:t>
        </w:r>
      </w:hyperlink>
    </w:p>
    <w:p>
      <w:pPr>
        <w:pStyle w:val="Compact"/>
        <w:numPr>
          <w:ilvl w:val="1"/>
          <w:numId w:val="1018"/>
        </w:numPr>
      </w:pPr>
      <w:r>
        <w:t xml:space="preserve">SurveilHealth (National Disease Surveillance)</w:t>
      </w:r>
    </w:p>
    <w:p>
      <w:pPr>
        <w:pStyle w:val="Compact"/>
        <w:numPr>
          <w:ilvl w:val="1"/>
          <w:numId w:val="1018"/>
        </w:numPr>
      </w:pPr>
      <w:r>
        <w:t xml:space="preserve">TB-Mukt Bharat (TB Elimination Program)</w:t>
      </w:r>
    </w:p>
    <w:p>
      <w:pPr>
        <w:pStyle w:val="Compact"/>
        <w:numPr>
          <w:ilvl w:val="1"/>
          <w:numId w:val="1018"/>
        </w:numPr>
      </w:pPr>
      <w:r>
        <w:t xml:space="preserve">Sankalp (NCD Control Program)</w:t>
      </w:r>
    </w:p>
    <w:p>
      <w:pPr>
        <w:pStyle w:val="Compact"/>
        <w:numPr>
          <w:ilvl w:val="1"/>
          <w:numId w:val="1018"/>
        </w:numPr>
      </w:pPr>
      <w:r>
        <w:t xml:space="preserve">DrishtiRaksha (Blindness Control Program)</w:t>
      </w:r>
    </w:p>
    <w:p>
      <w:pPr>
        <w:pStyle w:val="Compact"/>
        <w:numPr>
          <w:ilvl w:val="1"/>
          <w:numId w:val="1018"/>
        </w:numPr>
      </w:pPr>
      <w:r>
        <w:t xml:space="preserve">Poshan Rakshak (Nutrition &amp; Growth Monitoring)</w:t>
      </w:r>
    </w:p>
    <w:p>
      <w:pPr>
        <w:pStyle w:val="Compact"/>
        <w:numPr>
          <w:ilvl w:val="0"/>
          <w:numId w:val="1014"/>
        </w:numPr>
      </w:pPr>
      <w:hyperlink w:anchor="X93be42721aaf430c29633a475c358ef2238fdaa">
        <w:r>
          <w:rPr>
            <w:rStyle w:val="Hyperlink"/>
          </w:rPr>
          <w:t xml:space="preserve">Case Studies: Registries, Biobanks &amp; Blood Services</w:t>
        </w:r>
      </w:hyperlink>
    </w:p>
    <w:p>
      <w:pPr>
        <w:pStyle w:val="Compact"/>
        <w:numPr>
          <w:ilvl w:val="1"/>
          <w:numId w:val="1019"/>
        </w:numPr>
      </w:pPr>
      <w:r>
        <w:t xml:space="preserve">OncoWatch (National Cancer Registry)</w:t>
      </w:r>
    </w:p>
    <w:p>
      <w:pPr>
        <w:pStyle w:val="Compact"/>
        <w:numPr>
          <w:ilvl w:val="1"/>
          <w:numId w:val="1019"/>
        </w:numPr>
      </w:pPr>
      <w:r>
        <w:t xml:space="preserve">JeevanKosh (National Biobank)</w:t>
      </w:r>
    </w:p>
    <w:p>
      <w:pPr>
        <w:pStyle w:val="Compact"/>
        <w:numPr>
          <w:ilvl w:val="1"/>
          <w:numId w:val="1019"/>
        </w:numPr>
      </w:pPr>
      <w:r>
        <w:t xml:space="preserve">Jeevan Raksha (State Blood Transfusion Council)</w:t>
      </w:r>
    </w:p>
    <w:p>
      <w:pPr>
        <w:sectPr>
          <w:type w:val="nextPage"/>
        </w:sectPr>
      </w:pPr>
    </w:p>
    <w:bookmarkEnd w:id="22"/>
    <w:bookmarkEnd w:id="23"/>
    <w:bookmarkStart w:id="35" w:name="methodology-1"/>
    <w:p>
      <w:pPr>
        <w:pStyle w:val="Heading1"/>
      </w:pPr>
      <w:r>
        <w:t xml:space="preserve">Methodology:</w:t>
      </w:r>
    </w:p>
    <w:p>
      <w:pPr>
        <w:pStyle w:val="FirstParagraph"/>
      </w:pPr>
      <w:r>
        <w:t xml:space="preserve">identifying, extracting, shortlisting, and categorising “highest-critical / protected” health information systems</w:t>
      </w:r>
    </w:p>
    <w:p>
      <w:pPr>
        <w:pStyle w:val="BodyText"/>
      </w:pPr>
      <w:r>
        <w:t xml:space="preserve">This chapter documents the</w:t>
      </w:r>
      <w:r>
        <w:t xml:space="preserve"> </w:t>
      </w:r>
      <w:r>
        <w:rPr>
          <w:b/>
          <w:bCs/>
        </w:rPr>
        <w:t xml:space="preserve">repeatable method</w:t>
      </w:r>
      <w:r>
        <w:t xml:space="preserve"> </w:t>
      </w:r>
      <w:r>
        <w:t xml:space="preserve">used to identify country frameworks, extract only verifiable requirements, shortlist what qualifies as “highest critical / protected,” and categorise regimes consistently across jurisdictions (as applied in the country chapters already produced).</w:t>
      </w:r>
    </w:p>
    <w:bookmarkStart w:id="24" w:name="objective-and-unit-of-analysis"/>
    <w:p>
      <w:pPr>
        <w:pStyle w:val="Heading2"/>
      </w:pPr>
      <w:r>
        <w:t xml:space="preserve">1) Objective and unit of analysis</w:t>
      </w:r>
    </w:p>
    <w:p>
      <w:pPr>
        <w:pStyle w:val="FirstParagraph"/>
      </w:pPr>
      <w:r>
        <w:rPr>
          <w:b/>
          <w:bCs/>
        </w:rPr>
        <w:t xml:space="preserve">Objective:</w:t>
      </w:r>
      <w:r>
        <w:t xml:space="preserve"> </w:t>
      </w:r>
      <w:r>
        <w:t xml:space="preserve">Determine, for each jurisdiction, the</w:t>
      </w:r>
      <w:r>
        <w:t xml:space="preserve"> </w:t>
      </w:r>
      <w:r>
        <w:rPr>
          <w:b/>
          <w:bCs/>
        </w:rPr>
        <w:t xml:space="preserve">highest critical / protected categories</w:t>
      </w:r>
      <w:r>
        <w:t xml:space="preserve"> </w:t>
      </w:r>
      <w:r>
        <w:t xml:space="preserve">that can apply to the</w:t>
      </w:r>
      <w:r>
        <w:t xml:space="preserve"> </w:t>
      </w:r>
      <w:r>
        <w:rPr>
          <w:b/>
          <w:bCs/>
        </w:rPr>
        <w:t xml:space="preserve">health sector and/or health information systems</w:t>
      </w:r>
      <w:r>
        <w:t xml:space="preserve">, and document:</w:t>
      </w:r>
    </w:p>
    <w:p>
      <w:pPr>
        <w:pStyle w:val="Compact"/>
        <w:numPr>
          <w:ilvl w:val="0"/>
          <w:numId w:val="1020"/>
        </w:numPr>
      </w:pPr>
      <w:r>
        <w:t xml:space="preserve">the</w:t>
      </w:r>
      <w:r>
        <w:t xml:space="preserve"> </w:t>
      </w:r>
      <w:r>
        <w:rPr>
          <w:b/>
          <w:bCs/>
        </w:rPr>
        <w:t xml:space="preserve">exact legal/regulatory trigger</w:t>
      </w:r>
      <w:r>
        <w:t xml:space="preserve"> </w:t>
      </w:r>
      <w:r>
        <w:t xml:space="preserve">(definition + threshold test),</w:t>
      </w:r>
    </w:p>
    <w:p>
      <w:pPr>
        <w:pStyle w:val="Compact"/>
        <w:numPr>
          <w:ilvl w:val="0"/>
          <w:numId w:val="1020"/>
        </w:numPr>
      </w:pPr>
      <w:r>
        <w:t xml:space="preserve">any</w:t>
      </w:r>
      <w:r>
        <w:t xml:space="preserve"> </w:t>
      </w:r>
      <w:r>
        <w:rPr>
          <w:b/>
          <w:bCs/>
        </w:rPr>
        <w:t xml:space="preserve">tiering / grading scheme</w:t>
      </w:r>
      <w:r>
        <w:t xml:space="preserve">,</w:t>
      </w:r>
    </w:p>
    <w:p>
      <w:pPr>
        <w:pStyle w:val="Compact"/>
        <w:numPr>
          <w:ilvl w:val="0"/>
          <w:numId w:val="1020"/>
        </w:numPr>
      </w:pPr>
      <w:r>
        <w:rPr>
          <w:b/>
          <w:bCs/>
        </w:rPr>
        <w:t xml:space="preserve">incident reporting triggers + deadlines</w:t>
      </w:r>
      <w:r>
        <w:t xml:space="preserve">, and</w:t>
      </w:r>
    </w:p>
    <w:p>
      <w:pPr>
        <w:pStyle w:val="Compact"/>
        <w:numPr>
          <w:ilvl w:val="0"/>
          <w:numId w:val="1020"/>
        </w:numPr>
      </w:pPr>
      <w:r>
        <w:t xml:space="preserve">what is</w:t>
      </w:r>
      <w:r>
        <w:t xml:space="preserve"> </w:t>
      </w:r>
      <w:r>
        <w:rPr>
          <w:b/>
          <w:bCs/>
        </w:rPr>
        <w:t xml:space="preserve">explicitly health-specific</w:t>
      </w:r>
      <w:r>
        <w:t xml:space="preserve"> </w:t>
      </w:r>
      <w:r>
        <w:t xml:space="preserve">vs</w:t>
      </w:r>
      <w:r>
        <w:t xml:space="preserve"> </w:t>
      </w:r>
      <w:r>
        <w:rPr>
          <w:b/>
          <w:bCs/>
        </w:rPr>
        <w:t xml:space="preserve">cross-sector but applicable to health</w:t>
      </w:r>
      <w:r>
        <w:t xml:space="preserve">.</w:t>
      </w:r>
    </w:p>
    <w:p>
      <w:pPr>
        <w:pStyle w:val="FirstParagraph"/>
      </w:pPr>
      <w:r>
        <w:rPr>
          <w:b/>
          <w:bCs/>
        </w:rPr>
        <w:t xml:space="preserve">Unit of analysis:</w:t>
      </w:r>
      <w:r>
        <w:t xml:space="preserve"> </w:t>
      </w:r>
      <w:r>
        <w:t xml:space="preserve">Always record what the instrument legally regulates:</w:t>
      </w:r>
    </w:p>
    <w:p>
      <w:pPr>
        <w:pStyle w:val="Compact"/>
        <w:numPr>
          <w:ilvl w:val="0"/>
          <w:numId w:val="1021"/>
        </w:numPr>
      </w:pPr>
      <w:r>
        <w:rPr>
          <w:b/>
          <w:bCs/>
        </w:rPr>
        <w:t xml:space="preserve">Entity-level</w:t>
      </w:r>
      <w:r>
        <w:t xml:space="preserve"> </w:t>
      </w:r>
      <w:r>
        <w:t xml:space="preserve">classification (e.g., “essential entity” vs “important entity”), or</w:t>
      </w:r>
    </w:p>
    <w:p>
      <w:pPr>
        <w:pStyle w:val="Compact"/>
        <w:numPr>
          <w:ilvl w:val="0"/>
          <w:numId w:val="1021"/>
        </w:numPr>
      </w:pPr>
      <w:r>
        <w:rPr>
          <w:b/>
          <w:bCs/>
        </w:rPr>
        <w:t xml:space="preserve">Asset/system-level</w:t>
      </w:r>
      <w:r>
        <w:t xml:space="preserve"> </w:t>
      </w:r>
      <w:r>
        <w:t xml:space="preserve">designation (e.g., “designated system/installation”), or</w:t>
      </w:r>
    </w:p>
    <w:p>
      <w:pPr>
        <w:pStyle w:val="Compact"/>
        <w:numPr>
          <w:ilvl w:val="0"/>
          <w:numId w:val="1021"/>
        </w:numPr>
      </w:pPr>
      <w:r>
        <w:rPr>
          <w:b/>
          <w:bCs/>
        </w:rPr>
        <w:t xml:space="preserve">Sector-level</w:t>
      </w:r>
      <w:r>
        <w:t xml:space="preserve"> </w:t>
      </w:r>
      <w:r>
        <w:t xml:space="preserve">recognition (e.g., “health as a critical sector”) when no designation mechanism exists.</w:t>
      </w:r>
    </w:p>
    <w:bookmarkEnd w:id="24"/>
    <w:bookmarkStart w:id="25" w:name="X644f95903f7678947529250e915b81dd9ecc5db"/>
    <w:p>
      <w:pPr>
        <w:pStyle w:val="Heading2"/>
      </w:pPr>
      <w:r>
        <w:t xml:space="preserve">2) Evidence hierarchy (what counts as “primary”)</w:t>
      </w:r>
    </w:p>
    <w:p>
      <w:pPr>
        <w:pStyle w:val="FirstParagraph"/>
      </w:pPr>
      <w:r>
        <w:t xml:space="preserve">To meet a strict evidence standard, sources are ranked and used in this order:</w:t>
      </w:r>
    </w:p>
    <w:p>
      <w:pPr>
        <w:pStyle w:val="Compact"/>
        <w:numPr>
          <w:ilvl w:val="0"/>
          <w:numId w:val="1022"/>
        </w:numPr>
      </w:pPr>
      <w:r>
        <w:rPr>
          <w:b/>
          <w:bCs/>
        </w:rPr>
        <w:t xml:space="preserve">Primary legal texts</w:t>
      </w:r>
      <w:r>
        <w:t xml:space="preserve"> </w:t>
      </w:r>
      <w:r>
        <w:t xml:space="preserve">(acts, regulations, directives, annexes/schedules, official compilations).</w:t>
      </w:r>
    </w:p>
    <w:p>
      <w:pPr>
        <w:pStyle w:val="Compact"/>
        <w:numPr>
          <w:ilvl w:val="0"/>
          <w:numId w:val="1022"/>
        </w:numPr>
      </w:pPr>
      <w:r>
        <w:rPr>
          <w:b/>
          <w:bCs/>
        </w:rPr>
        <w:t xml:space="preserve">Official regulator/government guidance</w:t>
      </w:r>
      <w:r>
        <w:t xml:space="preserve"> </w:t>
      </w:r>
      <w:r>
        <w:t xml:space="preserve">that is explicitly issued under, or directly interprets/implements, the primary instrument (e.g., competent authority guidance containing reporting thresholds).</w:t>
      </w:r>
    </w:p>
    <w:p>
      <w:pPr>
        <w:pStyle w:val="Compact"/>
        <w:numPr>
          <w:ilvl w:val="0"/>
          <w:numId w:val="1022"/>
        </w:numPr>
      </w:pPr>
      <w:r>
        <w:rPr>
          <w:b/>
          <w:bCs/>
        </w:rPr>
        <w:t xml:space="preserve">Official explanatory materials</w:t>
      </w:r>
      <w:r>
        <w:t xml:space="preserve"> </w:t>
      </w:r>
      <w:r>
        <w:t xml:space="preserve">(explanatory memoranda/notes, government bill notes) used only to explain</w:t>
      </w:r>
      <w:r>
        <w:t xml:space="preserve"> </w:t>
      </w:r>
      <w:r>
        <w:rPr>
          <w:b/>
          <w:bCs/>
        </w:rPr>
        <w:t xml:space="preserve">what the law states</w:t>
      </w:r>
      <w:r>
        <w:t xml:space="preserve">, not to invent new thresholds.</w:t>
      </w:r>
    </w:p>
    <w:p>
      <w:pPr>
        <w:pStyle w:val="Compact"/>
        <w:numPr>
          <w:ilvl w:val="0"/>
          <w:numId w:val="1022"/>
        </w:numPr>
      </w:pPr>
      <w:r>
        <w:rPr>
          <w:b/>
          <w:bCs/>
        </w:rPr>
        <w:t xml:space="preserve">Secondary sources</w:t>
      </w:r>
      <w:r>
        <w:t xml:space="preserve"> </w:t>
      </w:r>
      <w:r>
        <w:t xml:space="preserve">(law firm notes, academic papers, blogs) are</w:t>
      </w:r>
      <w:r>
        <w:t xml:space="preserve"> </w:t>
      </w:r>
      <w:r>
        <w:rPr>
          <w:b/>
          <w:bCs/>
        </w:rPr>
        <w:t xml:space="preserve">not used to assert obligations</w:t>
      </w:r>
      <w:r>
        <w:t xml:space="preserve"> </w:t>
      </w:r>
      <w:r>
        <w:t xml:space="preserve">unless the underlying primary text is also captured; if referenced, they are labelled as secondary.</w:t>
      </w:r>
    </w:p>
    <w:p>
      <w:pPr>
        <w:pStyle w:val="FirstParagraph"/>
      </w:pPr>
      <w:r>
        <w:rPr>
          <w:b/>
          <w:bCs/>
        </w:rPr>
        <w:t xml:space="preserve">Hard rule:</w:t>
      </w:r>
      <w:r>
        <w:t xml:space="preserve"> </w:t>
      </w:r>
      <w:r>
        <w:t xml:space="preserve">If a cited document cannot be accessed/verified in full text, it is</w:t>
      </w:r>
      <w:r>
        <w:t xml:space="preserve"> </w:t>
      </w:r>
      <w:r>
        <w:rPr>
          <w:b/>
          <w:bCs/>
        </w:rPr>
        <w:t xml:space="preserve">not used</w:t>
      </w:r>
      <w:r>
        <w:t xml:space="preserve"> </w:t>
      </w:r>
      <w:r>
        <w:t xml:space="preserve">to support a factual claim; it is listed as</w:t>
      </w:r>
      <w:r>
        <w:t xml:space="preserve"> </w:t>
      </w:r>
      <w:r>
        <w:rPr>
          <w:b/>
          <w:bCs/>
        </w:rPr>
        <w:t xml:space="preserve">“not accessible in this environment”</w:t>
      </w:r>
      <w:r>
        <w:t xml:space="preserve"> </w:t>
      </w:r>
      <w:r>
        <w:t xml:space="preserve">(transparency note).</w:t>
      </w:r>
    </w:p>
    <w:bookmarkEnd w:id="25"/>
    <w:bookmarkStart w:id="26" w:name="source-discovery-and-retrieval-workflow"/>
    <w:p>
      <w:pPr>
        <w:pStyle w:val="Heading2"/>
      </w:pPr>
      <w:r>
        <w:t xml:space="preserve">3) Source discovery and retrieval workflow</w:t>
      </w:r>
    </w:p>
    <w:p>
      <w:pPr>
        <w:pStyle w:val="FirstParagraph"/>
      </w:pPr>
      <w:r>
        <w:t xml:space="preserve">For each jurisdiction:</w:t>
      </w:r>
    </w:p>
    <w:p>
      <w:pPr>
        <w:pStyle w:val="Compact"/>
        <w:numPr>
          <w:ilvl w:val="0"/>
          <w:numId w:val="1023"/>
        </w:numPr>
      </w:pPr>
      <w:r>
        <w:rPr>
          <w:b/>
          <w:bCs/>
        </w:rPr>
        <w:t xml:space="preserve">Start from the canonical portal</w:t>
      </w:r>
      <w:r>
        <w:t xml:space="preserve"> </w:t>
      </w:r>
      <w:r>
        <w:t xml:space="preserve">for legislation (e.g., official gazette/legislation website, EUR-Lex, etc.).</w:t>
      </w:r>
    </w:p>
    <w:p>
      <w:pPr>
        <w:pStyle w:val="Compact"/>
        <w:numPr>
          <w:ilvl w:val="0"/>
          <w:numId w:val="1023"/>
        </w:numPr>
      </w:pPr>
      <w:r>
        <w:t xml:space="preserve">Identify the</w:t>
      </w:r>
      <w:r>
        <w:t xml:space="preserve"> </w:t>
      </w:r>
      <w:r>
        <w:rPr>
          <w:b/>
          <w:bCs/>
        </w:rPr>
        <w:t xml:space="preserve">top instrument(s)</w:t>
      </w:r>
      <w:r>
        <w:t xml:space="preserve"> </w:t>
      </w:r>
      <w:r>
        <w:t xml:space="preserve">that create “critical/essential” obligations:</w:t>
      </w:r>
    </w:p>
    <w:p>
      <w:pPr>
        <w:pStyle w:val="Compact"/>
        <w:numPr>
          <w:ilvl w:val="1"/>
          <w:numId w:val="1024"/>
        </w:numPr>
      </w:pPr>
      <w:r>
        <w:t xml:space="preserve">cybersecurity/critical infrastructure statute,</w:t>
      </w:r>
    </w:p>
    <w:p>
      <w:pPr>
        <w:pStyle w:val="Compact"/>
        <w:numPr>
          <w:ilvl w:val="1"/>
          <w:numId w:val="1024"/>
        </w:numPr>
      </w:pPr>
      <w:r>
        <w:t xml:space="preserve">sectoral implementing regulation,</w:t>
      </w:r>
    </w:p>
    <w:p>
      <w:pPr>
        <w:pStyle w:val="Compact"/>
        <w:numPr>
          <w:ilvl w:val="1"/>
          <w:numId w:val="1024"/>
        </w:numPr>
      </w:pPr>
      <w:r>
        <w:t xml:space="preserve">annexes/schedules that contain</w:t>
      </w:r>
      <w:r>
        <w:t xml:space="preserve"> </w:t>
      </w:r>
      <w:r>
        <w:rPr>
          <w:b/>
          <w:bCs/>
        </w:rPr>
        <w:t xml:space="preserve">sector lists</w:t>
      </w:r>
      <w:r>
        <w:t xml:space="preserve"> </w:t>
      </w:r>
      <w:r>
        <w:t xml:space="preserve">or</w:t>
      </w:r>
      <w:r>
        <w:t xml:space="preserve"> </w:t>
      </w:r>
      <w:r>
        <w:rPr>
          <w:b/>
          <w:bCs/>
        </w:rPr>
        <w:t xml:space="preserve">numeric thresholds</w:t>
      </w:r>
      <w:r>
        <w:t xml:space="preserve">.</w:t>
      </w:r>
    </w:p>
    <w:p>
      <w:pPr>
        <w:pStyle w:val="Compact"/>
        <w:numPr>
          <w:ilvl w:val="0"/>
          <w:numId w:val="1023"/>
        </w:numPr>
      </w:pPr>
      <w:r>
        <w:t xml:space="preserve">Retrieve</w:t>
      </w:r>
      <w:r>
        <w:t xml:space="preserve"> </w:t>
      </w:r>
      <w:r>
        <w:rPr>
          <w:b/>
          <w:bCs/>
        </w:rPr>
        <w:t xml:space="preserve">competent authority guidance</w:t>
      </w:r>
      <w:r>
        <w:t xml:space="preserve"> </w:t>
      </w:r>
      <w:r>
        <w:t xml:space="preserve">only where it contains</w:t>
      </w:r>
      <w:r>
        <w:t xml:space="preserve"> </w:t>
      </w:r>
      <w:r>
        <w:rPr>
          <w:i/>
          <w:iCs/>
        </w:rPr>
        <w:t xml:space="preserve">operational tests</w:t>
      </w:r>
      <w:r>
        <w:t xml:space="preserve"> </w:t>
      </w:r>
      <w:r>
        <w:t xml:space="preserve">(e.g., explicit “significant incident” thresholds, reporting routes).</w:t>
      </w:r>
    </w:p>
    <w:p>
      <w:pPr>
        <w:pStyle w:val="Compact"/>
        <w:numPr>
          <w:ilvl w:val="0"/>
          <w:numId w:val="1023"/>
        </w:numPr>
      </w:pPr>
      <w:r>
        <w:t xml:space="preserve">Capture</w:t>
      </w:r>
      <w:r>
        <w:t xml:space="preserve"> </w:t>
      </w:r>
      <w:r>
        <w:rPr>
          <w:b/>
          <w:bCs/>
        </w:rPr>
        <w:t xml:space="preserve">version and date</w:t>
      </w:r>
      <w:r>
        <w:t xml:space="preserve"> </w:t>
      </w:r>
      <w:r>
        <w:t xml:space="preserve">(consolidation date, amendment date, entry into force date) for each instrument.</w:t>
      </w:r>
    </w:p>
    <w:bookmarkEnd w:id="26"/>
    <w:bookmarkStart w:id="27" w:name="X2cd268aa746cc965fa4c9539de80c3b46dad3c8"/>
    <w:p>
      <w:pPr>
        <w:pStyle w:val="Heading2"/>
      </w:pPr>
      <w:r>
        <w:t xml:space="preserve">4) Extraction template (what we extract from each source)</w:t>
      </w:r>
    </w:p>
    <w:p>
      <w:pPr>
        <w:pStyle w:val="FirstParagraph"/>
      </w:pPr>
      <w:r>
        <w:t xml:space="preserve">For every instrument, extract only text that supports one of the following fields:</w:t>
      </w:r>
    </w:p>
    <w:p>
      <w:pPr>
        <w:pStyle w:val="BodyText"/>
      </w:pPr>
      <w:r>
        <w:rPr>
          <w:b/>
          <w:bCs/>
        </w:rPr>
        <w:t xml:space="preserve">A. Final category (the legal label)</w:t>
      </w:r>
    </w:p>
    <w:p>
      <w:pPr>
        <w:pStyle w:val="Compact"/>
        <w:numPr>
          <w:ilvl w:val="0"/>
          <w:numId w:val="1025"/>
        </w:numPr>
      </w:pPr>
      <w:r>
        <w:t xml:space="preserve">Exact legal term(s): e.g., “critical infrastructure installation,” “operator of essential services,” “designated critical information infrastructure,” etc.</w:t>
      </w:r>
    </w:p>
    <w:p>
      <w:pPr>
        <w:pStyle w:val="FirstParagraph"/>
      </w:pPr>
      <w:r>
        <w:rPr>
          <w:b/>
          <w:bCs/>
        </w:rPr>
        <w:t xml:space="preserve">B. Trigger criteria</w:t>
      </w:r>
    </w:p>
    <w:p>
      <w:pPr>
        <w:pStyle w:val="Compact"/>
        <w:numPr>
          <w:ilvl w:val="0"/>
          <w:numId w:val="1026"/>
        </w:numPr>
      </w:pPr>
      <w:r>
        <w:rPr>
          <w:b/>
          <w:bCs/>
        </w:rPr>
        <w:t xml:space="preserve">Definition clause</w:t>
      </w:r>
      <w:r>
        <w:t xml:space="preserve"> </w:t>
      </w:r>
      <w:r>
        <w:t xml:space="preserve">(what the category is).</w:t>
      </w:r>
    </w:p>
    <w:p>
      <w:pPr>
        <w:pStyle w:val="Compact"/>
        <w:numPr>
          <w:ilvl w:val="0"/>
          <w:numId w:val="1026"/>
        </w:numPr>
      </w:pPr>
      <w:r>
        <w:rPr>
          <w:b/>
          <w:bCs/>
        </w:rPr>
        <w:t xml:space="preserve">Threshold test</w:t>
      </w:r>
      <w:r>
        <w:t xml:space="preserve"> </w:t>
      </w:r>
      <w:r>
        <w:t xml:space="preserve">(numeric or qualitative; annex/schedule thresholds where available).</w:t>
      </w:r>
    </w:p>
    <w:p>
      <w:pPr>
        <w:pStyle w:val="Compact"/>
        <w:numPr>
          <w:ilvl w:val="0"/>
          <w:numId w:val="1026"/>
        </w:numPr>
      </w:pPr>
      <w:r>
        <w:rPr>
          <w:b/>
          <w:bCs/>
        </w:rPr>
        <w:t xml:space="preserve">Designation mechanics</w:t>
      </w:r>
      <w:r>
        <w:t xml:space="preserve"> </w:t>
      </w:r>
      <w:r>
        <w:t xml:space="preserve">(who designates; notice; duration; confidentiality of registers, if stated).</w:t>
      </w:r>
    </w:p>
    <w:p>
      <w:pPr>
        <w:pStyle w:val="FirstParagraph"/>
      </w:pPr>
      <w:r>
        <w:rPr>
          <w:b/>
          <w:bCs/>
        </w:rPr>
        <w:t xml:space="preserve">C. Tiering / grading</w:t>
      </w:r>
    </w:p>
    <w:p>
      <w:pPr>
        <w:pStyle w:val="Compact"/>
        <w:numPr>
          <w:ilvl w:val="0"/>
          <w:numId w:val="1027"/>
        </w:numPr>
      </w:pPr>
      <w:r>
        <w:t xml:space="preserve">Binary vs tiered system; the legal names of tiers; annex references.</w:t>
      </w:r>
    </w:p>
    <w:p>
      <w:pPr>
        <w:pStyle w:val="FirstParagraph"/>
      </w:pPr>
      <w:r>
        <w:rPr>
          <w:b/>
          <w:bCs/>
        </w:rPr>
        <w:t xml:space="preserve">D. Incident reporting tests</w:t>
      </w:r>
    </w:p>
    <w:p>
      <w:pPr>
        <w:pStyle w:val="Compact"/>
        <w:numPr>
          <w:ilvl w:val="0"/>
          <w:numId w:val="1028"/>
        </w:numPr>
      </w:pPr>
      <w:r>
        <w:t xml:space="preserve">Trigger term used by law/guidance (“significant incident,” “covered incident,” etc.).</w:t>
      </w:r>
    </w:p>
    <w:p>
      <w:pPr>
        <w:pStyle w:val="Compact"/>
        <w:numPr>
          <w:ilvl w:val="0"/>
          <w:numId w:val="1028"/>
        </w:numPr>
      </w:pPr>
      <w:r>
        <w:t xml:space="preserve">Deadlines (24h/72h/other) and the legal basis for the clock.</w:t>
      </w:r>
    </w:p>
    <w:p>
      <w:pPr>
        <w:pStyle w:val="FirstParagraph"/>
      </w:pPr>
      <w:r>
        <w:rPr>
          <w:b/>
          <w:bCs/>
        </w:rPr>
        <w:t xml:space="preserve">E. Health-specific hooks</w:t>
      </w:r>
    </w:p>
    <w:p>
      <w:pPr>
        <w:pStyle w:val="Compact"/>
        <w:numPr>
          <w:ilvl w:val="0"/>
          <w:numId w:val="1029"/>
        </w:numPr>
      </w:pPr>
      <w:r>
        <w:t xml:space="preserve">Where health is</w:t>
      </w:r>
      <w:r>
        <w:t xml:space="preserve"> </w:t>
      </w:r>
      <w:r>
        <w:rPr>
          <w:b/>
          <w:bCs/>
        </w:rPr>
        <w:t xml:space="preserve">explicitly named</w:t>
      </w:r>
      <w:r>
        <w:t xml:space="preserve"> </w:t>
      </w:r>
      <w:r>
        <w:t xml:space="preserve">as a sector/service (or where “medical services,” “healthcare providers,” “hospitals,” etc. appear in annexes).</w:t>
      </w:r>
    </w:p>
    <w:p>
      <w:pPr>
        <w:pStyle w:val="FirstParagraph"/>
      </w:pPr>
      <w:r>
        <w:rPr>
          <w:b/>
          <w:bCs/>
        </w:rPr>
        <w:t xml:space="preserve">F. Public vs confidential</w:t>
      </w:r>
    </w:p>
    <w:p>
      <w:pPr>
        <w:pStyle w:val="Compact"/>
        <w:numPr>
          <w:ilvl w:val="0"/>
          <w:numId w:val="1030"/>
        </w:numPr>
      </w:pPr>
      <w:r>
        <w:t xml:space="preserve">Only recorded if the instrument explicitly states registry confidentiality / publication requirements.</w:t>
      </w:r>
    </w:p>
    <w:bookmarkEnd w:id="27"/>
    <w:bookmarkStart w:id="30" w:name="shortlisting-logic-inclusion-exclusion"/>
    <w:p>
      <w:pPr>
        <w:pStyle w:val="Heading2"/>
      </w:pPr>
      <w:r>
        <w:t xml:space="preserve">5) Shortlisting logic (inclusion / exclusion)</w:t>
      </w:r>
    </w:p>
    <w:bookmarkStart w:id="28" w:name="X38c0bd6232cb5dc2db7cbb4d0928814cdf8ad5d"/>
    <w:p>
      <w:pPr>
        <w:pStyle w:val="Heading3"/>
      </w:pPr>
      <w:r>
        <w:t xml:space="preserve">Inclusion criteria (a framework is shortlisted if it meets any of the following)</w:t>
      </w:r>
    </w:p>
    <w:p>
      <w:pPr>
        <w:pStyle w:val="Compact"/>
        <w:numPr>
          <w:ilvl w:val="0"/>
          <w:numId w:val="1031"/>
        </w:numPr>
      </w:pPr>
      <w:r>
        <w:t xml:space="preserve">The legal text</w:t>
      </w:r>
      <w:r>
        <w:t xml:space="preserve"> </w:t>
      </w:r>
      <w:r>
        <w:rPr>
          <w:b/>
          <w:bCs/>
        </w:rPr>
        <w:t xml:space="preserve">explicitly names health/medical services</w:t>
      </w:r>
      <w:r>
        <w:t xml:space="preserve"> </w:t>
      </w:r>
      <w:r>
        <w:t xml:space="preserve">as a critical/essential sector/type;</w:t>
      </w:r>
      <w:r>
        <w:t xml:space="preserve"> </w:t>
      </w:r>
      <w:r>
        <w:rPr>
          <w:b/>
          <w:bCs/>
        </w:rPr>
        <w:t xml:space="preserve">or</w:t>
      </w:r>
    </w:p>
    <w:p>
      <w:pPr>
        <w:pStyle w:val="Compact"/>
        <w:numPr>
          <w:ilvl w:val="0"/>
          <w:numId w:val="1031"/>
        </w:numPr>
      </w:pPr>
      <w:r>
        <w:t xml:space="preserve">The legal text creates a</w:t>
      </w:r>
      <w:r>
        <w:t xml:space="preserve"> </w:t>
      </w:r>
      <w:r>
        <w:rPr>
          <w:b/>
          <w:bCs/>
        </w:rPr>
        <w:t xml:space="preserve">designation category</w:t>
      </w:r>
      <w:r>
        <w:t xml:space="preserve"> </w:t>
      </w:r>
      <w:r>
        <w:t xml:space="preserve">that clearly can include health systems by function (e.g., “essential service” including public health) and the health mapping is explicitly present in annex/guidance;</w:t>
      </w:r>
      <w:r>
        <w:t xml:space="preserve"> </w:t>
      </w:r>
      <w:r>
        <w:rPr>
          <w:b/>
          <w:bCs/>
        </w:rPr>
        <w:t xml:space="preserve">or</w:t>
      </w:r>
    </w:p>
    <w:p>
      <w:pPr>
        <w:pStyle w:val="Compact"/>
        <w:numPr>
          <w:ilvl w:val="0"/>
          <w:numId w:val="1031"/>
        </w:numPr>
      </w:pPr>
      <w:r>
        <w:t xml:space="preserve">The instrument imposes</w:t>
      </w:r>
      <w:r>
        <w:t xml:space="preserve"> </w:t>
      </w:r>
      <w:r>
        <w:rPr>
          <w:b/>
          <w:bCs/>
        </w:rPr>
        <w:t xml:space="preserve">incident reporting/security obligations</w:t>
      </w:r>
      <w:r>
        <w:t xml:space="preserve"> </w:t>
      </w:r>
      <w:r>
        <w:t xml:space="preserve">on regulated entities/systems and health entities are explicitly in-scope.</w:t>
      </w:r>
    </w:p>
    <w:bookmarkEnd w:id="28"/>
    <w:bookmarkStart w:id="29" w:name="X26b4a9cb7e94c0040e22f9564bee69bcf9705c9"/>
    <w:p>
      <w:pPr>
        <w:pStyle w:val="Heading3"/>
      </w:pPr>
      <w:r>
        <w:t xml:space="preserve">Exclusion criteria (do not include as “highest critical/protected” category)</w:t>
      </w:r>
    </w:p>
    <w:p>
      <w:pPr>
        <w:pStyle w:val="Compact"/>
        <w:numPr>
          <w:ilvl w:val="0"/>
          <w:numId w:val="1032"/>
        </w:numPr>
      </w:pPr>
      <w:r>
        <w:t xml:space="preserve">General cybersecurity or data protection obligations</w:t>
      </w:r>
      <w:r>
        <w:t xml:space="preserve"> </w:t>
      </w:r>
      <w:r>
        <w:rPr>
          <w:b/>
          <w:bCs/>
        </w:rPr>
        <w:t xml:space="preserve">without a “critical/essential” scoping mechanism</w:t>
      </w:r>
      <w:r>
        <w:t xml:space="preserve"> </w:t>
      </w:r>
      <w:r>
        <w:t xml:space="preserve">(i.e., applies to everyone equally).</w:t>
      </w:r>
    </w:p>
    <w:p>
      <w:pPr>
        <w:pStyle w:val="Compact"/>
        <w:numPr>
          <w:ilvl w:val="0"/>
          <w:numId w:val="1032"/>
        </w:numPr>
      </w:pPr>
      <w:r>
        <w:t xml:space="preserve">Voluntary strategies/whitepapers without binding designation tests or mandatory obligations.</w:t>
      </w:r>
    </w:p>
    <w:p>
      <w:pPr>
        <w:pStyle w:val="Compact"/>
        <w:numPr>
          <w:ilvl w:val="0"/>
          <w:numId w:val="1032"/>
        </w:numPr>
      </w:pPr>
      <w:r>
        <w:t xml:space="preserve">Purely operational best-practice documents</w:t>
      </w:r>
      <w:r>
        <w:t xml:space="preserve"> </w:t>
      </w:r>
      <w:r>
        <w:rPr>
          <w:b/>
          <w:bCs/>
        </w:rPr>
        <w:t xml:space="preserve">not anchored</w:t>
      </w:r>
      <w:r>
        <w:t xml:space="preserve"> </w:t>
      </w:r>
      <w:r>
        <w:t xml:space="preserve">to an identified legal/regulatory regime.</w:t>
      </w:r>
    </w:p>
    <w:p>
      <w:pPr>
        <w:pStyle w:val="Compact"/>
        <w:numPr>
          <w:ilvl w:val="0"/>
          <w:numId w:val="1032"/>
        </w:numPr>
      </w:pPr>
      <w:r>
        <w:t xml:space="preserve">Secondary commentary that cannot be traced to accessible primary text.</w:t>
      </w:r>
    </w:p>
    <w:bookmarkEnd w:id="29"/>
    <w:bookmarkEnd w:id="30"/>
    <w:bookmarkStart w:id="31" w:name="X03d7b57b4649e6d052a880f031969c10c84c034"/>
    <w:p>
      <w:pPr>
        <w:pStyle w:val="Heading2"/>
      </w:pPr>
      <w:r>
        <w:t xml:space="preserve">6) Categorisation scheme used across countries (normalisation)</w:t>
      </w:r>
    </w:p>
    <w:p>
      <w:pPr>
        <w:pStyle w:val="FirstParagraph"/>
      </w:pPr>
      <w:r>
        <w:t xml:space="preserve">To compare jurisdictions consistently, each country is categorised along</w:t>
      </w:r>
      <w:r>
        <w:t xml:space="preserve"> </w:t>
      </w:r>
      <w:r>
        <w:rPr>
          <w:b/>
          <w:bCs/>
        </w:rPr>
        <w:t xml:space="preserve">two orthogonal axes</w:t>
      </w:r>
      <w:r>
        <w:t xml:space="preserve">:</w:t>
      </w:r>
    </w:p>
    <w:p>
      <w:pPr>
        <w:pStyle w:val="BodyText"/>
      </w:pPr>
      <w:r>
        <w:rPr>
          <w:b/>
          <w:bCs/>
        </w:rPr>
        <w:t xml:space="preserve">Axis 1 — What is classified</w:t>
      </w:r>
    </w:p>
    <w:p>
      <w:pPr>
        <w:pStyle w:val="Compact"/>
        <w:numPr>
          <w:ilvl w:val="0"/>
          <w:numId w:val="1033"/>
        </w:numPr>
      </w:pPr>
      <w:r>
        <w:rPr>
          <w:b/>
          <w:bCs/>
        </w:rPr>
        <w:t xml:space="preserve">Entity-based regimes</w:t>
      </w:r>
      <w:r>
        <w:t xml:space="preserve"> </w:t>
      </w:r>
      <w:r>
        <w:t xml:space="preserve">(regulated organisations): e.g., essential/important entities.</w:t>
      </w:r>
    </w:p>
    <w:p>
      <w:pPr>
        <w:pStyle w:val="Compact"/>
        <w:numPr>
          <w:ilvl w:val="0"/>
          <w:numId w:val="1033"/>
        </w:numPr>
      </w:pPr>
      <w:r>
        <w:rPr>
          <w:b/>
          <w:bCs/>
        </w:rPr>
        <w:t xml:space="preserve">Asset/system-based regimes</w:t>
      </w:r>
      <w:r>
        <w:t xml:space="preserve"> </w:t>
      </w:r>
      <w:r>
        <w:t xml:space="preserve">(designated installations/systems): e.g., designated CII, KRITIS installations, designated systems.</w:t>
      </w:r>
    </w:p>
    <w:p>
      <w:pPr>
        <w:pStyle w:val="Compact"/>
        <w:numPr>
          <w:ilvl w:val="0"/>
          <w:numId w:val="1033"/>
        </w:numPr>
      </w:pPr>
      <w:r>
        <w:rPr>
          <w:b/>
          <w:bCs/>
        </w:rPr>
        <w:t xml:space="preserve">Sector-based framing</w:t>
      </w:r>
      <w:r>
        <w:t xml:space="preserve"> </w:t>
      </w:r>
      <w:r>
        <w:t xml:space="preserve">(health as a CI sector, but without a public designation list).</w:t>
      </w:r>
    </w:p>
    <w:p>
      <w:pPr>
        <w:pStyle w:val="FirstParagraph"/>
      </w:pPr>
      <w:r>
        <w:rPr>
          <w:b/>
          <w:bCs/>
        </w:rPr>
        <w:t xml:space="preserve">Axis 2 — How inclusion is triggered</w:t>
      </w:r>
    </w:p>
    <w:p>
      <w:pPr>
        <w:pStyle w:val="Compact"/>
        <w:numPr>
          <w:ilvl w:val="0"/>
          <w:numId w:val="1034"/>
        </w:numPr>
      </w:pPr>
      <w:r>
        <w:rPr>
          <w:b/>
          <w:bCs/>
        </w:rPr>
        <w:t xml:space="preserve">Explicit sector listing</w:t>
      </w:r>
      <w:r>
        <w:t xml:space="preserve"> </w:t>
      </w:r>
      <w:r>
        <w:t xml:space="preserve">(health/medical named in annex/sector list).</w:t>
      </w:r>
    </w:p>
    <w:p>
      <w:pPr>
        <w:pStyle w:val="Compact"/>
        <w:numPr>
          <w:ilvl w:val="0"/>
          <w:numId w:val="1034"/>
        </w:numPr>
      </w:pPr>
      <w:r>
        <w:rPr>
          <w:b/>
          <w:bCs/>
        </w:rPr>
        <w:t xml:space="preserve">Threshold-based</w:t>
      </w:r>
      <w:r>
        <w:t xml:space="preserve"> </w:t>
      </w:r>
      <w:r>
        <w:t xml:space="preserve">(numeric thresholds like bed counts/case volumes/customers served).</w:t>
      </w:r>
    </w:p>
    <w:p>
      <w:pPr>
        <w:pStyle w:val="Compact"/>
        <w:numPr>
          <w:ilvl w:val="0"/>
          <w:numId w:val="1034"/>
        </w:numPr>
      </w:pPr>
      <w:r>
        <w:rPr>
          <w:b/>
          <w:bCs/>
        </w:rPr>
        <w:t xml:space="preserve">Designation-based</w:t>
      </w:r>
      <w:r>
        <w:t xml:space="preserve"> </w:t>
      </w:r>
      <w:r>
        <w:t xml:space="preserve">(authority determination/notice, often non-public lists).</w:t>
      </w:r>
    </w:p>
    <w:p>
      <w:pPr>
        <w:pStyle w:val="Compact"/>
        <w:numPr>
          <w:ilvl w:val="0"/>
          <w:numId w:val="1034"/>
        </w:numPr>
      </w:pPr>
      <w:r>
        <w:rPr>
          <w:b/>
          <w:bCs/>
        </w:rPr>
        <w:t xml:space="preserve">Consequence-based overrides</w:t>
      </w:r>
      <w:r>
        <w:t xml:space="preserve"> </w:t>
      </w:r>
      <w:r>
        <w:t xml:space="preserve">(“regardless of size” / “significant public health impact” triggers).</w:t>
      </w:r>
    </w:p>
    <w:p>
      <w:pPr>
        <w:pStyle w:val="FirstParagraph"/>
      </w:pPr>
      <w:r>
        <w:t xml:space="preserve">This normalisation enables consistent comparison even when countries regulate different objects (entities vs assets).</w:t>
      </w:r>
    </w:p>
    <w:bookmarkEnd w:id="31"/>
    <w:bookmarkStart w:id="32" w:name="X91f95f7f9aac01b03325697a6ad05ce22113118"/>
    <w:p>
      <w:pPr>
        <w:pStyle w:val="Heading2"/>
      </w:pPr>
      <w:r>
        <w:t xml:space="preserve">7) Quality assurance and “zero-interpretation” controls</w:t>
      </w:r>
    </w:p>
    <w:p>
      <w:pPr>
        <w:pStyle w:val="FirstParagraph"/>
      </w:pPr>
      <w:r>
        <w:t xml:space="preserve">To keep the output strictly evidentiary:</w:t>
      </w:r>
    </w:p>
    <w:p>
      <w:pPr>
        <w:pStyle w:val="Compact"/>
        <w:numPr>
          <w:ilvl w:val="0"/>
          <w:numId w:val="1035"/>
        </w:numPr>
      </w:pPr>
      <w:r>
        <w:rPr>
          <w:b/>
          <w:bCs/>
        </w:rPr>
        <w:t xml:space="preserve">Every factual claim is tied to a citation</w:t>
      </w:r>
      <w:r>
        <w:t xml:space="preserve"> </w:t>
      </w:r>
      <w:r>
        <w:t xml:space="preserve">(act/regulation clause, annex, or competent authority guidance).</w:t>
      </w:r>
    </w:p>
    <w:p>
      <w:pPr>
        <w:pStyle w:val="Compact"/>
        <w:numPr>
          <w:ilvl w:val="0"/>
          <w:numId w:val="1035"/>
        </w:numPr>
      </w:pPr>
      <w:r>
        <w:t xml:space="preserve">Any inference is either:</w:t>
      </w:r>
    </w:p>
    <w:p>
      <w:pPr>
        <w:pStyle w:val="Compact"/>
        <w:numPr>
          <w:ilvl w:val="1"/>
          <w:numId w:val="1036"/>
        </w:numPr>
      </w:pPr>
      <w:r>
        <w:rPr>
          <w:b/>
          <w:bCs/>
        </w:rPr>
        <w:t xml:space="preserve">not made</w:t>
      </w:r>
      <w:r>
        <w:t xml:space="preserve">, or</w:t>
      </w:r>
    </w:p>
    <w:p>
      <w:pPr>
        <w:pStyle w:val="Compact"/>
        <w:numPr>
          <w:ilvl w:val="1"/>
          <w:numId w:val="1036"/>
        </w:numPr>
      </w:pPr>
      <w:r>
        <w:t xml:space="preserve">clearly labelled as</w:t>
      </w:r>
      <w:r>
        <w:t xml:space="preserve"> </w:t>
      </w:r>
      <w:r>
        <w:rPr>
          <w:b/>
          <w:bCs/>
        </w:rPr>
        <w:t xml:space="preserve">interpretation</w:t>
      </w:r>
      <w:r>
        <w:t xml:space="preserve"> </w:t>
      </w:r>
      <w:r>
        <w:t xml:space="preserve">and separated from the “evidence-only” core (depending on the document’s rules; for strictest mode, interpretations are omitted).</w:t>
      </w:r>
    </w:p>
    <w:p>
      <w:pPr>
        <w:pStyle w:val="Compact"/>
        <w:numPr>
          <w:ilvl w:val="0"/>
          <w:numId w:val="1035"/>
        </w:numPr>
      </w:pPr>
      <w:r>
        <w:rPr>
          <w:b/>
          <w:bCs/>
        </w:rPr>
        <w:t xml:space="preserve">Cross-check dates</w:t>
      </w:r>
      <w:r>
        <w:t xml:space="preserve"> </w:t>
      </w:r>
      <w:r>
        <w:t xml:space="preserve">(amendment/entry into force) against official sources.</w:t>
      </w:r>
    </w:p>
    <w:p>
      <w:pPr>
        <w:pStyle w:val="Compact"/>
        <w:numPr>
          <w:ilvl w:val="0"/>
          <w:numId w:val="1035"/>
        </w:numPr>
      </w:pPr>
      <w:r>
        <w:t xml:space="preserve">Maintain a</w:t>
      </w:r>
      <w:r>
        <w:t xml:space="preserve"> </w:t>
      </w:r>
      <w:r>
        <w:rPr>
          <w:b/>
          <w:bCs/>
        </w:rPr>
        <w:t xml:space="preserve">change log</w:t>
      </w:r>
      <w:r>
        <w:t xml:space="preserve">: if new PDFs are supplied, update only the portions affected and record what changed.</w:t>
      </w:r>
    </w:p>
    <w:bookmarkEnd w:id="32"/>
    <w:bookmarkStart w:id="33" w:name="handling-language-and-translation"/>
    <w:p>
      <w:pPr>
        <w:pStyle w:val="Heading2"/>
      </w:pPr>
      <w:r>
        <w:t xml:space="preserve">8) Handling language and translation</w:t>
      </w:r>
    </w:p>
    <w:p>
      <w:pPr>
        <w:pStyle w:val="Compact"/>
        <w:numPr>
          <w:ilvl w:val="0"/>
          <w:numId w:val="1037"/>
        </w:numPr>
      </w:pPr>
      <w:r>
        <w:t xml:space="preserve">Prefer</w:t>
      </w:r>
      <w:r>
        <w:t xml:space="preserve"> </w:t>
      </w:r>
      <w:r>
        <w:rPr>
          <w:b/>
          <w:bCs/>
        </w:rPr>
        <w:t xml:space="preserve">official English translations</w:t>
      </w:r>
      <w:r>
        <w:t xml:space="preserve"> </w:t>
      </w:r>
      <w:r>
        <w:t xml:space="preserve">where available (official ministries, EUR-Lex English, etc.).</w:t>
      </w:r>
    </w:p>
    <w:p>
      <w:pPr>
        <w:pStyle w:val="Compact"/>
        <w:numPr>
          <w:ilvl w:val="0"/>
          <w:numId w:val="1037"/>
        </w:numPr>
      </w:pPr>
      <w:r>
        <w:t xml:space="preserve">If only local-language law is available, extract from:</w:t>
      </w:r>
    </w:p>
    <w:p>
      <w:pPr>
        <w:pStyle w:val="Compact"/>
        <w:numPr>
          <w:ilvl w:val="1"/>
          <w:numId w:val="1038"/>
        </w:numPr>
      </w:pPr>
      <w:r>
        <w:t xml:space="preserve">official consolidated text, and</w:t>
      </w:r>
    </w:p>
    <w:p>
      <w:pPr>
        <w:pStyle w:val="Compact"/>
        <w:numPr>
          <w:ilvl w:val="1"/>
          <w:numId w:val="1038"/>
        </w:numPr>
      </w:pPr>
      <w:r>
        <w:t xml:space="preserve">reputable official/semiofficial translations where explicitly identified.</w:t>
      </w:r>
    </w:p>
    <w:p>
      <w:pPr>
        <w:pStyle w:val="Compact"/>
        <w:numPr>
          <w:ilvl w:val="0"/>
          <w:numId w:val="1037"/>
        </w:numPr>
      </w:pPr>
      <w:r>
        <w:t xml:space="preserve">Do</w:t>
      </w:r>
      <w:r>
        <w:t xml:space="preserve"> </w:t>
      </w:r>
      <w:r>
        <w:rPr>
          <w:b/>
          <w:bCs/>
        </w:rPr>
        <w:t xml:space="preserve">not</w:t>
      </w:r>
      <w:r>
        <w:t xml:space="preserve"> </w:t>
      </w:r>
      <w:r>
        <w:t xml:space="preserve">“fill gaps” with guessed translation; instead record the limitation.</w:t>
      </w:r>
    </w:p>
    <w:bookmarkEnd w:id="33"/>
    <w:bookmarkStart w:id="34" w:name="known-limitations-explicitly-documented"/>
    <w:p>
      <w:pPr>
        <w:pStyle w:val="Heading2"/>
      </w:pPr>
      <w:r>
        <w:t xml:space="preserve">9) Known limitations (explicitly documented)</w:t>
      </w:r>
    </w:p>
    <w:p>
      <w:pPr>
        <w:pStyle w:val="Compact"/>
        <w:numPr>
          <w:ilvl w:val="0"/>
          <w:numId w:val="1039"/>
        </w:numPr>
      </w:pPr>
      <w:r>
        <w:t xml:space="preserve">Some regimes intentionally keep</w:t>
      </w:r>
      <w:r>
        <w:t xml:space="preserve"> </w:t>
      </w:r>
      <w:r>
        <w:rPr>
          <w:b/>
          <w:bCs/>
        </w:rPr>
        <w:t xml:space="preserve">designation lists non-public</w:t>
      </w:r>
      <w:r>
        <w:t xml:space="preserve">; in such cases, the methodology can document</w:t>
      </w:r>
      <w:r>
        <w:t xml:space="preserve"> </w:t>
      </w:r>
      <w:r>
        <w:rPr>
          <w:b/>
          <w:bCs/>
        </w:rPr>
        <w:t xml:space="preserve">the designation test</w:t>
      </w:r>
      <w:r>
        <w:t xml:space="preserve"> </w:t>
      </w:r>
      <w:r>
        <w:t xml:space="preserve">and</w:t>
      </w:r>
      <w:r>
        <w:t xml:space="preserve"> </w:t>
      </w:r>
      <w:r>
        <w:rPr>
          <w:b/>
          <w:bCs/>
        </w:rPr>
        <w:t xml:space="preserve">the secrecy rule</w:t>
      </w:r>
      <w:r>
        <w:t xml:space="preserve">, but cannot confirm named systems/operators from public sources.</w:t>
      </w:r>
    </w:p>
    <w:p>
      <w:pPr>
        <w:pStyle w:val="Compact"/>
        <w:numPr>
          <w:ilvl w:val="0"/>
          <w:numId w:val="1039"/>
        </w:numPr>
      </w:pPr>
      <w:r>
        <w:t xml:space="preserve">Where official portals block access (e.g., technical/geoblocking), the chapter notes the access limitation and relies only on alternative official materials that were successfully retrieved.</w:t>
      </w:r>
    </w:p>
    <w:p>
      <w:pPr>
        <w:sectPr>
          <w:footerReference w:type="first" r:id="rId13"/>
          <w:footerReference w:type="default" r:id="rId11"/>
          <w:footerReference w:type="even" r:id="rId10"/>
          <w:pgNumType w:fmt="decimal" w:start="1"/>
        </w:sectPr>
      </w:pPr>
    </w:p>
    <w:p>
      <w:pPr>
        <w:sectPr>
          <w:footerReference w:type="first" r:id="rId13"/>
          <w:footerReference w:type="default" r:id="rId11"/>
          <w:footerReference w:type="even" r:id="rId10"/>
          <w:type w:val="nextPage"/>
        </w:sectPr>
      </w:pPr>
    </w:p>
    <w:bookmarkEnd w:id="34"/>
    <w:bookmarkEnd w:id="35"/>
    <w:bookmarkStart w:id="60" w:name="united-states-of-america-usa"/>
    <w:p>
      <w:pPr>
        <w:pStyle w:val="Heading1"/>
      </w:pPr>
      <w:r>
        <w:t xml:space="preserve">UNITED STATES OF AMERICA (USA)</w:t>
      </w:r>
    </w:p>
    <w:bookmarkStart w:id="36" w:name="final-category"/>
    <w:p>
      <w:pPr>
        <w:pStyle w:val="Heading2"/>
      </w:pPr>
      <w:r>
        <w:t xml:space="preserve">Final category</w:t>
      </w:r>
    </w:p>
    <w:p>
      <w:pPr>
        <w:pStyle w:val="FirstParagraph"/>
      </w:pPr>
      <w:r>
        <w:rPr>
          <w:b/>
          <w:bCs/>
        </w:rPr>
        <w:t xml:space="preserve">Healthcare and Public Health (HPH) Sector</w:t>
      </w:r>
      <w:r>
        <w:t xml:space="preserve"> </w:t>
      </w:r>
      <w:r>
        <w:t xml:space="preserve">— one of the U.S.</w:t>
      </w:r>
      <w:r>
        <w:t xml:space="preserve"> </w:t>
      </w:r>
      <w:r>
        <w:rPr>
          <w:b/>
          <w:bCs/>
        </w:rPr>
        <w:t xml:space="preserve">Critical Infrastructure Sectors</w:t>
      </w:r>
      <w:r>
        <w:t xml:space="preserve">.</w:t>
      </w:r>
    </w:p>
    <w:p>
      <w:pPr>
        <w:pStyle w:val="BodyText"/>
      </w:pPr>
      <w:r>
        <w:t xml:space="preserve">In the U.S. model, this is primarily a</w:t>
      </w:r>
      <w:r>
        <w:t xml:space="preserve"> </w:t>
      </w:r>
      <w:r>
        <w:rPr>
          <w:b/>
          <w:bCs/>
        </w:rPr>
        <w:t xml:space="preserve">sector-level classification</w:t>
      </w:r>
      <w:r>
        <w:t xml:space="preserve"> </w:t>
      </w:r>
      <w:r>
        <w:t xml:space="preserve">(not a single public “designated list” of health information systems).</w:t>
      </w:r>
    </w:p>
    <w:bookmarkEnd w:id="36"/>
    <w:bookmarkStart w:id="39" w:name="X9606b8d8065533bfced6833834d0c86fd25deaf"/>
    <w:p>
      <w:pPr>
        <w:pStyle w:val="Heading2"/>
      </w:pPr>
      <w:r>
        <w:t xml:space="preserve">What is “classified” or “designated” in practice?</w:t>
      </w:r>
    </w:p>
    <w:bookmarkStart w:id="37" w:name="sector-classification-public"/>
    <w:p>
      <w:pPr>
        <w:pStyle w:val="Heading3"/>
      </w:pPr>
      <w:r>
        <w:t xml:space="preserve">1) Sector classification (public)</w:t>
      </w:r>
    </w:p>
    <w:p>
      <w:pPr>
        <w:pStyle w:val="FirstParagraph"/>
      </w:pPr>
      <w:r>
        <w:t xml:space="preserve">CISA describes U.S. Critical Infrastructure as organized into multiple sectors;</w:t>
      </w:r>
      <w:r>
        <w:t xml:space="preserve"> </w:t>
      </w:r>
      <w:r>
        <w:rPr>
          <w:b/>
          <w:bCs/>
        </w:rPr>
        <w:t xml:space="preserve">Healthcare and Public Health</w:t>
      </w:r>
      <w:r>
        <w:t xml:space="preserve"> </w:t>
      </w:r>
      <w:r>
        <w:t xml:space="preserve">is one of them.</w:t>
      </w:r>
    </w:p>
    <w:bookmarkEnd w:id="37"/>
    <w:bookmarkStart w:id="38" w:name="Xa25b313c3e077f68c727c471fa1efa34da7cee9"/>
    <w:p>
      <w:pPr>
        <w:pStyle w:val="Heading3"/>
      </w:pPr>
      <w:r>
        <w:t xml:space="preserve">2) Entity/asset scoping for incident reporting (developing, rule-based)</w:t>
      </w:r>
    </w:p>
    <w:p>
      <w:pPr>
        <w:pStyle w:val="FirstParagraph"/>
      </w:pPr>
      <w:r>
        <w:t xml:space="preserve">Under</w:t>
      </w:r>
      <w:r>
        <w:t xml:space="preserve"> </w:t>
      </w:r>
      <w:r>
        <w:rPr>
          <w:b/>
          <w:bCs/>
        </w:rPr>
        <w:t xml:space="preserve">CIRCIA</w:t>
      </w:r>
      <w:r>
        <w:t xml:space="preserve">, reporting obligations apply to</w:t>
      </w:r>
      <w:r>
        <w:t xml:space="preserve"> </w:t>
      </w:r>
      <w:r>
        <w:rPr>
          <w:b/>
          <w:bCs/>
        </w:rPr>
        <w:t xml:space="preserve">“covered entities”</w:t>
      </w:r>
      <w:r>
        <w:t xml:space="preserve"> </w:t>
      </w:r>
      <w:r>
        <w:t xml:space="preserve">in critical infrastructure (as further defined by rulemaking). The law sets</w:t>
      </w:r>
      <w:r>
        <w:t xml:space="preserve"> </w:t>
      </w:r>
      <w:r>
        <w:rPr>
          <w:b/>
          <w:bCs/>
        </w:rPr>
        <w:t xml:space="preserve">reporting timelines</w:t>
      </w:r>
      <w:r>
        <w:t xml:space="preserve"> </w:t>
      </w:r>
      <w:r>
        <w:t xml:space="preserve">(e.g., covered cyber incidents and ransomware payments) but the exact boundary of “covered entity” is operationalized through regulation.</w:t>
      </w:r>
    </w:p>
    <w:bookmarkEnd w:id="38"/>
    <w:bookmarkEnd w:id="39"/>
    <w:bookmarkStart w:id="43" w:name="Xc644a5ca65edee02dc5bc676f1c4018a02cfdd2"/>
    <w:p>
      <w:pPr>
        <w:pStyle w:val="Heading2"/>
      </w:pPr>
      <w:r>
        <w:t xml:space="preserve">Exact criteria used (as expressed in the cited U.S. materials)</w:t>
      </w:r>
    </w:p>
    <w:bookmarkStart w:id="40" w:name="a-sector-boundary-hph-scope"/>
    <w:p>
      <w:pPr>
        <w:pStyle w:val="Heading3"/>
      </w:pPr>
      <w:r>
        <w:t xml:space="preserve">A) Sector boundary (HPH scope)</w:t>
      </w:r>
    </w:p>
    <w:p>
      <w:pPr>
        <w:pStyle w:val="FirstParagraph"/>
      </w:pPr>
      <w:r>
        <w:t xml:space="preserve">The HPH sector includes both</w:t>
      </w:r>
      <w:r>
        <w:t xml:space="preserve"> </w:t>
      </w:r>
      <w:r>
        <w:rPr>
          <w:b/>
          <w:bCs/>
        </w:rPr>
        <w:t xml:space="preserve">public health</w:t>
      </w:r>
      <w:r>
        <w:t xml:space="preserve"> </w:t>
      </w:r>
      <w:r>
        <w:t xml:space="preserve">and</w:t>
      </w:r>
      <w:r>
        <w:t xml:space="preserve"> </w:t>
      </w:r>
      <w:r>
        <w:rPr>
          <w:b/>
          <w:bCs/>
        </w:rPr>
        <w:t xml:space="preserve">healthcare</w:t>
      </w:r>
      <w:r>
        <w:t xml:space="preserve"> </w:t>
      </w:r>
      <w:r>
        <w:t xml:space="preserve">functions/services (sector overview framing).</w:t>
      </w:r>
    </w:p>
    <w:bookmarkEnd w:id="40"/>
    <w:bookmarkStart w:id="41" w:name="X32b6075ea6b69f56347a7e27add37416b97021d"/>
    <w:p>
      <w:pPr>
        <w:pStyle w:val="Heading3"/>
      </w:pPr>
      <w:r>
        <w:t xml:space="preserve">B) Criticality logic that drives “what systems matter most” (functional dependence)</w:t>
      </w:r>
    </w:p>
    <w:p>
      <w:pPr>
        <w:pStyle w:val="FirstParagraph"/>
      </w:pPr>
      <w:r>
        <w:t xml:space="preserve">The HPH Sector-Specific Plan notes that the sector</w:t>
      </w:r>
      <w:r>
        <w:t xml:space="preserve"> </w:t>
      </w:r>
      <w:r>
        <w:rPr>
          <w:b/>
          <w:bCs/>
        </w:rPr>
        <w:t xml:space="preserve">depends on vast, complex information technology systems</w:t>
      </w:r>
      <w:r>
        <w:t xml:space="preserve"> </w:t>
      </w:r>
      <w:r>
        <w:t xml:space="preserve">and the</w:t>
      </w:r>
      <w:r>
        <w:t xml:space="preserve"> </w:t>
      </w:r>
      <w:r>
        <w:rPr>
          <w:b/>
          <w:bCs/>
        </w:rPr>
        <w:t xml:space="preserve">rapid, secure transmission and storage of large amounts of data</w:t>
      </w:r>
      <w:r>
        <w:t xml:space="preserve">—a direct rationale for treating key health information systems as high-impact from a resilience/security perspective.</w:t>
      </w:r>
    </w:p>
    <w:bookmarkEnd w:id="41"/>
    <w:bookmarkStart w:id="42" w:name="X45dc14e8e94d059d2a906ebc9c6fab86135f518"/>
    <w:p>
      <w:pPr>
        <w:pStyle w:val="Heading3"/>
      </w:pPr>
      <w:r>
        <w:t xml:space="preserve">C) CIRCIA reporting thresholds (obligation trigger)</w:t>
      </w:r>
    </w:p>
    <w:p>
      <w:pPr>
        <w:pStyle w:val="FirstParagraph"/>
      </w:pPr>
      <w:r>
        <w:t xml:space="preserve">CIRCIA sets statutory reporting clocks:</w:t>
      </w:r>
      <w:r>
        <w:t xml:space="preserve"> </w:t>
      </w:r>
      <w:r>
        <w:rPr>
          <w:b/>
          <w:bCs/>
        </w:rPr>
        <w:t xml:space="preserve">covered cyber incidents</w:t>
      </w:r>
      <w:r>
        <w:t xml:space="preserve"> </w:t>
      </w:r>
      <w:r>
        <w:t xml:space="preserve">must be reported</w:t>
      </w:r>
      <w:r>
        <w:t xml:space="preserve"> </w:t>
      </w:r>
      <w:r>
        <w:rPr>
          <w:b/>
          <w:bCs/>
        </w:rPr>
        <w:t xml:space="preserve">within 72 hours</w:t>
      </w:r>
      <w:r>
        <w:t xml:space="preserve">, and</w:t>
      </w:r>
      <w:r>
        <w:t xml:space="preserve"> </w:t>
      </w:r>
      <w:r>
        <w:rPr>
          <w:b/>
          <w:bCs/>
        </w:rPr>
        <w:t xml:space="preserve">ransomware payments</w:t>
      </w:r>
      <w:r>
        <w:t xml:space="preserve"> </w:t>
      </w:r>
      <w:r>
        <w:rPr>
          <w:b/>
          <w:bCs/>
        </w:rPr>
        <w:t xml:space="preserve">within 24 hours</w:t>
      </w:r>
      <w:r>
        <w:t xml:space="preserve"> </w:t>
      </w:r>
      <w:r>
        <w:t xml:space="preserve">(as summarized in the fact sheet).</w:t>
      </w:r>
    </w:p>
    <w:bookmarkEnd w:id="42"/>
    <w:bookmarkEnd w:id="43"/>
    <w:bookmarkStart w:id="44" w:name="X7e510de37ac66e9c0dae40272f9ec06ae0abc81"/>
    <w:p>
      <w:pPr>
        <w:pStyle w:val="Heading2"/>
      </w:pPr>
      <w:r>
        <w:t xml:space="preserve">Is there grading / tiering of “criticality” for health information systems?</w:t>
      </w:r>
    </w:p>
    <w:p>
      <w:pPr>
        <w:pStyle w:val="FirstParagraph"/>
      </w:pPr>
      <w:r>
        <w:t xml:space="preserve">The U.S. approach is expressed more as:</w:t>
      </w:r>
    </w:p>
    <w:p>
      <w:pPr>
        <w:pStyle w:val="Compact"/>
        <w:numPr>
          <w:ilvl w:val="0"/>
          <w:numId w:val="1040"/>
        </w:numPr>
      </w:pPr>
      <w:r>
        <w:t xml:space="preserve">a</w:t>
      </w:r>
      <w:r>
        <w:t xml:space="preserve"> </w:t>
      </w:r>
      <w:r>
        <w:rPr>
          <w:b/>
          <w:bCs/>
        </w:rPr>
        <w:t xml:space="preserve">sector construct</w:t>
      </w:r>
      <w:r>
        <w:t xml:space="preserve"> </w:t>
      </w:r>
      <w:r>
        <w:t xml:space="preserve">(HPH as a CI sector), and</w:t>
      </w:r>
    </w:p>
    <w:p>
      <w:pPr>
        <w:pStyle w:val="Compact"/>
        <w:numPr>
          <w:ilvl w:val="0"/>
          <w:numId w:val="1040"/>
        </w:numPr>
      </w:pPr>
      <w:r>
        <w:rPr>
          <w:b/>
          <w:bCs/>
        </w:rPr>
        <w:t xml:space="preserve">reporting/obligation scoping</w:t>
      </w:r>
      <w:r>
        <w:t xml:space="preserve"> </w:t>
      </w:r>
      <w:r>
        <w:t xml:space="preserve">via CIRCIA’s “covered entity / covered incident” framework,</w:t>
      </w:r>
    </w:p>
    <w:p>
      <w:pPr>
        <w:pStyle w:val="FirstParagraph"/>
      </w:pPr>
      <w:r>
        <w:t xml:space="preserve">rather than an explicit</w:t>
      </w:r>
      <w:r>
        <w:t xml:space="preserve"> </w:t>
      </w:r>
      <w:r>
        <w:rPr>
          <w:b/>
          <w:bCs/>
        </w:rPr>
        <w:t xml:space="preserve">public tiering scheme</w:t>
      </w:r>
      <w:r>
        <w:t xml:space="preserve"> </w:t>
      </w:r>
      <w:r>
        <w:t xml:space="preserve">that assigns every health information system to a graded level.</w:t>
      </w:r>
    </w:p>
    <w:p>
      <w:pPr>
        <w:pStyle w:val="BodyText"/>
      </w:pPr>
      <w:r>
        <w:t xml:space="preserve">However, CISA operational publications do show</w:t>
      </w:r>
      <w:r>
        <w:t xml:space="preserve"> </w:t>
      </w:r>
      <w:r>
        <w:rPr>
          <w:b/>
          <w:bCs/>
        </w:rPr>
        <w:t xml:space="preserve">risk-impact thinking</w:t>
      </w:r>
      <w:r>
        <w:t xml:space="preserve"> </w:t>
      </w:r>
      <w:r>
        <w:t xml:space="preserve">(e.g., protection goals like availability/integrity for “critical HPH systems, functions, and data”).</w:t>
      </w:r>
    </w:p>
    <w:bookmarkEnd w:id="44"/>
    <w:bookmarkStart w:id="45" w:name="what-is-public-vs-confidential"/>
    <w:p>
      <w:pPr>
        <w:pStyle w:val="Heading2"/>
      </w:pPr>
      <w:r>
        <w:t xml:space="preserve">What is public vs confidential?</w:t>
      </w:r>
    </w:p>
    <w:p>
      <w:pPr>
        <w:pStyle w:val="FirstParagraph"/>
      </w:pPr>
      <w:r>
        <w:rPr>
          <w:b/>
          <w:bCs/>
        </w:rPr>
        <w:t xml:space="preserve">Public</w:t>
      </w:r>
      <w:r>
        <w:t xml:space="preserve"> </w:t>
      </w:r>
      <w:r>
        <w:t xml:space="preserve">* The fact that HPH is a</w:t>
      </w:r>
      <w:r>
        <w:t xml:space="preserve"> </w:t>
      </w:r>
      <w:r>
        <w:rPr>
          <w:b/>
          <w:bCs/>
        </w:rPr>
        <w:t xml:space="preserve">Critical Infrastructure Sector</w:t>
      </w:r>
      <w:r>
        <w:t xml:space="preserve"> </w:t>
      </w:r>
      <w:r>
        <w:t xml:space="preserve">is public.</w:t>
      </w:r>
      <w:r>
        <w:t xml:space="preserve"> </w:t>
      </w:r>
      <w:r>
        <w:t xml:space="preserve">* High-level reporting obligations and timelines under CIRCIA are public (as summarized by CISA).</w:t>
      </w:r>
    </w:p>
    <w:p>
      <w:pPr>
        <w:pStyle w:val="BodyText"/>
      </w:pPr>
      <w:r>
        <w:rPr>
          <w:b/>
          <w:bCs/>
        </w:rPr>
        <w:t xml:space="preserve">Potentially non-public / organization-specific</w:t>
      </w:r>
      <w:r>
        <w:t xml:space="preserve"> </w:t>
      </w:r>
      <w:r>
        <w:t xml:space="preserve">* Exact lists of which specific hospitals/entities/systems are most critical in a given locality or network are typically handled through</w:t>
      </w:r>
      <w:r>
        <w:t xml:space="preserve"> </w:t>
      </w:r>
      <w:r>
        <w:rPr>
          <w:b/>
          <w:bCs/>
        </w:rPr>
        <w:t xml:space="preserve">risk management and coordination</w:t>
      </w:r>
      <w:r>
        <w:t xml:space="preserve">, rather than a single universal public register in the materials provided.</w:t>
      </w:r>
      <w:r>
        <w:t xml:space="preserve"> </w:t>
      </w:r>
      <w:r>
        <w:t xml:space="preserve">* RVA-type findings are published in anonymized form; the advisory describes the engagement and outcomes without naming the organization.</w:t>
      </w:r>
    </w:p>
    <w:bookmarkEnd w:id="45"/>
    <w:bookmarkStart w:id="51" w:name="Xba1c50e21d1fe4073af76f2feba4b0a4749ba59"/>
    <w:p>
      <w:pPr>
        <w:pStyle w:val="Heading2"/>
      </w:pPr>
      <w:r>
        <w:t xml:space="preserve">Which</w:t>
      </w:r>
      <w:r>
        <w:t xml:space="preserve"> </w:t>
      </w:r>
      <w:r>
        <w:rPr>
          <w:i/>
          <w:iCs/>
        </w:rPr>
        <w:t xml:space="preserve">health information systems</w:t>
      </w:r>
      <w:r>
        <w:t xml:space="preserve"> </w:t>
      </w:r>
      <w:r>
        <w:t xml:space="preserve">are most likely to be treated as “highest criticality” in the U.S. framing?</w:t>
      </w:r>
    </w:p>
    <w:p>
      <w:pPr>
        <w:pStyle w:val="FirstParagraph"/>
      </w:pPr>
      <w:r>
        <w:t xml:space="preserve">CISA sector documents and advisories emphasize</w:t>
      </w:r>
      <w:r>
        <w:t xml:space="preserve"> </w:t>
      </w:r>
      <w:r>
        <w:rPr>
          <w:b/>
          <w:bCs/>
        </w:rPr>
        <w:t xml:space="preserve">mission-essential functions</w:t>
      </w:r>
      <w:r>
        <w:t xml:space="preserve">,</w:t>
      </w:r>
      <w:r>
        <w:t xml:space="preserve"> </w:t>
      </w:r>
      <w:r>
        <w:rPr>
          <w:b/>
          <w:bCs/>
        </w:rPr>
        <w:t xml:space="preserve">data dependence</w:t>
      </w:r>
      <w:r>
        <w:t xml:space="preserve">, and</w:t>
      </w:r>
      <w:r>
        <w:t xml:space="preserve"> </w:t>
      </w:r>
      <w:r>
        <w:rPr>
          <w:b/>
          <w:bCs/>
        </w:rPr>
        <w:t xml:space="preserve">operational disruption patterns</w:t>
      </w:r>
      <w:r>
        <w:t xml:space="preserve">. Consequently, the “highest criticality” systems in the health sector typically cluster into these categories:</w:t>
      </w:r>
    </w:p>
    <w:bookmarkStart w:id="46" w:name="X3aa886452b5bdb064024d677f0d779964e3d12b"/>
    <w:p>
      <w:pPr>
        <w:pStyle w:val="Heading3"/>
      </w:pPr>
      <w:r>
        <w:t xml:space="preserve">1) Care-delivery operational systems (availability-critical)</w:t>
      </w:r>
    </w:p>
    <w:p>
      <w:pPr>
        <w:pStyle w:val="FirstParagraph"/>
      </w:pPr>
      <w:r>
        <w:t xml:space="preserve">Systems whose loss disrupts direct patient care delivery and continuity:</w:t>
      </w:r>
      <w:r>
        <w:t xml:space="preserve"> </w:t>
      </w:r>
      <w:r>
        <w:t xml:space="preserve">* Core clinical workflow platforms and associated identity/access dependencies (because HPH depends on large, complex IT and rapid/secure data flows).</w:t>
      </w:r>
    </w:p>
    <w:p>
      <w:pPr>
        <w:pStyle w:val="BodyText"/>
      </w:pPr>
      <w:r>
        <w:t xml:space="preserve">CISA’s mitigation guide is explicit that threats can affect</w:t>
      </w:r>
      <w:r>
        <w:t xml:space="preserve"> </w:t>
      </w:r>
      <w:r>
        <w:rPr>
          <w:b/>
          <w:bCs/>
        </w:rPr>
        <w:t xml:space="preserve">critical HPH systems, functions, and data</w:t>
      </w:r>
      <w:r>
        <w:t xml:space="preserve"> </w:t>
      </w:r>
      <w:r>
        <w:t xml:space="preserve">and highlights patient-focused service impacts as a central concern.</w:t>
      </w:r>
    </w:p>
    <w:bookmarkEnd w:id="46"/>
    <w:bookmarkStart w:id="47" w:name="Xbc5f13221ae014ed4543f2a4a01431a10f47f39"/>
    <w:p>
      <w:pPr>
        <w:pStyle w:val="Heading3"/>
      </w:pPr>
      <w:r>
        <w:t xml:space="preserve">2) Public-health coordination and information flows (societal-impact critical)</w:t>
      </w:r>
    </w:p>
    <w:p>
      <w:pPr>
        <w:pStyle w:val="FirstParagraph"/>
      </w:pPr>
      <w:r>
        <w:t xml:space="preserve">Systems enabling public health operations and situational awareness—because the sector’s planning and operations depend on</w:t>
      </w:r>
      <w:r>
        <w:t xml:space="preserve"> </w:t>
      </w:r>
      <w:r>
        <w:rPr>
          <w:b/>
          <w:bCs/>
        </w:rPr>
        <w:t xml:space="preserve">information sharing and data</w:t>
      </w:r>
      <w:r>
        <w:t xml:space="preserve">. The SSP explicitly frames dependency on secure transmission/storage at scale.</w:t>
      </w:r>
    </w:p>
    <w:bookmarkEnd w:id="47"/>
    <w:bookmarkStart w:id="48" w:name="Xc3b73f99f207d91a46e3fc86c9c3ec9d7c41b77"/>
    <w:p>
      <w:pPr>
        <w:pStyle w:val="Heading3"/>
      </w:pPr>
      <w:r>
        <w:t xml:space="preserve">3) Enterprise IAM / domain services and internal network controls (blast-radius critical)</w:t>
      </w:r>
    </w:p>
    <w:p>
      <w:pPr>
        <w:pStyle w:val="FirstParagraph"/>
      </w:pPr>
      <w:r>
        <w:t xml:space="preserve">CISA’s RVA advisory shows that once an attacker is “inside,”</w:t>
      </w:r>
      <w:r>
        <w:t xml:space="preserve"> </w:t>
      </w:r>
      <w:r>
        <w:rPr>
          <w:b/>
          <w:bCs/>
        </w:rPr>
        <w:t xml:space="preserve">misconfigurations/weak passwords</w:t>
      </w:r>
      <w:r>
        <w:t xml:space="preserve"> </w:t>
      </w:r>
      <w:r>
        <w:t xml:space="preserve">can enable</w:t>
      </w:r>
      <w:r>
        <w:t xml:space="preserve"> </w:t>
      </w:r>
      <w:r>
        <w:rPr>
          <w:b/>
          <w:bCs/>
        </w:rPr>
        <w:t xml:space="preserve">domain compromise</w:t>
      </w:r>
      <w:r>
        <w:t xml:space="preserve">, and it highlights actions like</w:t>
      </w:r>
      <w:r>
        <w:t xml:space="preserve"> </w:t>
      </w:r>
      <w:r>
        <w:rPr>
          <w:b/>
          <w:bCs/>
        </w:rPr>
        <w:t xml:space="preserve">phishing-resistant MFA for administrative access</w:t>
      </w:r>
      <w:r>
        <w:t xml:space="preserve">, removing default credentials, and</w:t>
      </w:r>
      <w:r>
        <w:t xml:space="preserve"> </w:t>
      </w:r>
      <w:r>
        <w:rPr>
          <w:b/>
          <w:bCs/>
        </w:rPr>
        <w:t xml:space="preserve">network segregation</w:t>
      </w:r>
      <w:r>
        <w:t xml:space="preserve">—all pointing to IAM/domain control planes as high criticality in health enterprises.</w:t>
      </w:r>
    </w:p>
    <w:bookmarkEnd w:id="48"/>
    <w:bookmarkStart w:id="49" w:name="Xe3cc6ead530b028f2a5bb172116c0a28ef365f1"/>
    <w:p>
      <w:pPr>
        <w:pStyle w:val="Heading3"/>
      </w:pPr>
      <w:r>
        <w:t xml:space="preserve">4) Vulnerability/patch posture for legacy and exposed systems (exploitability critical)</w:t>
      </w:r>
    </w:p>
    <w:p>
      <w:pPr>
        <w:pStyle w:val="FirstParagraph"/>
      </w:pPr>
      <w:r>
        <w:t xml:space="preserve">The same RVA advisory documents issues such as weak password policy and stresses the importance of stronger credential hygiene (e.g., longer passwords), patching, and segregation when patching is not possible—patterns highly relevant to clinical environments with legacy platforms and constrained devices.</w:t>
      </w:r>
    </w:p>
    <w:bookmarkEnd w:id="49"/>
    <w:bookmarkStart w:id="50" w:name="Xcaf70e98978b5531498cecd803206db04f1d8cd"/>
    <w:p>
      <w:pPr>
        <w:pStyle w:val="Heading3"/>
      </w:pPr>
      <w:r>
        <w:t xml:space="preserve">5) Ransomware resilience dependencies (operational continuity critical)</w:t>
      </w:r>
    </w:p>
    <w:p>
      <w:pPr>
        <w:pStyle w:val="FirstParagraph"/>
      </w:pPr>
      <w:r>
        <w:t xml:space="preserve">The ransomware advisory for HPH explicitly frames ransomware as an operational disruption problem for the sector—driving prioritization of systems needed for continuity of care and contingency operations.</w:t>
      </w:r>
    </w:p>
    <w:bookmarkEnd w:id="50"/>
    <w:bookmarkEnd w:id="51"/>
    <w:bookmarkStart w:id="52" w:name="X129ed9953b2df2ce2fea242e1bf2ee39202fdf4"/>
    <w:p>
      <w:pPr>
        <w:pStyle w:val="Heading2"/>
      </w:pPr>
      <w:r>
        <w:t xml:space="preserve">Practical “tests” (derived from the U.S. documents)</w:t>
      </w:r>
    </w:p>
    <w:p>
      <w:pPr>
        <w:pStyle w:val="FirstParagraph"/>
      </w:pPr>
      <w:r>
        <w:t xml:space="preserve">A health information system in the U.S. context is most plausibly “high criticality / highest security priority” if it satisfies one or more of these document-grounded tests:</w:t>
      </w:r>
    </w:p>
    <w:p>
      <w:pPr>
        <w:pStyle w:val="Compact"/>
        <w:numPr>
          <w:ilvl w:val="0"/>
          <w:numId w:val="1041"/>
        </w:numPr>
      </w:pPr>
      <w:r>
        <w:rPr>
          <w:b/>
          <w:bCs/>
        </w:rPr>
        <w:t xml:space="preserve">IT-dependence test:</w:t>
      </w:r>
      <w:r>
        <w:t xml:space="preserve"> </w:t>
      </w:r>
      <w:r>
        <w:t xml:space="preserve">It is part of the “vast, complex” IT environment required for healthcare delivery and for rapid, secure data movement/storage at scale.</w:t>
      </w:r>
    </w:p>
    <w:p>
      <w:pPr>
        <w:pStyle w:val="Compact"/>
        <w:numPr>
          <w:ilvl w:val="0"/>
          <w:numId w:val="1041"/>
        </w:numPr>
      </w:pPr>
      <w:r>
        <w:rPr>
          <w:b/>
          <w:bCs/>
        </w:rPr>
        <w:t xml:space="preserve">Service disruption test:</w:t>
      </w:r>
      <w:r>
        <w:t xml:space="preserve"> </w:t>
      </w:r>
      <w:r>
        <w:t xml:space="preserve">Its compromise materially affects “critical HPH systems, functions, and data,” especially patient-focused service continuity.</w:t>
      </w:r>
    </w:p>
    <w:p>
      <w:pPr>
        <w:pStyle w:val="Compact"/>
        <w:numPr>
          <w:ilvl w:val="0"/>
          <w:numId w:val="1041"/>
        </w:numPr>
      </w:pPr>
      <w:r>
        <w:rPr>
          <w:b/>
          <w:bCs/>
        </w:rPr>
        <w:t xml:space="preserve">Enterprise blast-radius test:</w:t>
      </w:r>
      <w:r>
        <w:t xml:space="preserve"> </w:t>
      </w:r>
      <w:r>
        <w:t xml:space="preserve">Its compromise enables broad takeover (e.g., domain compromise) or bypass of administrative control—highlighted by CISA’s RVA outcomes and recommended mitigations (phishing-resistant admin MFA, default credential removal, segregation).</w:t>
      </w:r>
    </w:p>
    <w:p>
      <w:pPr>
        <w:pStyle w:val="Compact"/>
        <w:numPr>
          <w:ilvl w:val="0"/>
          <w:numId w:val="1041"/>
        </w:numPr>
      </w:pPr>
      <w:r>
        <w:rPr>
          <w:b/>
          <w:bCs/>
        </w:rPr>
        <w:t xml:space="preserve">Regulatory reporting relevance test (CIRCIA):</w:t>
      </w:r>
      <w:r>
        <w:t xml:space="preserve"> </w:t>
      </w:r>
      <w:r>
        <w:t xml:space="preserve">Incidents affecting it are more likely to be “covered cyber incidents” (depending on final covered-entity definitions) and therefore time-bound reporting obligations (72h/24h) become operationally relevant for the owning organization.</w:t>
      </w:r>
    </w:p>
    <w:bookmarkEnd w:id="52"/>
    <w:bookmarkStart w:id="59" w:name="references-usa"/>
    <w:p>
      <w:pPr>
        <w:pStyle w:val="Heading2"/>
      </w:pPr>
      <w:r>
        <w:t xml:space="preserve">References (USA)</w:t>
      </w:r>
    </w:p>
    <w:p>
      <w:pPr>
        <w:pStyle w:val="Compact"/>
        <w:numPr>
          <w:ilvl w:val="0"/>
          <w:numId w:val="1042"/>
        </w:numPr>
      </w:pPr>
      <w:r>
        <w:rPr>
          <w:b/>
          <w:bCs/>
        </w:rPr>
        <w:t xml:space="preserve">CISA — Critical Infrastructure Sectors</w:t>
      </w:r>
      <w:r>
        <w:t xml:space="preserve"> </w:t>
      </w:r>
      <w:r>
        <w:t xml:space="preserve">(includes Healthcare and Public Health as a sector). (</w:t>
      </w:r>
      <w:hyperlink r:id="rId53">
        <w:r>
          <w:rPr>
            <w:rStyle w:val="Hyperlink"/>
          </w:rPr>
          <w:t xml:space="preserve">CISA</w:t>
        </w:r>
      </w:hyperlink>
      <w:r>
        <w:t xml:space="preserve">)</w:t>
      </w:r>
    </w:p>
    <w:p>
      <w:pPr>
        <w:pStyle w:val="Compact"/>
        <w:numPr>
          <w:ilvl w:val="0"/>
          <w:numId w:val="1042"/>
        </w:numPr>
      </w:pPr>
      <w:r>
        <w:rPr>
          <w:b/>
          <w:bCs/>
        </w:rPr>
        <w:t xml:space="preserve">CISA — Healthcare and Public Health Sector</w:t>
      </w:r>
      <w:r>
        <w:t xml:space="preserve"> </w:t>
      </w:r>
      <w:r>
        <w:t xml:space="preserve">(sector overview framing). (</w:t>
      </w:r>
      <w:hyperlink r:id="rId54">
        <w:r>
          <w:rPr>
            <w:rStyle w:val="Hyperlink"/>
          </w:rPr>
          <w:t xml:space="preserve">CISA</w:t>
        </w:r>
      </w:hyperlink>
      <w:r>
        <w:t xml:space="preserve">)</w:t>
      </w:r>
    </w:p>
    <w:p>
      <w:pPr>
        <w:pStyle w:val="Compact"/>
        <w:numPr>
          <w:ilvl w:val="0"/>
          <w:numId w:val="1042"/>
        </w:numPr>
      </w:pPr>
      <w:r>
        <w:rPr>
          <w:b/>
          <w:bCs/>
        </w:rPr>
        <w:t xml:space="preserve">NIPP Sector-Specific Plan: Healthcare and Public Health (2015)</w:t>
      </w:r>
      <w:r>
        <w:t xml:space="preserve"> </w:t>
      </w:r>
      <w:r>
        <w:t xml:space="preserve">— dependency on complex IT and rapid/secure data flows. (</w:t>
      </w:r>
      <w:hyperlink r:id="rId55">
        <w:r>
          <w:rPr>
            <w:rStyle w:val="Hyperlink"/>
          </w:rPr>
          <w:t xml:space="preserve">CISA</w:t>
        </w:r>
      </w:hyperlink>
      <w:r>
        <w:t xml:space="preserve">)</w:t>
      </w:r>
    </w:p>
    <w:p>
      <w:pPr>
        <w:pStyle w:val="Compact"/>
        <w:numPr>
          <w:ilvl w:val="0"/>
          <w:numId w:val="1042"/>
        </w:numPr>
      </w:pPr>
      <w:r>
        <w:rPr>
          <w:b/>
          <w:bCs/>
        </w:rPr>
        <w:t xml:space="preserve">CISA — CIRCIA Fact Sheet (2022)</w:t>
      </w:r>
      <w:r>
        <w:t xml:space="preserve"> </w:t>
      </w:r>
      <w:r>
        <w:t xml:space="preserve">— 72-hour covered incident reporting and 24-hour ransomware payment reporting timelines. (</w:t>
      </w:r>
      <w:hyperlink r:id="rId56">
        <w:r>
          <w:rPr>
            <w:rStyle w:val="Hyperlink"/>
          </w:rPr>
          <w:t xml:space="preserve">CISA</w:t>
        </w:r>
      </w:hyperlink>
      <w:r>
        <w:t xml:space="preserve">)</w:t>
      </w:r>
    </w:p>
    <w:p>
      <w:pPr>
        <w:pStyle w:val="Compact"/>
        <w:numPr>
          <w:ilvl w:val="0"/>
          <w:numId w:val="1042"/>
        </w:numPr>
      </w:pPr>
      <w:r>
        <w:rPr>
          <w:b/>
          <w:bCs/>
        </w:rPr>
        <w:t xml:space="preserve">CISA — AA23-349A: HPH Sector Risk &amp; Vulnerability Assessment</w:t>
      </w:r>
      <w:r>
        <w:t xml:space="preserve"> </w:t>
      </w:r>
      <w:r>
        <w:t xml:space="preserve">— internal weaknesses leading to domain compromise; recommended mitigations. (</w:t>
      </w:r>
      <w:hyperlink r:id="rId57">
        <w:r>
          <w:rPr>
            <w:rStyle w:val="Hyperlink"/>
          </w:rPr>
          <w:t xml:space="preserve">CISA</w:t>
        </w:r>
      </w:hyperlink>
      <w:r>
        <w:t xml:space="preserve">)</w:t>
      </w:r>
    </w:p>
    <w:p>
      <w:pPr>
        <w:pStyle w:val="Compact"/>
        <w:numPr>
          <w:ilvl w:val="0"/>
          <w:numId w:val="1042"/>
        </w:numPr>
      </w:pPr>
      <w:r>
        <w:rPr>
          <w:b/>
          <w:bCs/>
        </w:rPr>
        <w:t xml:space="preserve">CISA — AA20-302A: Ransomware Activity Targeting the HPH Sector</w:t>
      </w:r>
      <w:r>
        <w:t xml:space="preserve"> </w:t>
      </w:r>
      <w:r>
        <w:t xml:space="preserve">— operational disruption framing for HPH ransomware. (</w:t>
      </w:r>
      <w:hyperlink r:id="rId58">
        <w:r>
          <w:rPr>
            <w:rStyle w:val="Hyperlink"/>
          </w:rPr>
          <w:t xml:space="preserve">CISA</w:t>
        </w:r>
      </w:hyperlink>
      <w:r>
        <w:t xml:space="preserve">)</w:t>
      </w:r>
    </w:p>
    <w:p>
      <w:pPr>
        <w:sectPr>
          <w:footerReference w:type="first" r:id="rId13"/>
          <w:footerReference w:type="default" r:id="rId11"/>
          <w:footerReference w:type="even" r:id="rId10"/>
          <w:type w:val="nextPage"/>
        </w:sectPr>
      </w:pPr>
    </w:p>
    <w:bookmarkEnd w:id="59"/>
    <w:bookmarkEnd w:id="60"/>
    <w:bookmarkStart w:id="70" w:name="australia"/>
    <w:p>
      <w:pPr>
        <w:pStyle w:val="Heading1"/>
      </w:pPr>
      <w:r>
        <w:t xml:space="preserve">AUSTRALIA</w:t>
      </w:r>
    </w:p>
    <w:bookmarkStart w:id="61" w:name="Xd1d8ad69d83679de2997d71a3ffddf0a28f3bb8"/>
    <w:p>
      <w:pPr>
        <w:pStyle w:val="Heading2"/>
      </w:pPr>
      <w:r>
        <w:rPr>
          <w:b/>
          <w:bCs/>
        </w:rPr>
        <w:t xml:space="preserve">Final categories (what the law actually classifies)</w:t>
      </w:r>
    </w:p>
    <w:p>
      <w:pPr>
        <w:pStyle w:val="Compact"/>
        <w:numPr>
          <w:ilvl w:val="0"/>
          <w:numId w:val="1043"/>
        </w:numPr>
      </w:pPr>
      <w:r>
        <w:rPr>
          <w:b/>
          <w:bCs/>
        </w:rPr>
        <w:t xml:space="preserve">Critical infrastructure asset (health care and medical sector): “critical hospital”</w:t>
      </w:r>
      <w:r>
        <w:t xml:space="preserve"> </w:t>
      </w:r>
      <w:r>
        <w:t xml:space="preserve">— a</w:t>
      </w:r>
      <w:r>
        <w:t xml:space="preserve"> </w:t>
      </w:r>
      <w:r>
        <w:rPr>
          <w:b/>
          <w:bCs/>
        </w:rPr>
        <w:t xml:space="preserve">hospital that has a “general intensive care unit”</w:t>
      </w:r>
      <w:r>
        <w:t xml:space="preserve">. (</w:t>
      </w:r>
      <w:hyperlink r:id="rId53">
        <w:r>
          <w:rPr>
            <w:rStyle w:val="Hyperlink"/>
          </w:rPr>
          <w:t xml:space="preserve">Federal Register of Legislation</w:t>
        </w:r>
      </w:hyperlink>
      <w:r>
        <w:t xml:space="preserve">)</w:t>
      </w:r>
    </w:p>
    <w:p>
      <w:pPr>
        <w:pStyle w:val="Compact"/>
        <w:numPr>
          <w:ilvl w:val="0"/>
          <w:numId w:val="1043"/>
        </w:numPr>
      </w:pPr>
      <w:r>
        <w:rPr>
          <w:b/>
          <w:bCs/>
        </w:rPr>
        <w:t xml:space="preserve">CIRMP in-scope subset: “designated hospital”</w:t>
      </w:r>
      <w:r>
        <w:t xml:space="preserve"> </w:t>
      </w:r>
      <w:r>
        <w:t xml:space="preserve">—</w:t>
      </w:r>
      <w:r>
        <w:t xml:space="preserve"> </w:t>
      </w:r>
      <w:r>
        <w:rPr>
          <w:b/>
          <w:bCs/>
        </w:rPr>
        <w:t xml:space="preserve">a critical hospital mentioned in Schedule 1</w:t>
      </w:r>
      <w:r>
        <w:t xml:space="preserve"> </w:t>
      </w:r>
      <w:r>
        <w:t xml:space="preserve">of the</w:t>
      </w:r>
      <w:r>
        <w:t xml:space="preserve"> </w:t>
      </w:r>
      <w:r>
        <w:rPr>
          <w:b/>
          <w:bCs/>
        </w:rPr>
        <w:t xml:space="preserve">Critical infrastructure risk management program Rules (LIN 23/006)</w:t>
      </w:r>
      <w:r>
        <w:t xml:space="preserve">;</w:t>
      </w:r>
      <w:r>
        <w:t xml:space="preserve"> </w:t>
      </w:r>
      <w:r>
        <w:rPr>
          <w:b/>
          <w:bCs/>
        </w:rPr>
        <w:t xml:space="preserve">Part 2A (CIRMP)</w:t>
      </w:r>
      <w:r>
        <w:t xml:space="preserve"> </w:t>
      </w:r>
      <w:r>
        <w:t xml:space="preserve">applies to a designated hospital. (</w:t>
      </w:r>
      <w:hyperlink r:id="rId54">
        <w:r>
          <w:rPr>
            <w:rStyle w:val="Hyperlink"/>
          </w:rPr>
          <w:t xml:space="preserve">Federal Register of Legislation</w:t>
        </w:r>
      </w:hyperlink>
      <w:r>
        <w:t xml:space="preserve">)</w:t>
      </w:r>
    </w:p>
    <w:p>
      <w:pPr>
        <w:pStyle w:val="Compact"/>
        <w:numPr>
          <w:ilvl w:val="0"/>
          <w:numId w:val="1043"/>
        </w:numPr>
      </w:pPr>
      <w:r>
        <w:rPr>
          <w:b/>
          <w:bCs/>
        </w:rPr>
        <w:t xml:space="preserve">Higher-tier classification: “system of national significance (SoNS)”</w:t>
      </w:r>
      <w:r>
        <w:t xml:space="preserve"> </w:t>
      </w:r>
      <w:r>
        <w:t xml:space="preserve">— the Act creates</w:t>
      </w:r>
      <w:r>
        <w:t xml:space="preserve"> </w:t>
      </w:r>
      <w:r>
        <w:rPr>
          <w:b/>
          <w:bCs/>
        </w:rPr>
        <w:t xml:space="preserve">Enhanced cyber security obligations</w:t>
      </w:r>
      <w:r>
        <w:t xml:space="preserve"> </w:t>
      </w:r>
      <w:r>
        <w:t xml:space="preserve">(Part 2C) that operate</w:t>
      </w:r>
      <w:r>
        <w:t xml:space="preserve"> </w:t>
      </w:r>
      <w:r>
        <w:rPr>
          <w:b/>
          <w:bCs/>
        </w:rPr>
        <w:t xml:space="preserve">in relation to systems of national significance</w:t>
      </w:r>
      <w:r>
        <w:t xml:space="preserve">, including statutory incident response planning obligations and related requirements. (</w:t>
      </w:r>
      <w:hyperlink r:id="rId53">
        <w:r>
          <w:rPr>
            <w:rStyle w:val="Hyperlink"/>
          </w:rPr>
          <w:t xml:space="preserve">Federal Register of Legislation</w:t>
        </w:r>
      </w:hyperlink>
      <w:r>
        <w:t xml:space="preserve">)</w:t>
      </w:r>
    </w:p>
    <w:bookmarkEnd w:id="61"/>
    <w:bookmarkStart w:id="65" w:name="X2d63141787c525150f77ed1569ba87e726cf22c"/>
    <w:p>
      <w:pPr>
        <w:pStyle w:val="Heading2"/>
      </w:pPr>
      <w:r>
        <w:rPr>
          <w:b/>
          <w:bCs/>
        </w:rPr>
        <w:t xml:space="preserve">Exact legal / regulatory criteria (what triggers inclusion)</w:t>
      </w:r>
    </w:p>
    <w:bookmarkStart w:id="62" w:name="X1254fb6c6fd9615c59aef53b1e35ebf16848eeb"/>
    <w:p>
      <w:pPr>
        <w:pStyle w:val="Heading3"/>
      </w:pPr>
      <w:r>
        <w:rPr>
          <w:b/>
          <w:bCs/>
        </w:rPr>
        <w:t xml:space="preserve">A) “Critical hospital” (health CI asset trigger)</w:t>
      </w:r>
    </w:p>
    <w:p>
      <w:pPr>
        <w:pStyle w:val="Compact"/>
        <w:numPr>
          <w:ilvl w:val="0"/>
          <w:numId w:val="1044"/>
        </w:numPr>
      </w:pPr>
      <w:r>
        <w:rPr>
          <w:b/>
          <w:bCs/>
        </w:rPr>
        <w:t xml:space="preserve">Definition (Act):</w:t>
      </w:r>
      <w:r>
        <w:t xml:space="preserve"> </w:t>
      </w:r>
      <w:r>
        <w:t xml:space="preserve">“critical hospital means a hospital that has a general intensive care unit.” (</w:t>
      </w:r>
      <w:hyperlink r:id="rId53">
        <w:r>
          <w:rPr>
            <w:rStyle w:val="Hyperlink"/>
          </w:rPr>
          <w:t xml:space="preserve">Federal Register of Legislation</w:t>
        </w:r>
      </w:hyperlink>
      <w:r>
        <w:t xml:space="preserve">)</w:t>
      </w:r>
    </w:p>
    <w:p>
      <w:pPr>
        <w:pStyle w:val="Compact"/>
        <w:numPr>
          <w:ilvl w:val="0"/>
          <w:numId w:val="1044"/>
        </w:numPr>
      </w:pPr>
      <w:r>
        <w:rPr>
          <w:b/>
          <w:bCs/>
        </w:rPr>
        <w:t xml:space="preserve">“General intensive care unit” definition (Act):</w:t>
      </w:r>
      <w:r>
        <w:t xml:space="preserve"> </w:t>
      </w:r>
      <w:r>
        <w:t xml:space="preserve">the Act defines what qualifies as a “general ICU” (capable of mechanical ventilation for several days and invasive cardiovascular monitoring, with specified specialist support). (</w:t>
      </w:r>
      <w:hyperlink r:id="rId53">
        <w:r>
          <w:rPr>
            <w:rStyle w:val="Hyperlink"/>
          </w:rPr>
          <w:t xml:space="preserve">Federal Register of Legislation</w:t>
        </w:r>
      </w:hyperlink>
      <w:r>
        <w:t xml:space="preserve">)</w:t>
      </w:r>
    </w:p>
    <w:p>
      <w:pPr>
        <w:pStyle w:val="Compact"/>
        <w:numPr>
          <w:ilvl w:val="0"/>
          <w:numId w:val="1044"/>
        </w:numPr>
      </w:pPr>
      <w:r>
        <w:rPr>
          <w:b/>
          <w:bCs/>
        </w:rPr>
        <w:t xml:space="preserve">Sector mapping (Act):</w:t>
      </w:r>
      <w:r>
        <w:t xml:space="preserve"> </w:t>
      </w:r>
      <w:r>
        <w:t xml:space="preserve">“a critical hospital is taken to relate to the health care and medical sector.” (</w:t>
      </w:r>
      <w:hyperlink r:id="rId53">
        <w:r>
          <w:rPr>
            <w:rStyle w:val="Hyperlink"/>
          </w:rPr>
          <w:t xml:space="preserve">Federal Register of Legislation</w:t>
        </w:r>
      </w:hyperlink>
      <w:r>
        <w:t xml:space="preserve">)</w:t>
      </w:r>
    </w:p>
    <w:p>
      <w:pPr>
        <w:pStyle w:val="Compact"/>
        <w:numPr>
          <w:ilvl w:val="0"/>
          <w:numId w:val="1044"/>
        </w:numPr>
      </w:pPr>
      <w:r>
        <w:rPr>
          <w:b/>
          <w:bCs/>
        </w:rPr>
        <w:t xml:space="preserve">Critical infrastructure asset listing (Act):</w:t>
      </w:r>
      <w:r>
        <w:t xml:space="preserve"> </w:t>
      </w:r>
      <w:r>
        <w:t xml:space="preserve">“critical hospital” is included in the Act’s definition/listing of</w:t>
      </w:r>
      <w:r>
        <w:t xml:space="preserve"> </w:t>
      </w:r>
      <w:r>
        <w:rPr>
          <w:b/>
          <w:bCs/>
        </w:rPr>
        <w:t xml:space="preserve">critical infrastructure assets</w:t>
      </w:r>
      <w:r>
        <w:t xml:space="preserve">. (</w:t>
      </w:r>
      <w:hyperlink r:id="rId53">
        <w:r>
          <w:rPr>
            <w:rStyle w:val="Hyperlink"/>
          </w:rPr>
          <w:t xml:space="preserve">Federal Register of Legislation</w:t>
        </w:r>
      </w:hyperlink>
      <w:r>
        <w:t xml:space="preserve">)</w:t>
      </w:r>
    </w:p>
    <w:bookmarkEnd w:id="62"/>
    <w:bookmarkStart w:id="63" w:name="X0add2f8a0716cd316ac265144203226f58fc7f5"/>
    <w:p>
      <w:pPr>
        <w:pStyle w:val="Heading3"/>
      </w:pPr>
      <w:r>
        <w:rPr>
          <w:b/>
          <w:bCs/>
        </w:rPr>
        <w:t xml:space="preserve">B) “Designated hospital” (CIRMP / Part 2A trigger)</w:t>
      </w:r>
    </w:p>
    <w:p>
      <w:pPr>
        <w:pStyle w:val="Compact"/>
        <w:numPr>
          <w:ilvl w:val="0"/>
          <w:numId w:val="1045"/>
        </w:numPr>
      </w:pPr>
      <w:r>
        <w:rPr>
          <w:b/>
          <w:bCs/>
        </w:rPr>
        <w:t xml:space="preserve">Definition (Rules):</w:t>
      </w:r>
      <w:r>
        <w:t xml:space="preserve"> </w:t>
      </w:r>
      <w:r>
        <w:t xml:space="preserve">“designated hospital means a critical hospital mentioned in Schedule 1.” (</w:t>
      </w:r>
      <w:hyperlink r:id="rId54">
        <w:r>
          <w:rPr>
            <w:rStyle w:val="Hyperlink"/>
          </w:rPr>
          <w:t xml:space="preserve">Federal Register of Legislation</w:t>
        </w:r>
      </w:hyperlink>
      <w:r>
        <w:t xml:space="preserve">)</w:t>
      </w:r>
    </w:p>
    <w:p>
      <w:pPr>
        <w:pStyle w:val="Compact"/>
        <w:numPr>
          <w:ilvl w:val="0"/>
          <w:numId w:val="1045"/>
        </w:numPr>
      </w:pPr>
      <w:r>
        <w:rPr>
          <w:b/>
          <w:bCs/>
        </w:rPr>
        <w:t xml:space="preserve">Part 2A application (Rules):</w:t>
      </w:r>
      <w:r>
        <w:t xml:space="preserve"> </w:t>
      </w:r>
      <w:r>
        <w:t xml:space="preserve">for the Act’s Part 2A application provision, the Rules specify that</w:t>
      </w:r>
      <w:r>
        <w:t xml:space="preserve"> </w:t>
      </w:r>
      <w:r>
        <w:rPr>
          <w:b/>
          <w:bCs/>
        </w:rPr>
        <w:t xml:space="preserve">Part 2A applies to… (g) a designated hospital</w:t>
      </w:r>
      <w:r>
        <w:t xml:space="preserve">. (</w:t>
      </w:r>
      <w:hyperlink r:id="rId54">
        <w:r>
          <w:rPr>
            <w:rStyle w:val="Hyperlink"/>
          </w:rPr>
          <w:t xml:space="preserve">Federal Register of Legislation</w:t>
        </w:r>
      </w:hyperlink>
      <w:r>
        <w:t xml:space="preserve">)</w:t>
      </w:r>
    </w:p>
    <w:bookmarkEnd w:id="63"/>
    <w:bookmarkStart w:id="64" w:name="X3c7f220baddc4d689ee8d43892d42a5fa6c005c"/>
    <w:p>
      <w:pPr>
        <w:pStyle w:val="Heading3"/>
      </w:pPr>
      <w:r>
        <w:rPr>
          <w:b/>
          <w:bCs/>
        </w:rPr>
        <w:t xml:space="preserve">C) SoNS (Enhanced cyber security obligations trigger)</w:t>
      </w:r>
    </w:p>
    <w:p>
      <w:pPr>
        <w:pStyle w:val="Compact"/>
        <w:numPr>
          <w:ilvl w:val="0"/>
          <w:numId w:val="1046"/>
        </w:numPr>
      </w:pPr>
      <w:r>
        <w:rPr>
          <w:b/>
          <w:bCs/>
        </w:rPr>
        <w:t xml:space="preserve">Enhanced cyber security obligations exist in the Act</w:t>
      </w:r>
      <w:r>
        <w:t xml:space="preserve"> </w:t>
      </w:r>
      <w:r>
        <w:t xml:space="preserve">(Part 2C), and are expressly framed as relating to</w:t>
      </w:r>
      <w:r>
        <w:t xml:space="preserve"> </w:t>
      </w:r>
      <w:r>
        <w:rPr>
          <w:b/>
          <w:bCs/>
        </w:rPr>
        <w:t xml:space="preserve">systems of national significance</w:t>
      </w:r>
      <w:r>
        <w:t xml:space="preserve">. (</w:t>
      </w:r>
      <w:hyperlink r:id="rId53">
        <w:r>
          <w:rPr>
            <w:rStyle w:val="Hyperlink"/>
          </w:rPr>
          <w:t xml:space="preserve">Federal Register of Legislation</w:t>
        </w:r>
      </w:hyperlink>
      <w:r>
        <w:t xml:space="preserve">)</w:t>
      </w:r>
    </w:p>
    <w:p>
      <w:pPr>
        <w:pStyle w:val="Compact"/>
        <w:numPr>
          <w:ilvl w:val="0"/>
          <w:numId w:val="1046"/>
        </w:numPr>
      </w:pPr>
      <w:r>
        <w:rPr>
          <w:b/>
          <w:bCs/>
        </w:rPr>
        <w:t xml:space="preserve">Example of SoNS-linked obligation (Act):</w:t>
      </w:r>
      <w:r>
        <w:t xml:space="preserve"> </w:t>
      </w:r>
      <w:r>
        <w:t xml:space="preserve">the Act sets out SoNS-related requirements around</w:t>
      </w:r>
      <w:r>
        <w:t xml:space="preserve"> </w:t>
      </w:r>
      <w:r>
        <w:rPr>
          <w:b/>
          <w:bCs/>
        </w:rPr>
        <w:t xml:space="preserve">incident response plans</w:t>
      </w:r>
      <w:r>
        <w:t xml:space="preserve"> </w:t>
      </w:r>
      <w:r>
        <w:t xml:space="preserve">(including compliance, review, update, and provision to the Secretary), and specifies that an incident response plan for a SoNS must relate to cyber security incidents and plan for responding to incidents with relevant impact. (</w:t>
      </w:r>
      <w:hyperlink r:id="rId53">
        <w:r>
          <w:rPr>
            <w:rStyle w:val="Hyperlink"/>
          </w:rPr>
          <w:t xml:space="preserve">Federal Register of Legislation</w:t>
        </w:r>
      </w:hyperlink>
      <w:r>
        <w:t xml:space="preserve">)</w:t>
      </w:r>
    </w:p>
    <w:bookmarkEnd w:id="64"/>
    <w:bookmarkEnd w:id="65"/>
    <w:bookmarkStart w:id="66" w:name="Xa45d356ef961c4d60b6824527809c1ba5b7b1af"/>
    <w:p>
      <w:pPr>
        <w:pStyle w:val="Heading2"/>
      </w:pPr>
      <w:r>
        <w:rPr>
          <w:b/>
          <w:bCs/>
        </w:rPr>
        <w:t xml:space="preserve">Grading / tiering schemes (what is explicit vs not)</w:t>
      </w:r>
    </w:p>
    <w:p>
      <w:pPr>
        <w:pStyle w:val="FirstParagraph"/>
      </w:pPr>
      <w:r>
        <w:rPr>
          <w:b/>
          <w:bCs/>
        </w:rPr>
        <w:t xml:space="preserve">What is explicit in instruments (evidentiary):</w:t>
      </w:r>
    </w:p>
    <w:p>
      <w:pPr>
        <w:pStyle w:val="Compact"/>
        <w:numPr>
          <w:ilvl w:val="0"/>
          <w:numId w:val="1047"/>
        </w:numPr>
      </w:pPr>
      <w:r>
        <w:rPr>
          <w:b/>
          <w:bCs/>
        </w:rPr>
        <w:t xml:space="preserve">Binary at the asset layer:</w:t>
      </w:r>
      <w:r>
        <w:t xml:space="preserve"> </w:t>
      </w:r>
      <w:r>
        <w:t xml:space="preserve">“critical hospital” is the health-sector CI asset class in the Act. (</w:t>
      </w:r>
      <w:hyperlink r:id="rId53">
        <w:r>
          <w:rPr>
            <w:rStyle w:val="Hyperlink"/>
          </w:rPr>
          <w:t xml:space="preserve">Federal Register of Legislation</w:t>
        </w:r>
      </w:hyperlink>
      <w:r>
        <w:t xml:space="preserve">)</w:t>
      </w:r>
    </w:p>
    <w:p>
      <w:pPr>
        <w:pStyle w:val="Compact"/>
        <w:numPr>
          <w:ilvl w:val="0"/>
          <w:numId w:val="1047"/>
        </w:numPr>
      </w:pPr>
      <w:r>
        <w:rPr>
          <w:b/>
          <w:bCs/>
        </w:rPr>
        <w:t xml:space="preserve">CIRMP step-up:</w:t>
      </w:r>
      <w:r>
        <w:t xml:space="preserve"> </w:t>
      </w:r>
      <w:r>
        <w:t xml:space="preserve">“designated hospital” is a defined subset, and the Rules explicitly apply Part 2A (CIRMP) to it. (</w:t>
      </w:r>
      <w:hyperlink r:id="rId54">
        <w:r>
          <w:rPr>
            <w:rStyle w:val="Hyperlink"/>
          </w:rPr>
          <w:t xml:space="preserve">Federal Register of Legislation</w:t>
        </w:r>
      </w:hyperlink>
      <w:r>
        <w:t xml:space="preserve">)</w:t>
      </w:r>
    </w:p>
    <w:p>
      <w:pPr>
        <w:pStyle w:val="Compact"/>
        <w:numPr>
          <w:ilvl w:val="0"/>
          <w:numId w:val="1047"/>
        </w:numPr>
      </w:pPr>
      <w:r>
        <w:rPr>
          <w:b/>
          <w:bCs/>
        </w:rPr>
        <w:t xml:space="preserve">Further step-up exists for SoNS:</w:t>
      </w:r>
      <w:r>
        <w:t xml:space="preserve"> </w:t>
      </w:r>
      <w:r>
        <w:t xml:space="preserve">the Act explicitly provides an additional layer of obligations under Part 2C for systems of national significance. (</w:t>
      </w:r>
      <w:hyperlink r:id="rId53">
        <w:r>
          <w:rPr>
            <w:rStyle w:val="Hyperlink"/>
          </w:rPr>
          <w:t xml:space="preserve">Federal Register of Legislation</w:t>
        </w:r>
      </w:hyperlink>
      <w:r>
        <w:t xml:space="preserve">)</w:t>
      </w:r>
    </w:p>
    <w:p>
      <w:pPr>
        <w:pStyle w:val="FirstParagraph"/>
      </w:pPr>
      <w:r>
        <w:rPr>
          <w:b/>
          <w:bCs/>
        </w:rPr>
        <w:t xml:space="preserve">What is</w:t>
      </w:r>
      <w:r>
        <w:rPr>
          <w:b/>
          <w:bCs/>
        </w:rPr>
        <w:t xml:space="preserve"> </w:t>
      </w:r>
      <w:r>
        <w:rPr>
          <w:b/>
          <w:bCs/>
          <w:i/>
          <w:iCs/>
        </w:rPr>
        <w:t xml:space="preserve">not</w:t>
      </w:r>
      <w:r>
        <w:rPr>
          <w:b/>
          <w:bCs/>
        </w:rPr>
        <w:t xml:space="preserve"> </w:t>
      </w:r>
      <w:r>
        <w:rPr>
          <w:b/>
          <w:bCs/>
        </w:rPr>
        <w:t xml:space="preserve">explicit (and should not be asserted as fact):</w:t>
      </w:r>
    </w:p>
    <w:p>
      <w:pPr>
        <w:pStyle w:val="Compact"/>
        <w:numPr>
          <w:ilvl w:val="0"/>
          <w:numId w:val="1048"/>
        </w:numPr>
      </w:pPr>
      <w:r>
        <w:t xml:space="preserve">The law does</w:t>
      </w:r>
      <w:r>
        <w:t xml:space="preserve"> </w:t>
      </w:r>
      <w:r>
        <w:rPr>
          <w:b/>
          <w:bCs/>
        </w:rPr>
        <w:t xml:space="preserve">not</w:t>
      </w:r>
      <w:r>
        <w:t xml:space="preserve"> </w:t>
      </w:r>
      <w:r>
        <w:t xml:space="preserve">publish a universal “Tier 1/2/3” label scheme for hospitals; any “tiering” language is a</w:t>
      </w:r>
      <w:r>
        <w:t xml:space="preserve"> </w:t>
      </w:r>
      <w:r>
        <w:rPr>
          <w:b/>
          <w:bCs/>
        </w:rPr>
        <w:t xml:space="preserve">presentation convenience</w:t>
      </w:r>
      <w:r>
        <w:t xml:space="preserve"> </w:t>
      </w:r>
      <w:r>
        <w:t xml:space="preserve">rather than a statutory classification.</w:t>
      </w:r>
    </w:p>
    <w:bookmarkEnd w:id="66"/>
    <w:bookmarkStart w:id="67" w:name="X7717c1ac35d4446cdc15013c0efc8b211a1e529"/>
    <w:p>
      <w:pPr>
        <w:pStyle w:val="Heading2"/>
      </w:pPr>
      <w:r>
        <w:rPr>
          <w:b/>
          <w:bCs/>
        </w:rPr>
        <w:t xml:space="preserve">Health information systems most likely treated as “high criticality” in practice</w:t>
      </w:r>
    </w:p>
    <w:p>
      <w:pPr>
        <w:pStyle w:val="FirstParagraph"/>
      </w:pPr>
      <w:r>
        <w:rPr>
          <w:b/>
          <w:bCs/>
        </w:rPr>
        <w:t xml:space="preserve">Interpretation (not a direct statutory list):</w:t>
      </w:r>
      <w:r>
        <w:t xml:space="preserve"> </w:t>
      </w:r>
      <w:r>
        <w:t xml:space="preserve">The SOCI framework designates</w:t>
      </w:r>
      <w:r>
        <w:t xml:space="preserve"> </w:t>
      </w:r>
      <w:r>
        <w:rPr>
          <w:b/>
          <w:bCs/>
        </w:rPr>
        <w:t xml:space="preserve">assets (hospitals / SoNS systems)</w:t>
      </w:r>
      <w:r>
        <w:t xml:space="preserve"> </w:t>
      </w:r>
      <w:r>
        <w:t xml:space="preserve">rather than enumerating specific hospital IT systems. However, the</w:t>
      </w:r>
      <w:r>
        <w:t xml:space="preserve"> </w:t>
      </w:r>
      <w:r>
        <w:rPr>
          <w:b/>
          <w:bCs/>
        </w:rPr>
        <w:t xml:space="preserve">CIRMP Rules</w:t>
      </w:r>
      <w:r>
        <w:t xml:space="preserve"> </w:t>
      </w:r>
      <w:r>
        <w:t xml:space="preserve">define</w:t>
      </w:r>
      <w:r>
        <w:t xml:space="preserve"> </w:t>
      </w:r>
      <w:r>
        <w:rPr>
          <w:b/>
          <w:bCs/>
        </w:rPr>
        <w:t xml:space="preserve">“cyber and information security hazard”</w:t>
      </w:r>
      <w:r>
        <w:t xml:space="preserve"> </w:t>
      </w:r>
      <w:r>
        <w:t xml:space="preserve">in terms of improper access/misuse of information or computer systems related to the CI asset, or use of computer systems to obtain unauthorised control/access that might impair functioning. (</w:t>
      </w:r>
      <w:hyperlink r:id="rId54">
        <w:r>
          <w:rPr>
            <w:rStyle w:val="Hyperlink"/>
          </w:rPr>
          <w:t xml:space="preserve">Federal Register of Legislation</w:t>
        </w:r>
      </w:hyperlink>
      <w:r>
        <w:t xml:space="preserve">)</w:t>
      </w:r>
      <w:r>
        <w:t xml:space="preserve"> </w:t>
      </w:r>
      <w:r>
        <w:rPr>
          <w:b/>
          <w:bCs/>
        </w:rPr>
        <w:t xml:space="preserve">Interpretation (supported by the obligation scope above):</w:t>
      </w:r>
      <w:r>
        <w:t xml:space="preserve"> </w:t>
      </w:r>
      <w:r>
        <w:t xml:space="preserve">for</w:t>
      </w:r>
      <w:r>
        <w:t xml:space="preserve"> </w:t>
      </w:r>
      <w:r>
        <w:rPr>
          <w:b/>
          <w:bCs/>
        </w:rPr>
        <w:t xml:space="preserve">critical hospitals / designated hospitals</w:t>
      </w:r>
      <w:r>
        <w:t xml:space="preserve">, systems that are tightly coupled to delivering the hospital’s critical functions (and whose compromise would plausibly “impair its proper functioning”) are the ones most likely to be operationally prioritised under CIRMP cyber/information security hazards (e.g., core clinical and operational platforms). (</w:t>
      </w:r>
      <w:hyperlink r:id="rId54">
        <w:r>
          <w:rPr>
            <w:rStyle w:val="Hyperlink"/>
          </w:rPr>
          <w:t xml:space="preserve">Federal Register of Legislation</w:t>
        </w:r>
      </w:hyperlink>
      <w:r>
        <w:t xml:space="preserve">)</w:t>
      </w:r>
      <w:r>
        <w:t xml:space="preserve"> </w:t>
      </w:r>
      <w:r>
        <w:rPr>
          <w:b/>
          <w:bCs/>
        </w:rPr>
        <w:t xml:space="preserve">Additional evidentiary hook (Rules):</w:t>
      </w:r>
      <w:r>
        <w:t xml:space="preserve"> </w:t>
      </w:r>
      <w:r>
        <w:t xml:space="preserve">the Rules explicitly note that</w:t>
      </w:r>
      <w:r>
        <w:t xml:space="preserve"> </w:t>
      </w:r>
      <w:r>
        <w:rPr>
          <w:b/>
          <w:bCs/>
        </w:rPr>
        <w:t xml:space="preserve">a data storage system</w:t>
      </w:r>
      <w:r>
        <w:t xml:space="preserve"> </w:t>
      </w:r>
      <w:r>
        <w:t xml:space="preserve">meeting requirements under</w:t>
      </w:r>
      <w:r>
        <w:t xml:space="preserve"> </w:t>
      </w:r>
      <w:r>
        <w:rPr>
          <w:b/>
          <w:bCs/>
        </w:rPr>
        <w:t xml:space="preserve">subsection 9(7) of the Act</w:t>
      </w:r>
      <w:r>
        <w:t xml:space="preserve"> </w:t>
      </w:r>
      <w:r>
        <w:t xml:space="preserve">for an in-scope CI asset is</w:t>
      </w:r>
      <w:r>
        <w:t xml:space="preserve"> </w:t>
      </w:r>
      <w:r>
        <w:rPr>
          <w:b/>
          <w:bCs/>
        </w:rPr>
        <w:t xml:space="preserve">taken to be part of the CI asset</w:t>
      </w:r>
      <w:r>
        <w:t xml:space="preserve">, and include “material risk” examples referencing impacts to ICT/OT and to</w:t>
      </w:r>
      <w:r>
        <w:t xml:space="preserve"> </w:t>
      </w:r>
      <w:r>
        <w:rPr>
          <w:b/>
          <w:bCs/>
        </w:rPr>
        <w:t xml:space="preserve">data storage systems holding business critical data</w:t>
      </w:r>
      <w:r>
        <w:t xml:space="preserve">. (</w:t>
      </w:r>
      <w:hyperlink r:id="rId54">
        <w:r>
          <w:rPr>
            <w:rStyle w:val="Hyperlink"/>
          </w:rPr>
          <w:t xml:space="preserve">Federal Register of Legislation</w:t>
        </w:r>
      </w:hyperlink>
      <w:r>
        <w:t xml:space="preserve">)</w:t>
      </w:r>
    </w:p>
    <w:bookmarkEnd w:id="67"/>
    <w:bookmarkStart w:id="68" w:name="X91d08e0e020064bd510c8f25749f055f09f112b"/>
    <w:p>
      <w:pPr>
        <w:pStyle w:val="Heading2"/>
      </w:pPr>
      <w:r>
        <w:rPr>
          <w:b/>
          <w:bCs/>
        </w:rPr>
        <w:t xml:space="preserve">Public vs confidential (what is public, what is not)</w:t>
      </w:r>
    </w:p>
    <w:p>
      <w:pPr>
        <w:pStyle w:val="Compact"/>
        <w:numPr>
          <w:ilvl w:val="0"/>
          <w:numId w:val="1049"/>
        </w:numPr>
      </w:pPr>
      <w:r>
        <w:rPr>
          <w:b/>
          <w:bCs/>
        </w:rPr>
        <w:t xml:space="preserve">Public (criteria/instruments):</w:t>
      </w:r>
      <w:r>
        <w:t xml:space="preserve"> </w:t>
      </w:r>
      <w:r>
        <w:t xml:space="preserve">the Act and the CIRMP Rules (including the definition of “designated hospital” and the fact Schedule 1 exists) are published. (</w:t>
      </w:r>
      <w:hyperlink r:id="rId53">
        <w:r>
          <w:rPr>
            <w:rStyle w:val="Hyperlink"/>
          </w:rPr>
          <w:t xml:space="preserve">Federal Register of Legislation</w:t>
        </w:r>
      </w:hyperlink>
      <w:r>
        <w:t xml:space="preserve">)</w:t>
      </w:r>
    </w:p>
    <w:p>
      <w:pPr>
        <w:pStyle w:val="Compact"/>
        <w:numPr>
          <w:ilvl w:val="0"/>
          <w:numId w:val="1049"/>
        </w:numPr>
      </w:pPr>
      <w:r>
        <w:rPr>
          <w:b/>
          <w:bCs/>
        </w:rPr>
        <w:t xml:space="preserve">Register / lists not public (Act):</w:t>
      </w:r>
      <w:r>
        <w:t xml:space="preserve"> </w:t>
      </w:r>
      <w:r>
        <w:t xml:space="preserve">the Act provides that the Secretary must keep a Register and</w:t>
      </w:r>
      <w:r>
        <w:t xml:space="preserve"> </w:t>
      </w:r>
      <w:r>
        <w:rPr>
          <w:b/>
          <w:bCs/>
        </w:rPr>
        <w:t xml:space="preserve">“must ensure that the Register is not made public.”</w:t>
      </w:r>
      <w:r>
        <w:t xml:space="preserve"> </w:t>
      </w:r>
      <w:r>
        <w:t xml:space="preserve">(</w:t>
      </w:r>
      <w:hyperlink r:id="rId53">
        <w:r>
          <w:rPr>
            <w:rStyle w:val="Hyperlink"/>
          </w:rPr>
          <w:t xml:space="preserve">Federal Register of Legislation</w:t>
        </w:r>
      </w:hyperlink>
      <w:r>
        <w:t xml:space="preserve">)</w:t>
      </w:r>
    </w:p>
    <w:bookmarkEnd w:id="68"/>
    <w:bookmarkStart w:id="69" w:name="references-australia"/>
    <w:p>
      <w:pPr>
        <w:pStyle w:val="Heading2"/>
      </w:pPr>
      <w:r>
        <w:t xml:space="preserve">References (Australia)</w:t>
      </w:r>
    </w:p>
    <w:p>
      <w:pPr>
        <w:pStyle w:val="Compact"/>
        <w:numPr>
          <w:ilvl w:val="0"/>
          <w:numId w:val="1050"/>
        </w:numPr>
      </w:pPr>
      <w:r>
        <w:rPr>
          <w:b/>
          <w:bCs/>
        </w:rPr>
        <w:t xml:space="preserve">Australian Government — Federal Register of Legislation.</w:t>
      </w:r>
      <w:r>
        <w:t xml:space="preserve"> </w:t>
      </w:r>
      <w:r>
        <w:rPr>
          <w:i/>
          <w:iCs/>
        </w:rPr>
        <w:t xml:space="preserve">Security of Critical Infrastructure Act 2018</w:t>
      </w:r>
      <w:r>
        <w:t xml:space="preserve"> </w:t>
      </w:r>
      <w:r>
        <w:t xml:space="preserve">(Compilation incl. definitions of “critical hospital” and “general intensive care unit”; health-sector mapping; register confidentiality; Part 2B/2C structure; SoNS-related obligations). (</w:t>
      </w:r>
      <w:hyperlink r:id="rId53">
        <w:r>
          <w:rPr>
            <w:rStyle w:val="Hyperlink"/>
          </w:rPr>
          <w:t xml:space="preserve">Federal Register of Legislation</w:t>
        </w:r>
      </w:hyperlink>
      <w:r>
        <w:t xml:space="preserve">)</w:t>
      </w:r>
    </w:p>
    <w:p>
      <w:pPr>
        <w:pStyle w:val="Compact"/>
        <w:numPr>
          <w:ilvl w:val="0"/>
          <w:numId w:val="1050"/>
        </w:numPr>
      </w:pPr>
      <w:r>
        <w:rPr>
          <w:b/>
          <w:bCs/>
        </w:rPr>
        <w:t xml:space="preserve">Australian Government — Federal Register of Legislation.</w:t>
      </w:r>
      <w:r>
        <w:t xml:space="preserve"> </w:t>
      </w:r>
      <w:r>
        <w:rPr>
          <w:i/>
          <w:iCs/>
        </w:rPr>
        <w:t xml:space="preserve">Security of Critical Infrastructure (Critical infrastructure risk management program) Rules (LIN 23/006) 2023</w:t>
      </w:r>
      <w:r>
        <w:t xml:space="preserve"> </w:t>
      </w:r>
      <w:r>
        <w:t xml:space="preserve">(Compilation 04 Apr 2025: definition of “designated hospital”; Part 2A application to designated hospitals; definition of cyber/information security hazard; data storage system note; material risk examples). (</w:t>
      </w:r>
      <w:hyperlink r:id="rId54">
        <w:r>
          <w:rPr>
            <w:rStyle w:val="Hyperlink"/>
          </w:rPr>
          <w:t xml:space="preserve">Federal Register of Legislation</w:t>
        </w:r>
      </w:hyperlink>
      <w:r>
        <w:t xml:space="preserve">)</w:t>
      </w:r>
    </w:p>
    <w:p>
      <w:pPr>
        <w:sectPr>
          <w:footerReference w:type="first" r:id="rId13"/>
          <w:footerReference w:type="default" r:id="rId11"/>
          <w:footerReference w:type="even" r:id="rId10"/>
          <w:type w:val="nextPage"/>
        </w:sectPr>
      </w:pPr>
    </w:p>
    <w:bookmarkEnd w:id="69"/>
    <w:bookmarkEnd w:id="70"/>
    <w:bookmarkStart w:id="90" w:name="european-union-nis2"/>
    <w:p>
      <w:pPr>
        <w:pStyle w:val="Heading1"/>
      </w:pPr>
      <w:r>
        <w:t xml:space="preserve">EUROPEAN UNION (NIS2)</w:t>
      </w:r>
    </w:p>
    <w:bookmarkStart w:id="71" w:name="legal-basis"/>
    <w:p>
      <w:pPr>
        <w:pStyle w:val="Heading2"/>
      </w:pPr>
      <w:r>
        <w:rPr>
          <w:b/>
          <w:bCs/>
        </w:rPr>
        <w:t xml:space="preserve">Legal basis</w:t>
      </w:r>
    </w:p>
    <w:p>
      <w:pPr>
        <w:pStyle w:val="FirstParagraph"/>
      </w:pPr>
      <w:r>
        <w:rPr>
          <w:b/>
          <w:bCs/>
        </w:rPr>
        <w:t xml:space="preserve">Directive (EU) 2022/2555</w:t>
      </w:r>
      <w:r>
        <w:t xml:space="preserve"> </w:t>
      </w:r>
      <w:r>
        <w:t xml:space="preserve">on measures for a high common level of cybersecurity across the Union (“NIS2”). (</w:t>
      </w:r>
      <w:hyperlink r:id="rId53">
        <w:r>
          <w:rPr>
            <w:rStyle w:val="Hyperlink"/>
          </w:rPr>
          <w:t xml:space="preserve">EUR-Lex</w:t>
        </w:r>
      </w:hyperlink>
      <w:r>
        <w:t xml:space="preserve">)</w:t>
      </w:r>
    </w:p>
    <w:bookmarkEnd w:id="71"/>
    <w:bookmarkStart w:id="72" w:name="X352465eb03c93dc5c9007de375b3d384139b0f4"/>
    <w:p>
      <w:pPr>
        <w:pStyle w:val="Heading2"/>
      </w:pPr>
      <w:r>
        <w:rPr>
          <w:b/>
          <w:bCs/>
        </w:rPr>
        <w:t xml:space="preserve">Final Categories (what the Directive actually creates)</w:t>
      </w:r>
    </w:p>
    <w:bookmarkEnd w:id="72"/>
    <w:bookmarkStart w:id="73" w:name="essential-entities"/>
    <w:p>
      <w:pPr>
        <w:pStyle w:val="Heading2"/>
      </w:pPr>
      <w:r>
        <w:rPr>
          <w:b/>
          <w:bCs/>
        </w:rPr>
        <w:t xml:space="preserve">1) Essential entities</w:t>
      </w:r>
    </w:p>
    <w:p>
      <w:pPr>
        <w:pStyle w:val="FirstParagraph"/>
      </w:pPr>
      <w:r>
        <w:t xml:space="preserve">NIS2 defines</w:t>
      </w:r>
      <w:r>
        <w:t xml:space="preserve"> </w:t>
      </w:r>
      <w:r>
        <w:rPr>
          <w:b/>
          <w:bCs/>
        </w:rPr>
        <w:t xml:space="preserve">“essential entities”</w:t>
      </w:r>
      <w:r>
        <w:t xml:space="preserve"> </w:t>
      </w:r>
      <w:r>
        <w:t xml:space="preserve">in</w:t>
      </w:r>
      <w:r>
        <w:t xml:space="preserve"> </w:t>
      </w:r>
      <w:r>
        <w:rPr>
          <w:b/>
          <w:bCs/>
        </w:rPr>
        <w:t xml:space="preserve">Article 3(1)</w:t>
      </w:r>
      <w:r>
        <w:t xml:space="preserve"> </w:t>
      </w:r>
      <w:r>
        <w:t xml:space="preserve">(including Annex I entities above the “medium-sized” ceiling, plus several additional categories). (</w:t>
      </w:r>
      <w:hyperlink r:id="rId53">
        <w:r>
          <w:rPr>
            <w:rStyle w:val="Hyperlink"/>
          </w:rPr>
          <w:t xml:space="preserve">EUR-Lex</w:t>
        </w:r>
      </w:hyperlink>
      <w:r>
        <w:t xml:space="preserve">)</w:t>
      </w:r>
    </w:p>
    <w:bookmarkEnd w:id="73"/>
    <w:bookmarkStart w:id="74" w:name="important-entities"/>
    <w:p>
      <w:pPr>
        <w:pStyle w:val="Heading2"/>
      </w:pPr>
      <w:r>
        <w:rPr>
          <w:b/>
          <w:bCs/>
        </w:rPr>
        <w:t xml:space="preserve">2) Important entities</w:t>
      </w:r>
    </w:p>
    <w:p>
      <w:pPr>
        <w:pStyle w:val="FirstParagraph"/>
      </w:pPr>
      <w:r>
        <w:t xml:space="preserve">Entities in scope that</w:t>
      </w:r>
      <w:r>
        <w:t xml:space="preserve"> </w:t>
      </w:r>
      <w:r>
        <w:rPr>
          <w:b/>
          <w:bCs/>
        </w:rPr>
        <w:t xml:space="preserve">are not essential</w:t>
      </w:r>
      <w:r>
        <w:t xml:space="preserve"> </w:t>
      </w:r>
      <w:r>
        <w:t xml:space="preserve">are</w:t>
      </w:r>
      <w:r>
        <w:t xml:space="preserve"> </w:t>
      </w:r>
      <w:r>
        <w:rPr>
          <w:b/>
          <w:bCs/>
        </w:rPr>
        <w:t xml:space="preserve">“important entities”</w:t>
      </w:r>
      <w:r>
        <w:t xml:space="preserve"> </w:t>
      </w:r>
      <w:r>
        <w:t xml:space="preserve">under</w:t>
      </w:r>
      <w:r>
        <w:t xml:space="preserve"> </w:t>
      </w:r>
      <w:r>
        <w:rPr>
          <w:b/>
          <w:bCs/>
        </w:rPr>
        <w:t xml:space="preserve">Article 3(2)</w:t>
      </w:r>
      <w:r>
        <w:t xml:space="preserve">. (</w:t>
      </w:r>
      <w:hyperlink r:id="rId53">
        <w:r>
          <w:rPr>
            <w:rStyle w:val="Hyperlink"/>
          </w:rPr>
          <w:t xml:space="preserve">EUR-Lex</w:t>
        </w:r>
      </w:hyperlink>
      <w:r>
        <w:t xml:space="preserve">)</w:t>
      </w:r>
    </w:p>
    <w:bookmarkEnd w:id="74"/>
    <w:bookmarkStart w:id="75" w:name="exact-legal-regulatory-criteria"/>
    <w:p>
      <w:pPr>
        <w:pStyle w:val="Heading2"/>
      </w:pPr>
      <w:r>
        <w:rPr>
          <w:b/>
          <w:bCs/>
        </w:rPr>
        <w:t xml:space="preserve">Exact legal / regulatory criteria</w:t>
      </w:r>
    </w:p>
    <w:bookmarkEnd w:id="75"/>
    <w:bookmarkStart w:id="76" w:name="Xffdd3a48752ba1bddcba2824f27b0eb902fd9e3"/>
    <w:p>
      <w:pPr>
        <w:pStyle w:val="Heading2"/>
      </w:pPr>
      <w:r>
        <w:rPr>
          <w:b/>
          <w:bCs/>
        </w:rPr>
        <w:t xml:space="preserve">Step 1 — Is the entity in an Annex I or Annex II type?</w:t>
      </w:r>
    </w:p>
    <w:p>
      <w:pPr>
        <w:pStyle w:val="FirstParagraph"/>
      </w:pPr>
      <w:r>
        <w:t xml:space="preserve">NIS2 applies to</w:t>
      </w:r>
      <w:r>
        <w:t xml:space="preserve"> </w:t>
      </w:r>
      <w:r>
        <w:rPr>
          <w:b/>
          <w:bCs/>
        </w:rPr>
        <w:t xml:space="preserve">public or private entities of a type referred to in Annex I or II</w:t>
      </w:r>
      <w:r>
        <w:t xml:space="preserve"> </w:t>
      </w:r>
      <w:r>
        <w:t xml:space="preserve">(subject to the scope rules below). (</w:t>
      </w:r>
      <w:hyperlink r:id="rId53">
        <w:r>
          <w:rPr>
            <w:rStyle w:val="Hyperlink"/>
          </w:rPr>
          <w:t xml:space="preserve">EUR-Lex</w:t>
        </w:r>
      </w:hyperlink>
      <w:r>
        <w:t xml:space="preserve">)</w:t>
      </w:r>
    </w:p>
    <w:bookmarkEnd w:id="76"/>
    <w:bookmarkStart w:id="77" w:name="X5391f7824a6a9d70219ed82b7796efeede396e4"/>
    <w:p>
      <w:pPr>
        <w:pStyle w:val="Heading2"/>
      </w:pPr>
      <w:r>
        <w:rPr>
          <w:b/>
          <w:bCs/>
        </w:rPr>
        <w:t xml:space="preserve">Step 2 — Size-based scope rule (default rule)</w:t>
      </w:r>
    </w:p>
    <w:p>
      <w:pPr>
        <w:pStyle w:val="FirstParagraph"/>
      </w:pPr>
      <w:r>
        <w:t xml:space="preserve">By default, NIS2 applies to Annex I / Annex II entities that</w:t>
      </w:r>
      <w:r>
        <w:t xml:space="preserve"> </w:t>
      </w:r>
      <w:r>
        <w:rPr>
          <w:b/>
          <w:bCs/>
        </w:rPr>
        <w:t xml:space="preserve">qualify as medium-sized enterprises</w:t>
      </w:r>
      <w:r>
        <w:t xml:space="preserve"> </w:t>
      </w:r>
      <w:r>
        <w:t xml:space="preserve">(per EU SME Recommendation)</w:t>
      </w:r>
      <w:r>
        <w:t xml:space="preserve"> </w:t>
      </w:r>
      <w:r>
        <w:rPr>
          <w:b/>
          <w:bCs/>
        </w:rPr>
        <w:t xml:space="preserve">or exceed the medium-sized ceilings</w:t>
      </w:r>
      <w:r>
        <w:t xml:space="preserve">, and that provide services/carry out activities in the Union. (</w:t>
      </w:r>
      <w:hyperlink r:id="rId53">
        <w:r>
          <w:rPr>
            <w:rStyle w:val="Hyperlink"/>
          </w:rPr>
          <w:t xml:space="preserve">EUR-Lex</w:t>
        </w:r>
      </w:hyperlink>
      <w:r>
        <w:t xml:space="preserve">)</w:t>
      </w:r>
    </w:p>
    <w:bookmarkEnd w:id="77"/>
    <w:bookmarkStart w:id="78" w:name="Xd71178c39f59802aede37599e4fcd973c90d1a2"/>
    <w:p>
      <w:pPr>
        <w:pStyle w:val="Heading2"/>
      </w:pPr>
      <w:r>
        <w:rPr>
          <w:b/>
          <w:bCs/>
        </w:rPr>
        <w:t xml:space="preserve">Step 3 — “Regardless of size” triggers (explicit in Article 2(2)–(4))</w:t>
      </w:r>
    </w:p>
    <w:p>
      <w:pPr>
        <w:pStyle w:val="FirstParagraph"/>
      </w:pPr>
      <w:r>
        <w:t xml:space="preserve">Even if below the medium-sized threshold, the Directive</w:t>
      </w:r>
      <w:r>
        <w:t xml:space="preserve"> </w:t>
      </w:r>
      <w:r>
        <w:rPr>
          <w:b/>
          <w:bCs/>
        </w:rPr>
        <w:t xml:space="preserve">also applies regardless of size</w:t>
      </w:r>
      <w:r>
        <w:t xml:space="preserve"> </w:t>
      </w:r>
      <w:r>
        <w:t xml:space="preserve">to Annex I/II entities where (among others):</w:t>
      </w:r>
    </w:p>
    <w:p>
      <w:pPr>
        <w:pStyle w:val="Compact"/>
        <w:numPr>
          <w:ilvl w:val="0"/>
          <w:numId w:val="1051"/>
        </w:numPr>
      </w:pPr>
      <w:r>
        <w:t xml:space="preserve">the entity is the</w:t>
      </w:r>
      <w:r>
        <w:t xml:space="preserve"> </w:t>
      </w:r>
      <w:r>
        <w:rPr>
          <w:b/>
          <w:bCs/>
        </w:rPr>
        <w:t xml:space="preserve">sole provider</w:t>
      </w:r>
      <w:r>
        <w:t xml:space="preserve"> </w:t>
      </w:r>
      <w:r>
        <w:t xml:space="preserve">in a Member State of an essential service,</w:t>
      </w:r>
      <w:r>
        <w:t xml:space="preserve"> </w:t>
      </w:r>
      <w:r>
        <w:rPr>
          <w:b/>
          <w:bCs/>
        </w:rPr>
        <w:t xml:space="preserve">or</w:t>
      </w:r>
    </w:p>
    <w:p>
      <w:pPr>
        <w:pStyle w:val="Compact"/>
        <w:numPr>
          <w:ilvl w:val="0"/>
          <w:numId w:val="1051"/>
        </w:numPr>
      </w:pPr>
      <w:r>
        <w:t xml:space="preserve">disruption could have a</w:t>
      </w:r>
      <w:r>
        <w:t xml:space="preserve"> </w:t>
      </w:r>
      <w:r>
        <w:rPr>
          <w:b/>
          <w:bCs/>
        </w:rPr>
        <w:t xml:space="preserve">significant impact</w:t>
      </w:r>
      <w:r>
        <w:t xml:space="preserve"> </w:t>
      </w:r>
      <w:r>
        <w:t xml:space="preserve">on</w:t>
      </w:r>
      <w:r>
        <w:t xml:space="preserve"> </w:t>
      </w:r>
      <w:r>
        <w:rPr>
          <w:b/>
          <w:bCs/>
        </w:rPr>
        <w:t xml:space="preserve">public safety / public security / public health</w:t>
      </w:r>
      <w:r>
        <w:t xml:space="preserve">,</w:t>
      </w:r>
      <w:r>
        <w:t xml:space="preserve"> </w:t>
      </w:r>
      <w:r>
        <w:rPr>
          <w:b/>
          <w:bCs/>
        </w:rPr>
        <w:t xml:space="preserve">or</w:t>
      </w:r>
    </w:p>
    <w:p>
      <w:pPr>
        <w:pStyle w:val="Compact"/>
        <w:numPr>
          <w:ilvl w:val="0"/>
          <w:numId w:val="1051"/>
        </w:numPr>
      </w:pPr>
      <w:r>
        <w:t xml:space="preserve">disruption could induce a</w:t>
      </w:r>
      <w:r>
        <w:t xml:space="preserve"> </w:t>
      </w:r>
      <w:r>
        <w:rPr>
          <w:b/>
          <w:bCs/>
        </w:rPr>
        <w:t xml:space="preserve">significant systemic risk</w:t>
      </w:r>
      <w:r>
        <w:t xml:space="preserve"> </w:t>
      </w:r>
      <w:r>
        <w:t xml:space="preserve">(including cross-border impact),</w:t>
      </w:r>
      <w:r>
        <w:t xml:space="preserve"> </w:t>
      </w:r>
      <w:r>
        <w:rPr>
          <w:b/>
          <w:bCs/>
        </w:rPr>
        <w:t xml:space="preserve">or</w:t>
      </w:r>
    </w:p>
    <w:p>
      <w:pPr>
        <w:pStyle w:val="Compact"/>
        <w:numPr>
          <w:ilvl w:val="0"/>
          <w:numId w:val="1051"/>
        </w:numPr>
      </w:pPr>
      <w:r>
        <w:t xml:space="preserve">the entity is critical due to</w:t>
      </w:r>
      <w:r>
        <w:t xml:space="preserve"> </w:t>
      </w:r>
      <w:r>
        <w:rPr>
          <w:b/>
          <w:bCs/>
        </w:rPr>
        <w:t xml:space="preserve">specific importance at national/regional level</w:t>
      </w:r>
      <w:r>
        <w:t xml:space="preserve"> </w:t>
      </w:r>
      <w:r>
        <w:t xml:space="preserve">for a sector/service or interdependent sectors. (</w:t>
      </w:r>
      <w:hyperlink r:id="rId53">
        <w:r>
          <w:rPr>
            <w:rStyle w:val="Hyperlink"/>
          </w:rPr>
          <w:t xml:space="preserve">EUR-Lex</w:t>
        </w:r>
      </w:hyperlink>
      <w:r>
        <w:t xml:space="preserve">)</w:t>
      </w:r>
    </w:p>
    <w:p>
      <w:pPr>
        <w:pStyle w:val="FirstParagraph"/>
      </w:pPr>
      <w:r>
        <w:t xml:space="preserve">Also:</w:t>
      </w:r>
      <w:r>
        <w:t xml:space="preserve"> </w:t>
      </w:r>
      <w:r>
        <w:rPr>
          <w:b/>
          <w:bCs/>
        </w:rPr>
        <w:t xml:space="preserve">entities identified as critical entities under Directive (EU) 2022/2557</w:t>
      </w:r>
      <w:r>
        <w:t xml:space="preserve"> </w:t>
      </w:r>
      <w:r>
        <w:t xml:space="preserve">fall within scope regardless of size (Article 2(3)). (</w:t>
      </w:r>
      <w:hyperlink r:id="rId53">
        <w:r>
          <w:rPr>
            <w:rStyle w:val="Hyperlink"/>
          </w:rPr>
          <w:t xml:space="preserve">EUR-Lex</w:t>
        </w:r>
      </w:hyperlink>
      <w:r>
        <w:t xml:space="preserve">)</w:t>
      </w:r>
    </w:p>
    <w:bookmarkEnd w:id="78"/>
    <w:bookmarkStart w:id="79" w:name="X854a4352f0bee42423459f35a568a7b9b1e77b8"/>
    <w:p>
      <w:pPr>
        <w:pStyle w:val="Heading2"/>
      </w:pPr>
      <w:r>
        <w:rPr>
          <w:b/>
          <w:bCs/>
        </w:rPr>
        <w:t xml:space="preserve">Step 4 — Essential vs Important classification (Article 3)</w:t>
      </w:r>
    </w:p>
    <w:p>
      <w:pPr>
        <w:pStyle w:val="Compact"/>
        <w:numPr>
          <w:ilvl w:val="0"/>
          <w:numId w:val="1052"/>
        </w:numPr>
      </w:pPr>
      <w:r>
        <w:rPr>
          <w:b/>
          <w:bCs/>
        </w:rPr>
        <w:t xml:space="preserve">Essential</w:t>
      </w:r>
      <w:r>
        <w:t xml:space="preserve"> </w:t>
      </w:r>
      <w:r>
        <w:t xml:space="preserve">includes (a)</w:t>
      </w:r>
      <w:r>
        <w:t xml:space="preserve"> </w:t>
      </w:r>
      <w:r>
        <w:rPr>
          <w:b/>
          <w:bCs/>
        </w:rPr>
        <w:t xml:space="preserve">Annex I</w:t>
      </w:r>
      <w:r>
        <w:t xml:space="preserve"> </w:t>
      </w:r>
      <w:r>
        <w:t xml:space="preserve">entities that exceed the medium-size ceilings, plus other listed categories (and Member State identifications under Article 2(2)(b)–(e)). (</w:t>
      </w:r>
      <w:hyperlink r:id="rId53">
        <w:r>
          <w:rPr>
            <w:rStyle w:val="Hyperlink"/>
          </w:rPr>
          <w:t xml:space="preserve">EUR-Lex</w:t>
        </w:r>
      </w:hyperlink>
      <w:r>
        <w:t xml:space="preserve">)</w:t>
      </w:r>
    </w:p>
    <w:p>
      <w:pPr>
        <w:pStyle w:val="Compact"/>
        <w:numPr>
          <w:ilvl w:val="0"/>
          <w:numId w:val="1052"/>
        </w:numPr>
      </w:pPr>
      <w:r>
        <w:rPr>
          <w:b/>
          <w:bCs/>
        </w:rPr>
        <w:t xml:space="preserve">Important</w:t>
      </w:r>
      <w:r>
        <w:t xml:space="preserve"> </w:t>
      </w:r>
      <w:r>
        <w:t xml:space="preserve">= Annex I/II entities that are in scope but</w:t>
      </w:r>
      <w:r>
        <w:t xml:space="preserve"> </w:t>
      </w:r>
      <w:r>
        <w:rPr>
          <w:b/>
          <w:bCs/>
        </w:rPr>
        <w:t xml:space="preserve">do not qualify as essential</w:t>
      </w:r>
      <w:r>
        <w:t xml:space="preserve">. (</w:t>
      </w:r>
      <w:hyperlink r:id="rId53">
        <w:r>
          <w:rPr>
            <w:rStyle w:val="Hyperlink"/>
          </w:rPr>
          <w:t xml:space="preserve">EUR-Lex</w:t>
        </w:r>
      </w:hyperlink>
      <w:r>
        <w:t xml:space="preserve">)</w:t>
      </w:r>
    </w:p>
    <w:bookmarkEnd w:id="79"/>
    <w:bookmarkStart w:id="80" w:name="health-sector-coverage"/>
    <w:p>
      <w:pPr>
        <w:pStyle w:val="Heading2"/>
      </w:pPr>
      <w:r>
        <w:rPr>
          <w:b/>
          <w:bCs/>
        </w:rPr>
        <w:t xml:space="preserve">Health sector coverage</w:t>
      </w:r>
    </w:p>
    <w:bookmarkEnd w:id="80"/>
    <w:bookmarkStart w:id="81" w:name="annex-i-essential-sector-types-health"/>
    <w:p>
      <w:pPr>
        <w:pStyle w:val="Heading2"/>
      </w:pPr>
      <w:r>
        <w:rPr>
          <w:b/>
          <w:bCs/>
        </w:rPr>
        <w:t xml:space="preserve">Annex I (Essential-sector types) — Health</w:t>
      </w:r>
    </w:p>
    <w:p>
      <w:pPr>
        <w:pStyle w:val="FirstParagraph"/>
      </w:pPr>
      <w:r>
        <w:t xml:space="preserve">Annex I includes a</w:t>
      </w:r>
      <w:r>
        <w:t xml:space="preserve"> </w:t>
      </w:r>
      <w:r>
        <w:rPr>
          <w:b/>
          <w:bCs/>
        </w:rPr>
        <w:t xml:space="preserve">Health</w:t>
      </w:r>
      <w:r>
        <w:t xml:space="preserve"> </w:t>
      </w:r>
      <w:r>
        <w:t xml:space="preserve">sector with:</w:t>
      </w:r>
      <w:r>
        <w:t xml:space="preserve"> </w:t>
      </w:r>
      <w:r>
        <w:t xml:space="preserve">*</w:t>
      </w:r>
      <w:r>
        <w:t xml:space="preserve"> </w:t>
      </w:r>
      <w:r>
        <w:rPr>
          <w:b/>
          <w:bCs/>
        </w:rPr>
        <w:t xml:space="preserve">Health care providers</w:t>
      </w:r>
      <w:r>
        <w:t xml:space="preserve">, and</w:t>
      </w:r>
      <w:r>
        <w:t xml:space="preserve"> </w:t>
      </w:r>
      <w:r>
        <w:t xml:space="preserve">*</w:t>
      </w:r>
      <w:r>
        <w:t xml:space="preserve"> </w:t>
      </w:r>
      <w:r>
        <w:rPr>
          <w:b/>
          <w:bCs/>
        </w:rPr>
        <w:t xml:space="preserve">EU reference laboratories</w:t>
      </w:r>
      <w:r>
        <w:t xml:space="preserve">. (</w:t>
      </w:r>
      <w:hyperlink r:id="rId53">
        <w:r>
          <w:rPr>
            <w:rStyle w:val="Hyperlink"/>
          </w:rPr>
          <w:t xml:space="preserve">EUR-Lex</w:t>
        </w:r>
      </w:hyperlink>
      <w:r>
        <w:t xml:space="preserve">)</w:t>
      </w:r>
    </w:p>
    <w:bookmarkEnd w:id="81"/>
    <w:bookmarkStart w:id="82" w:name="X5aec389d9afed592eb4d6d6fee00eeb9d61ac8c"/>
    <w:p>
      <w:pPr>
        <w:pStyle w:val="Heading2"/>
      </w:pPr>
      <w:r>
        <w:rPr>
          <w:b/>
          <w:bCs/>
        </w:rPr>
        <w:t xml:space="preserve">Annex II (Important-sector types) — Health-adjacent manufacturing</w:t>
      </w:r>
    </w:p>
    <w:p>
      <w:pPr>
        <w:pStyle w:val="FirstParagraph"/>
      </w:pPr>
      <w:r>
        <w:t xml:space="preserve">Annex II includes manufacturing categories that cover (among others):</w:t>
      </w:r>
    </w:p>
    <w:p>
      <w:pPr>
        <w:pStyle w:val="Compact"/>
        <w:numPr>
          <w:ilvl w:val="0"/>
          <w:numId w:val="1053"/>
        </w:numPr>
      </w:pPr>
      <w:r>
        <w:rPr>
          <w:b/>
          <w:bCs/>
        </w:rPr>
        <w:t xml:space="preserve">medical devices</w:t>
      </w:r>
      <w:r>
        <w:t xml:space="preserve">,</w:t>
      </w:r>
    </w:p>
    <w:p>
      <w:pPr>
        <w:pStyle w:val="Compact"/>
        <w:numPr>
          <w:ilvl w:val="0"/>
          <w:numId w:val="1053"/>
        </w:numPr>
      </w:pPr>
      <w:r>
        <w:rPr>
          <w:b/>
          <w:bCs/>
        </w:rPr>
        <w:t xml:space="preserve">in vitro diagnostic medical devices</w:t>
      </w:r>
      <w:r>
        <w:t xml:space="preserve">, and</w:t>
      </w:r>
    </w:p>
    <w:p>
      <w:pPr>
        <w:pStyle w:val="Compact"/>
        <w:numPr>
          <w:ilvl w:val="0"/>
          <w:numId w:val="1053"/>
        </w:numPr>
      </w:pPr>
      <w:r>
        <w:rPr>
          <w:b/>
          <w:bCs/>
        </w:rPr>
        <w:t xml:space="preserve">medicinal products</w:t>
      </w:r>
      <w:r>
        <w:t xml:space="preserve">. (</w:t>
      </w:r>
      <w:hyperlink r:id="rId53">
        <w:r>
          <w:rPr>
            <w:rStyle w:val="Hyperlink"/>
          </w:rPr>
          <w:t xml:space="preserve">EUR-Lex</w:t>
        </w:r>
      </w:hyperlink>
      <w:r>
        <w:t xml:space="preserve">)</w:t>
      </w:r>
    </w:p>
    <w:p>
      <w:pPr>
        <w:pStyle w:val="BlockText"/>
      </w:pPr>
      <w:r>
        <w:rPr>
          <w:b/>
          <w:bCs/>
        </w:rPr>
        <w:t xml:space="preserve">Interpretation (explicitly marked):</w:t>
      </w:r>
      <w:r>
        <w:t xml:space="preserve"> </w:t>
      </w:r>
      <w:r>
        <w:t xml:space="preserve">NIS2’s legal “final categories” are</w:t>
      </w:r>
      <w:r>
        <w:t xml:space="preserve"> </w:t>
      </w:r>
      <w:r>
        <w:rPr>
          <w:b/>
          <w:bCs/>
        </w:rPr>
        <w:t xml:space="preserve">entity categories</w:t>
      </w:r>
      <w:r>
        <w:t xml:space="preserve"> </w:t>
      </w:r>
      <w:r>
        <w:t xml:space="preserve">(essential/important). It does</w:t>
      </w:r>
      <w:r>
        <w:t xml:space="preserve"> </w:t>
      </w:r>
      <w:r>
        <w:rPr>
          <w:b/>
          <w:bCs/>
        </w:rPr>
        <w:t xml:space="preserve">not</w:t>
      </w:r>
      <w:r>
        <w:t xml:space="preserve"> </w:t>
      </w:r>
      <w:r>
        <w:t xml:space="preserve">itself publish a list of “critical systems” in healthcare; instead it places obligations on the</w:t>
      </w:r>
      <w:r>
        <w:t xml:space="preserve"> </w:t>
      </w:r>
      <w:r>
        <w:rPr>
          <w:b/>
          <w:bCs/>
        </w:rPr>
        <w:t xml:space="preserve">in-scope entity</w:t>
      </w:r>
      <w:r>
        <w:t xml:space="preserve">, and those obligations practically attach to the network &amp; information systems used to provide the covered services.</w:t>
      </w:r>
    </w:p>
    <w:bookmarkEnd w:id="82"/>
    <w:bookmarkStart w:id="83" w:name="grading-tiering-schemes"/>
    <w:p>
      <w:pPr>
        <w:pStyle w:val="Heading2"/>
      </w:pPr>
      <w:r>
        <w:rPr>
          <w:b/>
          <w:bCs/>
        </w:rPr>
        <w:t xml:space="preserve">Grading / tiering schemes</w:t>
      </w:r>
    </w:p>
    <w:p>
      <w:pPr>
        <w:pStyle w:val="FirstParagraph"/>
      </w:pPr>
      <w:r>
        <w:t xml:space="preserve">NIS2’s formal structure is a</w:t>
      </w:r>
      <w:r>
        <w:t xml:space="preserve"> </w:t>
      </w:r>
      <w:r>
        <w:rPr>
          <w:b/>
          <w:bCs/>
        </w:rPr>
        <w:t xml:space="preserve">two-tier classification</w:t>
      </w:r>
      <w:r>
        <w:t xml:space="preserve">:</w:t>
      </w:r>
      <w:r>
        <w:t xml:space="preserve"> </w:t>
      </w:r>
      <w:r>
        <w:rPr>
          <w:b/>
          <w:bCs/>
        </w:rPr>
        <w:t xml:space="preserve">Essential</w:t>
      </w:r>
      <w:r>
        <w:t xml:space="preserve"> </w:t>
      </w:r>
      <w:r>
        <w:t xml:space="preserve">vs</w:t>
      </w:r>
      <w:r>
        <w:t xml:space="preserve"> </w:t>
      </w:r>
      <w:r>
        <w:rPr>
          <w:b/>
          <w:bCs/>
        </w:rPr>
        <w:t xml:space="preserve">Important</w:t>
      </w:r>
      <w:r>
        <w:t xml:space="preserve">. (</w:t>
      </w:r>
      <w:hyperlink r:id="rId53">
        <w:r>
          <w:rPr>
            <w:rStyle w:val="Hyperlink"/>
          </w:rPr>
          <w:t xml:space="preserve">EUR-Lex</w:t>
        </w:r>
      </w:hyperlink>
      <w:r>
        <w:t xml:space="preserve">)</w:t>
      </w:r>
      <w:r>
        <w:t xml:space="preserve"> </w:t>
      </w:r>
      <w:r>
        <w:t xml:space="preserve">It also contains</w:t>
      </w:r>
      <w:r>
        <w:t xml:space="preserve"> </w:t>
      </w:r>
      <w:r>
        <w:rPr>
          <w:b/>
          <w:bCs/>
        </w:rPr>
        <w:t xml:space="preserve">explicit “regardless of size” inclusion tests</w:t>
      </w:r>
      <w:r>
        <w:t xml:space="preserve"> </w:t>
      </w:r>
      <w:r>
        <w:t xml:space="preserve">(sole provider / public health impact / systemic risk / special national or regional importance), which function as legal “criticality overrides” for inclusion in scope. (</w:t>
      </w:r>
      <w:hyperlink r:id="rId53">
        <w:r>
          <w:rPr>
            <w:rStyle w:val="Hyperlink"/>
          </w:rPr>
          <w:t xml:space="preserve">EUR-Lex</w:t>
        </w:r>
      </w:hyperlink>
      <w:r>
        <w:t xml:space="preserve">)</w:t>
      </w:r>
    </w:p>
    <w:bookmarkEnd w:id="83"/>
    <w:bookmarkStart w:id="84" w:name="X5e5020af02d894ec38e126be41ae73d4e72acc1"/>
    <w:p>
      <w:pPr>
        <w:pStyle w:val="Heading2"/>
      </w:pPr>
      <w:r>
        <w:rPr>
          <w:b/>
          <w:bCs/>
        </w:rPr>
        <w:t xml:space="preserve">Incident reporting (exact timings in the Directive)</w:t>
      </w:r>
    </w:p>
    <w:p>
      <w:pPr>
        <w:pStyle w:val="FirstParagraph"/>
      </w:pPr>
      <w:r>
        <w:t xml:space="preserve">For</w:t>
      </w:r>
      <w:r>
        <w:t xml:space="preserve"> </w:t>
      </w:r>
      <w:r>
        <w:rPr>
          <w:b/>
          <w:bCs/>
        </w:rPr>
        <w:t xml:space="preserve">significant incidents</w:t>
      </w:r>
      <w:r>
        <w:t xml:space="preserve">, Member States must ensure entities submit:</w:t>
      </w:r>
    </w:p>
    <w:p>
      <w:pPr>
        <w:pStyle w:val="Compact"/>
        <w:numPr>
          <w:ilvl w:val="0"/>
          <w:numId w:val="1054"/>
        </w:numPr>
      </w:pPr>
      <w:r>
        <w:rPr>
          <w:b/>
          <w:bCs/>
        </w:rPr>
        <w:t xml:space="preserve">Early warning</w:t>
      </w:r>
      <w:r>
        <w:t xml:space="preserve">:</w:t>
      </w:r>
      <w:r>
        <w:t xml:space="preserve"> </w:t>
      </w:r>
      <w:r>
        <w:rPr>
          <w:b/>
          <w:bCs/>
        </w:rPr>
        <w:t xml:space="preserve">within 24 hours</w:t>
      </w:r>
      <w:r>
        <w:t xml:space="preserve"> </w:t>
      </w:r>
      <w:r>
        <w:t xml:space="preserve">of becoming aware. (</w:t>
      </w:r>
      <w:hyperlink r:id="rId53">
        <w:r>
          <w:rPr>
            <w:rStyle w:val="Hyperlink"/>
          </w:rPr>
          <w:t xml:space="preserve">EUR-Lex</w:t>
        </w:r>
      </w:hyperlink>
      <w:r>
        <w:t xml:space="preserve">)</w:t>
      </w:r>
    </w:p>
    <w:p>
      <w:pPr>
        <w:pStyle w:val="Compact"/>
        <w:numPr>
          <w:ilvl w:val="0"/>
          <w:numId w:val="1054"/>
        </w:numPr>
      </w:pPr>
      <w:r>
        <w:rPr>
          <w:b/>
          <w:bCs/>
        </w:rPr>
        <w:t xml:space="preserve">Incident notification</w:t>
      </w:r>
      <w:r>
        <w:t xml:space="preserve">:</w:t>
      </w:r>
      <w:r>
        <w:t xml:space="preserve"> </w:t>
      </w:r>
      <w:r>
        <w:rPr>
          <w:b/>
          <w:bCs/>
        </w:rPr>
        <w:t xml:space="preserve">within 72 hours</w:t>
      </w:r>
      <w:r>
        <w:t xml:space="preserve"> </w:t>
      </w:r>
      <w:r>
        <w:t xml:space="preserve">of becoming aware. (</w:t>
      </w:r>
      <w:hyperlink r:id="rId53">
        <w:r>
          <w:rPr>
            <w:rStyle w:val="Hyperlink"/>
          </w:rPr>
          <w:t xml:space="preserve">EUR-Lex</w:t>
        </w:r>
      </w:hyperlink>
      <w:r>
        <w:t xml:space="preserve">)</w:t>
      </w:r>
    </w:p>
    <w:p>
      <w:pPr>
        <w:pStyle w:val="Compact"/>
        <w:numPr>
          <w:ilvl w:val="0"/>
          <w:numId w:val="1054"/>
        </w:numPr>
      </w:pPr>
      <w:r>
        <w:rPr>
          <w:b/>
          <w:bCs/>
        </w:rPr>
        <w:t xml:space="preserve">Final report</w:t>
      </w:r>
      <w:r>
        <w:t xml:space="preserve">:</w:t>
      </w:r>
      <w:r>
        <w:t xml:space="preserve"> </w:t>
      </w:r>
      <w:r>
        <w:rPr>
          <w:b/>
          <w:bCs/>
        </w:rPr>
        <w:t xml:space="preserve">no later than one month</w:t>
      </w:r>
      <w:r>
        <w:t xml:space="preserve"> </w:t>
      </w:r>
      <w:r>
        <w:t xml:space="preserve">after the incident notification (with additional progress/final timing for ongoing incidents). (</w:t>
      </w:r>
      <w:hyperlink r:id="rId53">
        <w:r>
          <w:rPr>
            <w:rStyle w:val="Hyperlink"/>
          </w:rPr>
          <w:t xml:space="preserve">EUR-Lex</w:t>
        </w:r>
      </w:hyperlink>
      <w:r>
        <w:t xml:space="preserve">)</w:t>
      </w:r>
    </w:p>
    <w:p>
      <w:pPr>
        <w:pStyle w:val="FirstParagraph"/>
      </w:pPr>
      <w:r>
        <w:t xml:space="preserve">NIS2 also contains a clause allowing authorities, after consulting the entity, to</w:t>
      </w:r>
      <w:r>
        <w:t xml:space="preserve"> </w:t>
      </w:r>
      <w:r>
        <w:rPr>
          <w:b/>
          <w:bCs/>
        </w:rPr>
        <w:t xml:space="preserve">inform the public</w:t>
      </w:r>
      <w:r>
        <w:t xml:space="preserve"> </w:t>
      </w:r>
      <w:r>
        <w:t xml:space="preserve">or require the entity to do so where public awareness is necessary / in the public interest. (</w:t>
      </w:r>
      <w:hyperlink r:id="rId53">
        <w:r>
          <w:rPr>
            <w:rStyle w:val="Hyperlink"/>
          </w:rPr>
          <w:t xml:space="preserve">EUR-Lex</w:t>
        </w:r>
      </w:hyperlink>
      <w:r>
        <w:t xml:space="preserve">)</w:t>
      </w:r>
    </w:p>
    <w:bookmarkEnd w:id="84"/>
    <w:bookmarkStart w:id="85" w:name="X2306256eb34684af1ced2ff16267579bbd59fcc"/>
    <w:p>
      <w:pPr>
        <w:pStyle w:val="Heading2"/>
      </w:pPr>
      <w:r>
        <w:rPr>
          <w:b/>
          <w:bCs/>
        </w:rPr>
        <w:t xml:space="preserve">Lists and transparency (what is mandated vs not mandated)</w:t>
      </w:r>
    </w:p>
    <w:bookmarkEnd w:id="85"/>
    <w:bookmarkStart w:id="86" w:name="list-requirement-mandated"/>
    <w:p>
      <w:pPr>
        <w:pStyle w:val="Heading2"/>
      </w:pPr>
      <w:r>
        <w:rPr>
          <w:b/>
          <w:bCs/>
        </w:rPr>
        <w:t xml:space="preserve">List requirement (mandated)</w:t>
      </w:r>
    </w:p>
    <w:p>
      <w:pPr>
        <w:pStyle w:val="FirstParagraph"/>
      </w:pPr>
      <w:r>
        <w:t xml:space="preserve">By</w:t>
      </w:r>
      <w:r>
        <w:t xml:space="preserve"> </w:t>
      </w:r>
      <w:r>
        <w:rPr>
          <w:b/>
          <w:bCs/>
        </w:rPr>
        <w:t xml:space="preserve">17 April 2025</w:t>
      </w:r>
      <w:r>
        <w:t xml:space="preserve">, Member States must</w:t>
      </w:r>
      <w:r>
        <w:t xml:space="preserve"> </w:t>
      </w:r>
      <w:r>
        <w:rPr>
          <w:b/>
          <w:bCs/>
        </w:rPr>
        <w:t xml:space="preserve">establish a list</w:t>
      </w:r>
      <w:r>
        <w:t xml:space="preserve"> </w:t>
      </w:r>
      <w:r>
        <w:t xml:space="preserve">of essential and important entities (and review/update at least every two years). (</w:t>
      </w:r>
      <w:hyperlink r:id="rId53">
        <w:r>
          <w:rPr>
            <w:rStyle w:val="Hyperlink"/>
          </w:rPr>
          <w:t xml:space="preserve">EUR-Lex</w:t>
        </w:r>
      </w:hyperlink>
      <w:r>
        <w:t xml:space="preserve">)</w:t>
      </w:r>
      <w:r>
        <w:t xml:space="preserve"> </w:t>
      </w:r>
      <w:r>
        <w:t xml:space="preserve">Entities must submit minimum identifying information (name, address/contact, sector/subsector, Member States where services are provided). (</w:t>
      </w:r>
      <w:hyperlink r:id="rId53">
        <w:r>
          <w:rPr>
            <w:rStyle w:val="Hyperlink"/>
          </w:rPr>
          <w:t xml:space="preserve">EUR-Lex</w:t>
        </w:r>
      </w:hyperlink>
      <w:r>
        <w:t xml:space="preserve">)</w:t>
      </w:r>
    </w:p>
    <w:bookmarkEnd w:id="86"/>
    <w:bookmarkStart w:id="87" w:name="Xd067785d0fe380d0bec469c6572859b30d75f5e"/>
    <w:p>
      <w:pPr>
        <w:pStyle w:val="Heading2"/>
      </w:pPr>
      <w:r>
        <w:rPr>
          <w:b/>
          <w:bCs/>
        </w:rPr>
        <w:t xml:space="preserve">Publication of the list (not mandated in the text shown)</w:t>
      </w:r>
    </w:p>
    <w:p>
      <w:pPr>
        <w:pStyle w:val="FirstParagraph"/>
      </w:pPr>
      <w:r>
        <w:t xml:space="preserve">In the provisions cited above, NIS2</w:t>
      </w:r>
      <w:r>
        <w:t xml:space="preserve"> </w:t>
      </w:r>
      <w:r>
        <w:rPr>
          <w:b/>
          <w:bCs/>
        </w:rPr>
        <w:t xml:space="preserve">requires a list to exist</w:t>
      </w:r>
      <w:r>
        <w:t xml:space="preserve"> </w:t>
      </w:r>
      <w:r>
        <w:t xml:space="preserve">and prescribes information flows (including statistical reporting to the Commission), but it does</w:t>
      </w:r>
      <w:r>
        <w:t xml:space="preserve"> </w:t>
      </w:r>
      <w:r>
        <w:rPr>
          <w:b/>
          <w:bCs/>
        </w:rPr>
        <w:t xml:space="preserve">not</w:t>
      </w:r>
      <w:r>
        <w:t xml:space="preserve"> </w:t>
      </w:r>
      <w:r>
        <w:t xml:space="preserve">state that Member States must publish a public registry. (</w:t>
      </w:r>
      <w:hyperlink r:id="rId53">
        <w:r>
          <w:rPr>
            <w:rStyle w:val="Hyperlink"/>
          </w:rPr>
          <w:t xml:space="preserve">EUR-Lex</w:t>
        </w:r>
      </w:hyperlink>
      <w:r>
        <w:t xml:space="preserve">)</w:t>
      </w:r>
      <w:r>
        <w:t xml:space="preserve"> </w:t>
      </w:r>
      <w:r>
        <w:t xml:space="preserve">It also explicitly addresses confidentiality constraints on information exchange (confidential business information, etc.). (</w:t>
      </w:r>
      <w:hyperlink r:id="rId53">
        <w:r>
          <w:rPr>
            <w:rStyle w:val="Hyperlink"/>
          </w:rPr>
          <w:t xml:space="preserve">EUR-Lex</w:t>
        </w:r>
      </w:hyperlink>
      <w:r>
        <w:t xml:space="preserve">)</w:t>
      </w:r>
    </w:p>
    <w:bookmarkEnd w:id="87"/>
    <w:bookmarkStart w:id="88" w:name="X121dee177e35351475819dd3e069fed507a921f"/>
    <w:p>
      <w:pPr>
        <w:pStyle w:val="Heading2"/>
      </w:pPr>
      <w:r>
        <w:rPr>
          <w:b/>
          <w:bCs/>
        </w:rPr>
        <w:t xml:space="preserve">Interpretation: mapping to “health information systems most likely classified”</w:t>
      </w:r>
    </w:p>
    <w:p>
      <w:pPr>
        <w:pStyle w:val="FirstParagraph"/>
      </w:pPr>
      <w:r>
        <w:rPr>
          <w:i/>
          <w:iCs/>
        </w:rPr>
        <w:t xml:space="preserve">(These are examples to help operationalize the entity-scoped law; they are</w:t>
      </w:r>
      <w:r>
        <w:rPr>
          <w:i/>
          <w:iCs/>
        </w:rPr>
        <w:t xml:space="preserve"> </w:t>
      </w:r>
      <w:r>
        <w:rPr>
          <w:b/>
          <w:bCs/>
          <w:i/>
          <w:iCs/>
        </w:rPr>
        <w:t xml:space="preserve">not</w:t>
      </w:r>
      <w:r>
        <w:rPr>
          <w:i/>
          <w:iCs/>
        </w:rPr>
        <w:t xml:space="preserve"> </w:t>
      </w:r>
      <w:r>
        <w:rPr>
          <w:i/>
          <w:iCs/>
        </w:rPr>
        <w:t xml:space="preserve">lists from NIS2 itself.)</w:t>
      </w:r>
      <w:r>
        <w:t xml:space="preserve"> </w:t>
      </w:r>
      <w:r>
        <w:t xml:space="preserve">If a</w:t>
      </w:r>
      <w:r>
        <w:t xml:space="preserve"> </w:t>
      </w:r>
      <w:r>
        <w:rPr>
          <w:b/>
          <w:bCs/>
        </w:rPr>
        <w:t xml:space="preserve">hospital / clinic / health care provider</w:t>
      </w:r>
      <w:r>
        <w:t xml:space="preserve"> </w:t>
      </w:r>
      <w:r>
        <w:t xml:space="preserve">is in-scope as an essential/important entity, then systems typically implicated will include (as an operational matter): EHR/EMR platforms, PAS, ED/ICU/OR systems, LIS, RIS/PACS, pharmacy/medication systems, blood bank/transfusion systems, identity/access, and supporting infrastructure used to deliver the service.</w:t>
      </w:r>
      <w:r>
        <w:t xml:space="preserve"> </w:t>
      </w:r>
      <w:r>
        <w:t xml:space="preserve">If</w:t>
      </w:r>
      <w:r>
        <w:t xml:space="preserve"> </w:t>
      </w:r>
      <w:r>
        <w:rPr>
          <w:b/>
          <w:bCs/>
        </w:rPr>
        <w:t xml:space="preserve">EU reference laboratories</w:t>
      </w:r>
      <w:r>
        <w:t xml:space="preserve"> </w:t>
      </w:r>
      <w:r>
        <w:t xml:space="preserve">are in-scope, then their surveillance/diagnostic IT (e.g., LIMS and associated data flows) are the most obvious in-scope systems.</w:t>
      </w:r>
      <w:r>
        <w:t xml:space="preserve"> </w:t>
      </w:r>
      <w:r>
        <w:t xml:space="preserve">If</w:t>
      </w:r>
      <w:r>
        <w:t xml:space="preserve"> </w:t>
      </w:r>
      <w:r>
        <w:rPr>
          <w:b/>
          <w:bCs/>
        </w:rPr>
        <w:t xml:space="preserve">medical device / IVD / medicinal product manufacturers</w:t>
      </w:r>
      <w:r>
        <w:t xml:space="preserve"> </w:t>
      </w:r>
      <w:r>
        <w:t xml:space="preserve">are in-scope (Annex II), then manufacturing/quality systems and supporting enterprise IT used to produce/release products are the most obvious in-scope systems.</w:t>
      </w:r>
    </w:p>
    <w:bookmarkEnd w:id="88"/>
    <w:bookmarkStart w:id="89" w:name="references-european-union"/>
    <w:p>
      <w:pPr>
        <w:pStyle w:val="Heading2"/>
      </w:pPr>
      <w:r>
        <w:t xml:space="preserve">References (European Union)</w:t>
      </w:r>
    </w:p>
    <w:p>
      <w:pPr>
        <w:pStyle w:val="Compact"/>
        <w:numPr>
          <w:ilvl w:val="0"/>
          <w:numId w:val="1055"/>
        </w:numPr>
      </w:pPr>
      <w:r>
        <w:rPr>
          <w:b/>
          <w:bCs/>
        </w:rPr>
        <w:t xml:space="preserve">Directive (EU) 2022/2555 (NIS2 Directive)</w:t>
      </w:r>
      <w:r>
        <w:t xml:space="preserve"> </w:t>
      </w:r>
      <w:r>
        <w:t xml:space="preserve">— Official Journal of the European Union (EUR-Lex PDF). (</w:t>
      </w:r>
      <w:hyperlink r:id="rId53">
        <w:r>
          <w:rPr>
            <w:rStyle w:val="Hyperlink"/>
          </w:rPr>
          <w:t xml:space="preserve">EUR-Lex</w:t>
        </w:r>
      </w:hyperlink>
      <w:r>
        <w:t xml:space="preserve">)</w:t>
      </w:r>
    </w:p>
    <w:p>
      <w:pPr>
        <w:sectPr>
          <w:footerReference w:type="first" r:id="rId13"/>
          <w:footerReference w:type="default" r:id="rId11"/>
          <w:footerReference w:type="even" r:id="rId10"/>
          <w:type w:val="nextPage"/>
        </w:sectPr>
      </w:pPr>
    </w:p>
    <w:bookmarkEnd w:id="89"/>
    <w:bookmarkEnd w:id="90"/>
    <w:bookmarkStart w:id="103" w:name="canada"/>
    <w:p>
      <w:pPr>
        <w:pStyle w:val="Heading1"/>
      </w:pPr>
      <w:r>
        <w:t xml:space="preserve">CANADA</w:t>
      </w:r>
    </w:p>
    <w:bookmarkStart w:id="91" w:name="final-category-1"/>
    <w:p>
      <w:pPr>
        <w:pStyle w:val="Heading2"/>
      </w:pPr>
      <w:r>
        <w:t xml:space="preserve">Final category</w:t>
      </w:r>
    </w:p>
    <w:p>
      <w:pPr>
        <w:pStyle w:val="FirstParagraph"/>
      </w:pPr>
      <w:r>
        <w:t xml:space="preserve">Canada’s top-level framing for “critical / protected” health systems is</w:t>
      </w:r>
      <w:r>
        <w:t xml:space="preserve"> </w:t>
      </w:r>
      <w:r>
        <w:rPr>
          <w:b/>
          <w:bCs/>
        </w:rPr>
        <w:t xml:space="preserve">sector-based</w:t>
      </w:r>
      <w:r>
        <w:t xml:space="preserve">:</w:t>
      </w:r>
    </w:p>
    <w:p>
      <w:pPr>
        <w:pStyle w:val="Compact"/>
        <w:numPr>
          <w:ilvl w:val="0"/>
          <w:numId w:val="1056"/>
        </w:numPr>
      </w:pPr>
      <w:r>
        <w:rPr>
          <w:b/>
          <w:bCs/>
        </w:rPr>
        <w:t xml:space="preserve">Critical Infrastructure (CI) — “Health” sector</w:t>
      </w:r>
      <w:r>
        <w:t xml:space="preserve"> </w:t>
      </w:r>
      <w:r>
        <w:t xml:space="preserve">(one of</w:t>
      </w:r>
      <w:r>
        <w:t xml:space="preserve"> </w:t>
      </w:r>
      <w:r>
        <w:rPr>
          <w:b/>
          <w:bCs/>
        </w:rPr>
        <w:t xml:space="preserve">10</w:t>
      </w:r>
      <w:r>
        <w:t xml:space="preserve"> </w:t>
      </w:r>
      <w:r>
        <w:t xml:space="preserve">CI sectors in Canada’s National Strategy / Public Safety Canada CI framework). (</w:t>
      </w:r>
      <w:hyperlink r:id="rId53">
        <w:r>
          <w:rPr>
            <w:rStyle w:val="Hyperlink"/>
          </w:rPr>
          <w:t xml:space="preserve">Public Safety Canada</w:t>
        </w:r>
      </w:hyperlink>
      <w:r>
        <w:t xml:space="preserve">)</w:t>
      </w:r>
    </w:p>
    <w:p>
      <w:pPr>
        <w:pStyle w:val="Compact"/>
        <w:numPr>
          <w:ilvl w:val="0"/>
          <w:numId w:val="1056"/>
        </w:numPr>
      </w:pPr>
      <w:r>
        <w:rPr>
          <w:b/>
          <w:bCs/>
        </w:rPr>
        <w:t xml:space="preserve">Federally regulated “critical cyber systems” (designation-based obligations) — via Bill C-8 / proposed CCSPA framework</w:t>
      </w:r>
      <w:r>
        <w:t xml:space="preserve"> </w:t>
      </w:r>
      <w:r>
        <w:t xml:space="preserve">for</w:t>
      </w:r>
      <w:r>
        <w:t xml:space="preserve"> </w:t>
      </w:r>
      <w:r>
        <w:rPr>
          <w:b/>
          <w:bCs/>
        </w:rPr>
        <w:t xml:space="preserve">designated operators</w:t>
      </w:r>
      <w:r>
        <w:t xml:space="preserve"> </w:t>
      </w:r>
      <w:r>
        <w:t xml:space="preserve">of certain</w:t>
      </w:r>
      <w:r>
        <w:t xml:space="preserve"> </w:t>
      </w:r>
      <w:r>
        <w:rPr>
          <w:b/>
          <w:bCs/>
        </w:rPr>
        <w:t xml:space="preserve">vital services/systems</w:t>
      </w:r>
      <w:r>
        <w:t xml:space="preserve"> </w:t>
      </w:r>
      <w:r>
        <w:t xml:space="preserve">within Parliament’s jurisdiction (not a “health CI designation list,” but relevant to cross-cutting dependencies such as telecom, energy/pipelines, transport, banking/clearing). (</w:t>
      </w:r>
      <w:hyperlink r:id="rId54">
        <w:r>
          <w:rPr>
            <w:rStyle w:val="Hyperlink"/>
          </w:rPr>
          <w:t xml:space="preserve">Ministère de la Justice</w:t>
        </w:r>
      </w:hyperlink>
      <w:r>
        <w:t xml:space="preserve">)</w:t>
      </w:r>
    </w:p>
    <w:bookmarkEnd w:id="91"/>
    <w:bookmarkStart w:id="94" w:name="exact-legal-policy-criteria-used"/>
    <w:p>
      <w:pPr>
        <w:pStyle w:val="Heading2"/>
      </w:pPr>
      <w:r>
        <w:t xml:space="preserve">Exact legal / policy criteria used</w:t>
      </w:r>
    </w:p>
    <w:bookmarkStart w:id="92" w:name="X3fb5a32115d141dc58b02524caee3609e2ba10c"/>
    <w:p>
      <w:pPr>
        <w:pStyle w:val="Heading3"/>
      </w:pPr>
      <w:r>
        <w:t xml:space="preserve">A) National Critical Infrastructure (Public Safety Canada) — public definition + sector model</w:t>
      </w:r>
    </w:p>
    <w:p>
      <w:pPr>
        <w:pStyle w:val="FirstParagraph"/>
      </w:pPr>
      <w:r>
        <w:rPr>
          <w:b/>
          <w:bCs/>
        </w:rPr>
        <w:t xml:space="preserve">CI definition (public):</w:t>
      </w:r>
      <w:r>
        <w:t xml:space="preserve"> </w:t>
      </w:r>
      <w:r>
        <w:t xml:space="preserve">CI refers to “processes, systems, facilities, technologies, networks, assets and services” essential to Canadians’ health/safety/security/economic well-being and the effective functioning of government. (</w:t>
      </w:r>
      <w:hyperlink r:id="rId53">
        <w:r>
          <w:rPr>
            <w:rStyle w:val="Hyperlink"/>
          </w:rPr>
          <w:t xml:space="preserve">Public Safety Canada</w:t>
        </w:r>
      </w:hyperlink>
      <w:r>
        <w:t xml:space="preserve">)</w:t>
      </w:r>
    </w:p>
    <w:p>
      <w:pPr>
        <w:pStyle w:val="BodyText"/>
      </w:pPr>
      <w:r>
        <w:rPr>
          <w:b/>
          <w:bCs/>
        </w:rPr>
        <w:t xml:space="preserve">Sector list (public):</w:t>
      </w:r>
      <w:r>
        <w:t xml:space="preserve"> </w:t>
      </w:r>
      <w:r>
        <w:t xml:space="preserve">The National Strategy enumerates</w:t>
      </w:r>
      <w:r>
        <w:t xml:space="preserve"> </w:t>
      </w:r>
      <w:r>
        <w:rPr>
          <w:b/>
          <w:bCs/>
        </w:rPr>
        <w:t xml:space="preserve">ten CI sectors</w:t>
      </w:r>
      <w:r>
        <w:t xml:space="preserve">, explicitly including</w:t>
      </w:r>
      <w:r>
        <w:t xml:space="preserve"> </w:t>
      </w:r>
      <w:r>
        <w:rPr>
          <w:b/>
          <w:bCs/>
        </w:rPr>
        <w:t xml:space="preserve">Health</w:t>
      </w:r>
      <w:r>
        <w:t xml:space="preserve">. (</w:t>
      </w:r>
      <w:hyperlink r:id="rId53">
        <w:r>
          <w:rPr>
            <w:rStyle w:val="Hyperlink"/>
          </w:rPr>
          <w:t xml:space="preserve">Public Safety Canada</w:t>
        </w:r>
      </w:hyperlink>
      <w:r>
        <w:t xml:space="preserve">)</w:t>
      </w:r>
    </w:p>
    <w:p>
      <w:pPr>
        <w:pStyle w:val="BodyText"/>
      </w:pPr>
      <w:r>
        <w:rPr>
          <w:b/>
          <w:bCs/>
        </w:rPr>
        <w:t xml:space="preserve">How inclusion works (important):</w:t>
      </w:r>
      <w:r>
        <w:t xml:space="preserve"> </w:t>
      </w:r>
      <w:r>
        <w:t xml:space="preserve">This is a</w:t>
      </w:r>
      <w:r>
        <w:t xml:space="preserve"> </w:t>
      </w:r>
      <w:r>
        <w:rPr>
          <w:b/>
          <w:bCs/>
        </w:rPr>
        <w:t xml:space="preserve">resilience / partnership framework</w:t>
      </w:r>
      <w:r>
        <w:t xml:space="preserve">, not a single national law that publishes a universal, named list of “designated health information systems.” The Strategy emphasizes:</w:t>
      </w:r>
    </w:p>
    <w:p>
      <w:pPr>
        <w:pStyle w:val="Compact"/>
        <w:numPr>
          <w:ilvl w:val="0"/>
          <w:numId w:val="1057"/>
        </w:numPr>
      </w:pPr>
      <w:r>
        <w:rPr>
          <w:b/>
          <w:bCs/>
        </w:rPr>
        <w:t xml:space="preserve">shared responsibilities</w:t>
      </w:r>
      <w:r>
        <w:t xml:space="preserve"> </w:t>
      </w:r>
      <w:r>
        <w:t xml:space="preserve">across federal/provincial/territorial governments, local authorities, and owners/operators, with owners/operators bearing primary responsibility for protecting assets/services; (</w:t>
      </w:r>
      <w:hyperlink r:id="rId53">
        <w:r>
          <w:rPr>
            <w:rStyle w:val="Hyperlink"/>
          </w:rPr>
          <w:t xml:space="preserve">Public Safety Canada</w:t>
        </w:r>
      </w:hyperlink>
      <w:r>
        <w:t xml:space="preserve">)</w:t>
      </w:r>
    </w:p>
    <w:p>
      <w:pPr>
        <w:pStyle w:val="Compact"/>
        <w:numPr>
          <w:ilvl w:val="0"/>
          <w:numId w:val="1057"/>
        </w:numPr>
      </w:pPr>
      <w:r>
        <w:t xml:space="preserve">an</w:t>
      </w:r>
      <w:r>
        <w:t xml:space="preserve"> </w:t>
      </w:r>
      <w:r>
        <w:rPr>
          <w:b/>
          <w:bCs/>
        </w:rPr>
        <w:t xml:space="preserve">all-hazards risk management approach</w:t>
      </w:r>
      <w:r>
        <w:t xml:space="preserve"> </w:t>
      </w:r>
      <w:r>
        <w:t xml:space="preserve">and improved</w:t>
      </w:r>
      <w:r>
        <w:t xml:space="preserve"> </w:t>
      </w:r>
      <w:r>
        <w:rPr>
          <w:b/>
          <w:bCs/>
        </w:rPr>
        <w:t xml:space="preserve">information sharing/protection</w:t>
      </w:r>
      <w:r>
        <w:t xml:space="preserve"> </w:t>
      </w:r>
      <w:r>
        <w:t xml:space="preserve">among partners. (</w:t>
      </w:r>
      <w:hyperlink r:id="rId53">
        <w:r>
          <w:rPr>
            <w:rStyle w:val="Hyperlink"/>
          </w:rPr>
          <w:t xml:space="preserve">Public Safety Canada</w:t>
        </w:r>
      </w:hyperlink>
      <w:r>
        <w:t xml:space="preserve">)</w:t>
      </w:r>
    </w:p>
    <w:bookmarkEnd w:id="92"/>
    <w:bookmarkStart w:id="93" w:name="Xf1dfd33268a7f1b41f5fd539f0273f4d7201cab"/>
    <w:p>
      <w:pPr>
        <w:pStyle w:val="Heading3"/>
      </w:pPr>
      <w:r>
        <w:t xml:space="preserve">B) Federal designation-based cyber obligations (Bill C-8 / CCSPA concept)</w:t>
      </w:r>
    </w:p>
    <w:p>
      <w:pPr>
        <w:pStyle w:val="FirstParagraph"/>
      </w:pPr>
      <w:r>
        <w:rPr>
          <w:b/>
          <w:bCs/>
        </w:rPr>
        <w:t xml:space="preserve">What CCSPA would do (as described by Justice Canada):</w:t>
      </w:r>
    </w:p>
    <w:p>
      <w:pPr>
        <w:pStyle w:val="Compact"/>
        <w:numPr>
          <w:ilvl w:val="0"/>
          <w:numId w:val="1058"/>
        </w:numPr>
      </w:pPr>
      <w:r>
        <w:rPr>
          <w:b/>
          <w:bCs/>
        </w:rPr>
        <w:t xml:space="preserve">Part 2</w:t>
      </w:r>
      <w:r>
        <w:t xml:space="preserve"> </w:t>
      </w:r>
      <w:r>
        <w:t xml:space="preserve">would enact the</w:t>
      </w:r>
      <w:r>
        <w:t xml:space="preserve"> </w:t>
      </w:r>
      <w:r>
        <w:rPr>
          <w:b/>
          <w:bCs/>
        </w:rPr>
        <w:t xml:space="preserve">Critical Cyber Systems Protection Act (CCSPA)</w:t>
      </w:r>
      <w:r>
        <w:t xml:space="preserve"> </w:t>
      </w:r>
      <w:r>
        <w:t xml:space="preserve">to protect “critical cyber systems” supporting</w:t>
      </w:r>
      <w:r>
        <w:t xml:space="preserve"> </w:t>
      </w:r>
      <w:r>
        <w:rPr>
          <w:b/>
          <w:bCs/>
        </w:rPr>
        <w:t xml:space="preserve">vital services/systems</w:t>
      </w:r>
      <w:r>
        <w:t xml:space="preserve"> </w:t>
      </w:r>
      <w:r>
        <w:t xml:space="preserve">within Parliament’s jurisdiction that are vital to national security or public safety. (</w:t>
      </w:r>
      <w:hyperlink r:id="rId54">
        <w:r>
          <w:rPr>
            <w:rStyle w:val="Hyperlink"/>
          </w:rPr>
          <w:t xml:space="preserve">Ministère de la Justice</w:t>
        </w:r>
      </w:hyperlink>
      <w:r>
        <w:t xml:space="preserve">)</w:t>
      </w:r>
    </w:p>
    <w:p>
      <w:pPr>
        <w:pStyle w:val="Compact"/>
        <w:numPr>
          <w:ilvl w:val="0"/>
          <w:numId w:val="1058"/>
        </w:numPr>
      </w:pPr>
      <w:r>
        <w:t xml:space="preserve">It would authorize designation of</w:t>
      </w:r>
      <w:r>
        <w:t xml:space="preserve"> </w:t>
      </w:r>
      <w:r>
        <w:rPr>
          <w:b/>
          <w:bCs/>
        </w:rPr>
        <w:t xml:space="preserve">classes of operators (“designated operators”)</w:t>
      </w:r>
      <w:r>
        <w:t xml:space="preserve"> </w:t>
      </w:r>
      <w:r>
        <w:t xml:space="preserve">who own/control/operate critical cyber systems; these operators would have specified obligations. (</w:t>
      </w:r>
      <w:hyperlink r:id="rId54">
        <w:r>
          <w:rPr>
            <w:rStyle w:val="Hyperlink"/>
          </w:rPr>
          <w:t xml:space="preserve">Ministère de la Justice</w:t>
        </w:r>
      </w:hyperlink>
      <w:r>
        <w:t xml:space="preserve">)</w:t>
      </w:r>
    </w:p>
    <w:p>
      <w:pPr>
        <w:pStyle w:val="Compact"/>
        <w:numPr>
          <w:ilvl w:val="0"/>
          <w:numId w:val="1058"/>
        </w:numPr>
      </w:pPr>
      <w:r>
        <w:t xml:space="preserve">“Vital” systems/services initially include sectors such as</w:t>
      </w:r>
      <w:r>
        <w:t xml:space="preserve"> </w:t>
      </w:r>
      <w:r>
        <w:rPr>
          <w:b/>
          <w:bCs/>
        </w:rPr>
        <w:t xml:space="preserve">telecommunications</w:t>
      </w:r>
      <w:r>
        <w:t xml:space="preserve">,</w:t>
      </w:r>
      <w:r>
        <w:t xml:space="preserve"> </w:t>
      </w:r>
      <w:r>
        <w:rPr>
          <w:b/>
          <w:bCs/>
        </w:rPr>
        <w:t xml:space="preserve">pipelines/power lines</w:t>
      </w:r>
      <w:r>
        <w:t xml:space="preserve">,</w:t>
      </w:r>
      <w:r>
        <w:t xml:space="preserve"> </w:t>
      </w:r>
      <w:r>
        <w:rPr>
          <w:b/>
          <w:bCs/>
        </w:rPr>
        <w:t xml:space="preserve">nuclear energy</w:t>
      </w:r>
      <w:r>
        <w:t xml:space="preserve">,</w:t>
      </w:r>
      <w:r>
        <w:t xml:space="preserve"> </w:t>
      </w:r>
      <w:r>
        <w:rPr>
          <w:b/>
          <w:bCs/>
        </w:rPr>
        <w:t xml:space="preserve">transportation</w:t>
      </w:r>
      <w:r>
        <w:t xml:space="preserve">,</w:t>
      </w:r>
      <w:r>
        <w:t xml:space="preserve"> </w:t>
      </w:r>
      <w:r>
        <w:rPr>
          <w:b/>
          <w:bCs/>
        </w:rPr>
        <w:t xml:space="preserve">banking</w:t>
      </w:r>
      <w:r>
        <w:t xml:space="preserve"> </w:t>
      </w:r>
      <w:r>
        <w:t xml:space="preserve">and</w:t>
      </w:r>
      <w:r>
        <w:t xml:space="preserve"> </w:t>
      </w:r>
      <w:r>
        <w:rPr>
          <w:b/>
          <w:bCs/>
        </w:rPr>
        <w:t xml:space="preserve">clearing/settlement</w:t>
      </w:r>
      <w:r>
        <w:t xml:space="preserve">, with potential additions by Governor in Council. (</w:t>
      </w:r>
      <w:hyperlink r:id="rId54">
        <w:r>
          <w:rPr>
            <w:rStyle w:val="Hyperlink"/>
          </w:rPr>
          <w:t xml:space="preserve">Ministère de la Justice</w:t>
        </w:r>
      </w:hyperlink>
      <w:r>
        <w:t xml:space="preserve">)</w:t>
      </w:r>
    </w:p>
    <w:p>
      <w:pPr>
        <w:pStyle w:val="FirstParagraph"/>
      </w:pPr>
      <w:r>
        <w:rPr>
          <w:b/>
          <w:bCs/>
        </w:rPr>
        <w:t xml:space="preserve">Bill text purpose clause (primary text):</w:t>
      </w:r>
      <w:r>
        <w:t xml:space="preserve"> </w:t>
      </w:r>
      <w:r>
        <w:t xml:space="preserve">the purpose is to protect critical cyber systems to support continuity/security of vital services/systems, including managing cyber risks (incl. supply chain/third-party), protecting systems from compromise, detecting incidents, and minimizing impacts. (</w:t>
      </w:r>
      <w:hyperlink r:id="rId55">
        <w:r>
          <w:rPr>
            <w:rStyle w:val="Hyperlink"/>
          </w:rPr>
          <w:t xml:space="preserve">Parliament of Canada</w:t>
        </w:r>
      </w:hyperlink>
      <w:r>
        <w:t xml:space="preserve">)</w:t>
      </w:r>
    </w:p>
    <w:bookmarkEnd w:id="93"/>
    <w:bookmarkEnd w:id="94"/>
    <w:bookmarkStart w:id="95" w:name="grading-tiering-scheme"/>
    <w:p>
      <w:pPr>
        <w:pStyle w:val="Heading2"/>
      </w:pPr>
      <w:r>
        <w:t xml:space="preserve">Grading / tiering scheme</w:t>
      </w:r>
    </w:p>
    <w:p>
      <w:pPr>
        <w:pStyle w:val="FirstParagraph"/>
      </w:pPr>
      <w:r>
        <w:t xml:space="preserve">Canada’s CI model is primarily</w:t>
      </w:r>
      <w:r>
        <w:t xml:space="preserve"> </w:t>
      </w:r>
      <w:r>
        <w:rPr>
          <w:b/>
          <w:bCs/>
        </w:rPr>
        <w:t xml:space="preserve">sector-in-scope</w:t>
      </w:r>
      <w:r>
        <w:t xml:space="preserve"> </w:t>
      </w:r>
      <w:r>
        <w:t xml:space="preserve">(e.g., “Health” as a CI sector) rather than a published graded tiering of all health information systems. (</w:t>
      </w:r>
      <w:hyperlink r:id="rId53">
        <w:r>
          <w:rPr>
            <w:rStyle w:val="Hyperlink"/>
          </w:rPr>
          <w:t xml:space="preserve">Public Safety Canada</w:t>
        </w:r>
      </w:hyperlink>
      <w:r>
        <w:t xml:space="preserve">)</w:t>
      </w:r>
    </w:p>
    <w:p>
      <w:pPr>
        <w:pStyle w:val="BodyText"/>
      </w:pPr>
      <w:r>
        <w:t xml:space="preserve">Under the CCSPA approach (if enacted), the main “tier” is</w:t>
      </w:r>
      <w:r>
        <w:t xml:space="preserve"> </w:t>
      </w:r>
      <w:r>
        <w:rPr>
          <w:b/>
          <w:bCs/>
        </w:rPr>
        <w:t xml:space="preserve">designation status</w:t>
      </w:r>
      <w:r>
        <w:t xml:space="preserve">:</w:t>
      </w:r>
    </w:p>
    <w:p>
      <w:pPr>
        <w:pStyle w:val="Compact"/>
        <w:numPr>
          <w:ilvl w:val="0"/>
          <w:numId w:val="1059"/>
        </w:numPr>
      </w:pPr>
      <w:r>
        <w:rPr>
          <w:b/>
          <w:bCs/>
        </w:rPr>
        <w:t xml:space="preserve">designated operator</w:t>
      </w:r>
      <w:r>
        <w:t xml:space="preserve"> </w:t>
      </w:r>
      <w:r>
        <w:t xml:space="preserve">vs</w:t>
      </w:r>
      <w:r>
        <w:t xml:space="preserve"> </w:t>
      </w:r>
      <w:r>
        <w:rPr>
          <w:b/>
          <w:bCs/>
        </w:rPr>
        <w:t xml:space="preserve">non-designated operator</w:t>
      </w:r>
      <w:r>
        <w:t xml:space="preserve"> </w:t>
      </w:r>
      <w:r>
        <w:t xml:space="preserve">(federally regulated vital service/system operators). (</w:t>
      </w:r>
      <w:hyperlink r:id="rId54">
        <w:r>
          <w:rPr>
            <w:rStyle w:val="Hyperlink"/>
          </w:rPr>
          <w:t xml:space="preserve">Ministère de la Justice</w:t>
        </w:r>
      </w:hyperlink>
      <w:r>
        <w:t xml:space="preserve">)</w:t>
      </w:r>
    </w:p>
    <w:bookmarkEnd w:id="95"/>
    <w:bookmarkStart w:id="96" w:name="X3553fb1a4d5c5e8dab54cfdafdaa787dec7d7d1"/>
    <w:p>
      <w:pPr>
        <w:pStyle w:val="Heading2"/>
      </w:pPr>
      <w:r>
        <w:t xml:space="preserve">“Higher security” triggers relevant to health (what becomes critical in practice)</w:t>
      </w:r>
    </w:p>
    <w:p>
      <w:pPr>
        <w:pStyle w:val="FirstParagraph"/>
      </w:pPr>
      <w:r>
        <w:t xml:space="preserve">Because Canada’s national CI approach is sector + consequence + interdependency (rather than a single national list), the most “critical / higher-security” health systems are typically those whose disruption plausibly causes:</w:t>
      </w:r>
    </w:p>
    <w:p>
      <w:pPr>
        <w:pStyle w:val="Compact"/>
        <w:numPr>
          <w:ilvl w:val="0"/>
          <w:numId w:val="1060"/>
        </w:numPr>
      </w:pPr>
      <w:r>
        <w:rPr>
          <w:b/>
          <w:bCs/>
        </w:rPr>
        <w:t xml:space="preserve">loss of vital services</w:t>
      </w:r>
      <w:r>
        <w:t xml:space="preserve"> </w:t>
      </w:r>
      <w:r>
        <w:t xml:space="preserve">or</w:t>
      </w:r>
      <w:r>
        <w:t xml:space="preserve"> </w:t>
      </w:r>
      <w:r>
        <w:rPr>
          <w:b/>
          <w:bCs/>
        </w:rPr>
        <w:t xml:space="preserve">harm / loss of life</w:t>
      </w:r>
      <w:r>
        <w:t xml:space="preserve">, which Cyber Centre CI guidance highlights as potential CI impacts; (</w:t>
      </w:r>
      <w:hyperlink r:id="rId56">
        <w:r>
          <w:rPr>
            <w:rStyle w:val="Hyperlink"/>
          </w:rPr>
          <w:t xml:space="preserve">Canadian Centre for Cyber Security</w:t>
        </w:r>
      </w:hyperlink>
      <w:r>
        <w:t xml:space="preserve">)</w:t>
      </w:r>
    </w:p>
    <w:p>
      <w:pPr>
        <w:pStyle w:val="Compact"/>
        <w:numPr>
          <w:ilvl w:val="0"/>
          <w:numId w:val="1060"/>
        </w:numPr>
      </w:pPr>
      <w:r>
        <w:rPr>
          <w:b/>
          <w:bCs/>
        </w:rPr>
        <w:t xml:space="preserve">hospital operational disruption</w:t>
      </w:r>
      <w:r>
        <w:t xml:space="preserve"> </w:t>
      </w:r>
      <w:r>
        <w:t xml:space="preserve">/ compromised medical devices (explicitly called out as a CI cyber-impact risk). (</w:t>
      </w:r>
      <w:hyperlink r:id="rId57">
        <w:r>
          <w:rPr>
            <w:rStyle w:val="Hyperlink"/>
          </w:rPr>
          <w:t xml:space="preserve">Canadian Centre for Cyber Security</w:t>
        </w:r>
      </w:hyperlink>
      <w:r>
        <w:t xml:space="preserve">)</w:t>
      </w:r>
    </w:p>
    <w:p>
      <w:pPr>
        <w:pStyle w:val="FirstParagraph"/>
      </w:pPr>
      <w:r>
        <w:t xml:space="preserve">This supports prioritizing, in practice (examples, not an official list): core hospital operational platforms, emergency workflows, key diagnostic and medication systems, public health coordination platforms, and enterprise identity/network controls that have wide “blast radius.”</w:t>
      </w:r>
    </w:p>
    <w:bookmarkEnd w:id="96"/>
    <w:bookmarkStart w:id="97" w:name="public-vs-confidential"/>
    <w:p>
      <w:pPr>
        <w:pStyle w:val="Heading2"/>
      </w:pPr>
      <w:r>
        <w:t xml:space="preserve">Public vs confidential</w:t>
      </w:r>
    </w:p>
    <w:p>
      <w:pPr>
        <w:pStyle w:val="FirstParagraph"/>
      </w:pPr>
      <w:r>
        <w:rPr>
          <w:b/>
          <w:bCs/>
        </w:rPr>
        <w:t xml:space="preserve">Public</w:t>
      </w:r>
    </w:p>
    <w:p>
      <w:pPr>
        <w:pStyle w:val="Compact"/>
        <w:numPr>
          <w:ilvl w:val="0"/>
          <w:numId w:val="1061"/>
        </w:numPr>
      </w:pPr>
      <w:r>
        <w:t xml:space="preserve">CI definition and the</w:t>
      </w:r>
      <w:r>
        <w:t xml:space="preserve"> </w:t>
      </w:r>
      <w:r>
        <w:rPr>
          <w:b/>
          <w:bCs/>
        </w:rPr>
        <w:t xml:space="preserve">10-sector list including Health</w:t>
      </w:r>
      <w:r>
        <w:t xml:space="preserve"> </w:t>
      </w:r>
      <w:r>
        <w:t xml:space="preserve">are explicitly public. (</w:t>
      </w:r>
      <w:hyperlink r:id="rId53">
        <w:r>
          <w:rPr>
            <w:rStyle w:val="Hyperlink"/>
          </w:rPr>
          <w:t xml:space="preserve">Public Safety Canada</w:t>
        </w:r>
      </w:hyperlink>
      <w:r>
        <w:t xml:space="preserve">)</w:t>
      </w:r>
    </w:p>
    <w:p>
      <w:pPr>
        <w:pStyle w:val="Compact"/>
        <w:numPr>
          <w:ilvl w:val="0"/>
          <w:numId w:val="1061"/>
        </w:numPr>
      </w:pPr>
      <w:r>
        <w:t xml:space="preserve">Federal legislative instruments (Bill text, Charter Statement, legislative summaries) are public. (</w:t>
      </w:r>
      <w:hyperlink r:id="rId55">
        <w:r>
          <w:rPr>
            <w:rStyle w:val="Hyperlink"/>
          </w:rPr>
          <w:t xml:space="preserve">Parliament of Canada</w:t>
        </w:r>
      </w:hyperlink>
      <w:r>
        <w:t xml:space="preserve">)</w:t>
      </w:r>
    </w:p>
    <w:p>
      <w:pPr>
        <w:pStyle w:val="FirstParagraph"/>
      </w:pPr>
      <w:r>
        <w:rPr>
          <w:b/>
          <w:bCs/>
        </w:rPr>
        <w:t xml:space="preserve">Typically not public (operational practice)</w:t>
      </w:r>
    </w:p>
    <w:p>
      <w:pPr>
        <w:pStyle w:val="BodyText"/>
      </w:pPr>
      <w:r>
        <w:t xml:space="preserve">Specific, organization-level inventories of “most critical” systems (within hospitals/provinces/health authorities) are generally managed via risk management and operational security processes implied by the partnership/owner-operator responsibility model, rather than published as a single universal national register in the cited framework. (</w:t>
      </w:r>
      <w:hyperlink r:id="rId53">
        <w:r>
          <w:rPr>
            <w:rStyle w:val="Hyperlink"/>
          </w:rPr>
          <w:t xml:space="preserve">Public Safety Canada</w:t>
        </w:r>
      </w:hyperlink>
      <w:r>
        <w:t xml:space="preserve">)</w:t>
      </w:r>
    </w:p>
    <w:bookmarkEnd w:id="97"/>
    <w:bookmarkStart w:id="100" w:name="latest-updates-strictly-sourced"/>
    <w:p>
      <w:pPr>
        <w:pStyle w:val="Heading2"/>
      </w:pPr>
      <w:r>
        <w:t xml:space="preserve">Latest updates (strictly sourced)</w:t>
      </w:r>
    </w:p>
    <w:p>
      <w:pPr>
        <w:pStyle w:val="Compact"/>
        <w:numPr>
          <w:ilvl w:val="0"/>
          <w:numId w:val="1062"/>
        </w:numPr>
      </w:pPr>
      <w:r>
        <w:rPr>
          <w:b/>
          <w:bCs/>
        </w:rPr>
        <w:t xml:space="preserve">Public Safety Canada CI overview page</w:t>
      </w:r>
      <w:r>
        <w:t xml:space="preserve"> </w:t>
      </w:r>
      <w:r>
        <w:t xml:space="preserve">shows update metadata (Jan 2025) and reiterates CI definition + the 10 sectors including Health. (</w:t>
      </w:r>
      <w:hyperlink r:id="rId58">
        <w:r>
          <w:rPr>
            <w:rStyle w:val="Hyperlink"/>
          </w:rPr>
          <w:t xml:space="preserve">Public Safety Canada</w:t>
        </w:r>
      </w:hyperlink>
      <w:r>
        <w:t xml:space="preserve">)</w:t>
      </w:r>
    </w:p>
    <w:p>
      <w:pPr>
        <w:pStyle w:val="Compact"/>
        <w:numPr>
          <w:ilvl w:val="0"/>
          <w:numId w:val="1062"/>
        </w:numPr>
      </w:pPr>
      <w:r>
        <w:rPr>
          <w:b/>
          <w:bCs/>
        </w:rPr>
        <w:t xml:space="preserve">Cyber Centre CI guidance page</w:t>
      </w:r>
      <w:r>
        <w:t xml:space="preserve"> </w:t>
      </w:r>
      <w:r>
        <w:t xml:space="preserve">shows update metadata (Jul 2025) and reiterates CI definition, sector list, and CI cyber impacts. (</w:t>
      </w:r>
      <w:hyperlink r:id="rId56">
        <w:r>
          <w:rPr>
            <w:rStyle w:val="Hyperlink"/>
          </w:rPr>
          <w:t xml:space="preserve">Canadian Centre for Cyber Security</w:t>
        </w:r>
      </w:hyperlink>
      <w:r>
        <w:t xml:space="preserve">)</w:t>
      </w:r>
    </w:p>
    <w:p>
      <w:pPr>
        <w:pStyle w:val="Compact"/>
        <w:numPr>
          <w:ilvl w:val="0"/>
          <w:numId w:val="1062"/>
        </w:numPr>
      </w:pPr>
      <w:r>
        <w:rPr>
          <w:b/>
          <w:bCs/>
        </w:rPr>
        <w:t xml:space="preserve">Bill C-8 (45th Parliament, 1st session)</w:t>
      </w:r>
      <w:r>
        <w:t xml:space="preserve">: LEGISinfo lists the bill and links to the bill text and Charter Statement. (</w:t>
      </w:r>
      <w:hyperlink r:id="rId98">
        <w:r>
          <w:rPr>
            <w:rStyle w:val="Hyperlink"/>
          </w:rPr>
          <w:t xml:space="preserve">Parliament of Canada</w:t>
        </w:r>
      </w:hyperlink>
      <w:r>
        <w:t xml:space="preserve">)</w:t>
      </w:r>
    </w:p>
    <w:p>
      <w:pPr>
        <w:pStyle w:val="Compact"/>
        <w:numPr>
          <w:ilvl w:val="0"/>
          <w:numId w:val="1062"/>
        </w:numPr>
      </w:pPr>
      <w:r>
        <w:rPr>
          <w:b/>
          <w:bCs/>
        </w:rPr>
        <w:t xml:space="preserve">Library of Parliament legislative summary (PDF)</w:t>
      </w:r>
      <w:r>
        <w:t xml:space="preserve"> </w:t>
      </w:r>
      <w:r>
        <w:t xml:space="preserve">notes CCSPA incident reporting requirements for designated operators, including a reporting period that “cannot exceed 72 hours” for reporting certain incidents to CSE. (</w:t>
      </w:r>
      <w:hyperlink r:id="rId99">
        <w:r>
          <w:rPr>
            <w:rStyle w:val="Hyperlink"/>
          </w:rPr>
          <w:t xml:space="preserve">Parliamentary Library of Canada</w:t>
        </w:r>
      </w:hyperlink>
      <w:r>
        <w:t xml:space="preserve">)</w:t>
      </w:r>
    </w:p>
    <w:bookmarkEnd w:id="100"/>
    <w:bookmarkStart w:id="102" w:name="references-canada"/>
    <w:p>
      <w:pPr>
        <w:pStyle w:val="Heading2"/>
      </w:pPr>
      <w:r>
        <w:t xml:space="preserve">References (Canada)</w:t>
      </w:r>
    </w:p>
    <w:p>
      <w:pPr>
        <w:pStyle w:val="Compact"/>
        <w:numPr>
          <w:ilvl w:val="0"/>
          <w:numId w:val="1063"/>
        </w:numPr>
      </w:pPr>
      <w:r>
        <w:rPr>
          <w:b/>
          <w:bCs/>
        </w:rPr>
        <w:t xml:space="preserve">Public Safety Canada —</w:t>
      </w:r>
      <w:r>
        <w:rPr>
          <w:b/>
          <w:bCs/>
        </w:rPr>
        <w:t xml:space="preserve"> </w:t>
      </w:r>
      <w:r>
        <w:rPr>
          <w:b/>
          <w:bCs/>
          <w:i/>
          <w:iCs/>
        </w:rPr>
        <w:t xml:space="preserve">National Strategy for Critical Infrastructure</w:t>
      </w:r>
      <w:r>
        <w:t xml:space="preserve"> </w:t>
      </w:r>
      <w:r>
        <w:t xml:space="preserve">(sector list, CI definition, partnership/all-hazards/info sharing model). (</w:t>
      </w:r>
      <w:hyperlink r:id="rId53">
        <w:r>
          <w:rPr>
            <w:rStyle w:val="Hyperlink"/>
          </w:rPr>
          <w:t xml:space="preserve">Public Safety Canada</w:t>
        </w:r>
      </w:hyperlink>
      <w:r>
        <w:t xml:space="preserve">)</w:t>
      </w:r>
    </w:p>
    <w:p>
      <w:pPr>
        <w:pStyle w:val="Compact"/>
        <w:numPr>
          <w:ilvl w:val="0"/>
          <w:numId w:val="1063"/>
        </w:numPr>
      </w:pPr>
      <w:r>
        <w:rPr>
          <w:b/>
          <w:bCs/>
        </w:rPr>
        <w:t xml:space="preserve">Public Safety Canada —</w:t>
      </w:r>
      <w:r>
        <w:rPr>
          <w:b/>
          <w:bCs/>
        </w:rPr>
        <w:t xml:space="preserve"> </w:t>
      </w:r>
      <w:r>
        <w:rPr>
          <w:b/>
          <w:bCs/>
          <w:i/>
          <w:iCs/>
        </w:rPr>
        <w:t xml:space="preserve">Canada’s Critical Infrastructure (CI)</w:t>
      </w:r>
      <w:r>
        <w:t xml:space="preserve"> </w:t>
      </w:r>
      <w:r>
        <w:t xml:space="preserve">(CI definition; 10 sectors including Health). (</w:t>
      </w:r>
      <w:hyperlink r:id="rId58">
        <w:r>
          <w:rPr>
            <w:rStyle w:val="Hyperlink"/>
          </w:rPr>
          <w:t xml:space="preserve">Public Safety Canada</w:t>
        </w:r>
      </w:hyperlink>
      <w:r>
        <w:t xml:space="preserve">)</w:t>
      </w:r>
    </w:p>
    <w:p>
      <w:pPr>
        <w:pStyle w:val="Compact"/>
        <w:numPr>
          <w:ilvl w:val="0"/>
          <w:numId w:val="1063"/>
        </w:numPr>
      </w:pPr>
      <w:r>
        <w:rPr>
          <w:b/>
          <w:bCs/>
        </w:rPr>
        <w:t xml:space="preserve">RCMP —</w:t>
      </w:r>
      <w:r>
        <w:rPr>
          <w:b/>
          <w:bCs/>
        </w:rPr>
        <w:t xml:space="preserve"> </w:t>
      </w:r>
      <w:r>
        <w:rPr>
          <w:b/>
          <w:bCs/>
          <w:i/>
          <w:iCs/>
        </w:rPr>
        <w:t xml:space="preserve">Safeguarding critical infrastructure</w:t>
      </w:r>
      <w:r>
        <w:t xml:space="preserve"> </w:t>
      </w:r>
      <w:r>
        <w:t xml:space="preserve">(10 sectors list including Health). (</w:t>
      </w:r>
      <w:hyperlink r:id="rId101">
        <w:r>
          <w:rPr>
            <w:rStyle w:val="Hyperlink"/>
          </w:rPr>
          <w:t xml:space="preserve">RCMP</w:t>
        </w:r>
      </w:hyperlink>
      <w:r>
        <w:t xml:space="preserve">)</w:t>
      </w:r>
    </w:p>
    <w:p>
      <w:pPr>
        <w:pStyle w:val="Compact"/>
        <w:numPr>
          <w:ilvl w:val="0"/>
          <w:numId w:val="1063"/>
        </w:numPr>
      </w:pPr>
      <w:r>
        <w:rPr>
          <w:b/>
          <w:bCs/>
        </w:rPr>
        <w:t xml:space="preserve">Canadian Centre for Cyber Security —</w:t>
      </w:r>
      <w:r>
        <w:rPr>
          <w:b/>
          <w:bCs/>
        </w:rPr>
        <w:t xml:space="preserve"> </w:t>
      </w:r>
      <w:r>
        <w:rPr>
          <w:b/>
          <w:bCs/>
          <w:i/>
          <w:iCs/>
        </w:rPr>
        <w:t xml:space="preserve">Security considerations for critical infrastructure (ITSAP.10.100)</w:t>
      </w:r>
      <w:r>
        <w:t xml:space="preserve"> </w:t>
      </w:r>
      <w:r>
        <w:t xml:space="preserve">web page (CI definition; sector list; CI impacts and mitigations context). (</w:t>
      </w:r>
      <w:hyperlink r:id="rId56">
        <w:r>
          <w:rPr>
            <w:rStyle w:val="Hyperlink"/>
          </w:rPr>
          <w:t xml:space="preserve">Canadian Centre for Cyber Security</w:t>
        </w:r>
      </w:hyperlink>
      <w:r>
        <w:t xml:space="preserve">)</w:t>
      </w:r>
    </w:p>
    <w:p>
      <w:pPr>
        <w:pStyle w:val="Compact"/>
        <w:numPr>
          <w:ilvl w:val="0"/>
          <w:numId w:val="1063"/>
        </w:numPr>
      </w:pPr>
      <w:r>
        <w:rPr>
          <w:b/>
          <w:bCs/>
        </w:rPr>
        <w:t xml:space="preserve">Canadian Centre for Cyber Security —</w:t>
      </w:r>
      <w:r>
        <w:rPr>
          <w:b/>
          <w:bCs/>
        </w:rPr>
        <w:t xml:space="preserve"> </w:t>
      </w:r>
      <w:r>
        <w:rPr>
          <w:b/>
          <w:bCs/>
          <w:i/>
          <w:iCs/>
        </w:rPr>
        <w:t xml:space="preserve">ITSAP.10.100 PDF</w:t>
      </w:r>
      <w:r>
        <w:t xml:space="preserve"> </w:t>
      </w:r>
      <w:r>
        <w:t xml:space="preserve">(threats, impacts including hospital operations/medical devices; CI definition). (</w:t>
      </w:r>
      <w:hyperlink r:id="rId57">
        <w:r>
          <w:rPr>
            <w:rStyle w:val="Hyperlink"/>
          </w:rPr>
          <w:t xml:space="preserve">Canadian Centre for Cyber Security</w:t>
        </w:r>
      </w:hyperlink>
      <w:r>
        <w:t xml:space="preserve">)</w:t>
      </w:r>
    </w:p>
    <w:p>
      <w:pPr>
        <w:pStyle w:val="Compact"/>
        <w:numPr>
          <w:ilvl w:val="0"/>
          <w:numId w:val="1063"/>
        </w:numPr>
      </w:pPr>
      <w:r>
        <w:rPr>
          <w:b/>
          <w:bCs/>
        </w:rPr>
        <w:t xml:space="preserve">Parliament of Canada —</w:t>
      </w:r>
      <w:r>
        <w:rPr>
          <w:b/>
          <w:bCs/>
        </w:rPr>
        <w:t xml:space="preserve"> </w:t>
      </w:r>
      <w:r>
        <w:rPr>
          <w:b/>
          <w:bCs/>
          <w:i/>
          <w:iCs/>
        </w:rPr>
        <w:t xml:space="preserve">LEGISinfo: Bill C-8</w:t>
      </w:r>
      <w:r>
        <w:t xml:space="preserve"> </w:t>
      </w:r>
      <w:r>
        <w:t xml:space="preserve">(bill listing, links to text + Charter Statement + legislative summary). (</w:t>
      </w:r>
      <w:hyperlink r:id="rId98">
        <w:r>
          <w:rPr>
            <w:rStyle w:val="Hyperlink"/>
          </w:rPr>
          <w:t xml:space="preserve">Parliament of Canada</w:t>
        </w:r>
      </w:hyperlink>
      <w:r>
        <w:t xml:space="preserve">)</w:t>
      </w:r>
    </w:p>
    <w:p>
      <w:pPr>
        <w:pStyle w:val="Compact"/>
        <w:numPr>
          <w:ilvl w:val="0"/>
          <w:numId w:val="1063"/>
        </w:numPr>
      </w:pPr>
      <w:r>
        <w:rPr>
          <w:b/>
          <w:bCs/>
        </w:rPr>
        <w:t xml:space="preserve">Parliament of Canada —</w:t>
      </w:r>
      <w:r>
        <w:rPr>
          <w:b/>
          <w:bCs/>
        </w:rPr>
        <w:t xml:space="preserve"> </w:t>
      </w:r>
      <w:r>
        <w:rPr>
          <w:b/>
          <w:bCs/>
          <w:i/>
          <w:iCs/>
        </w:rPr>
        <w:t xml:space="preserve">Bill C-8 (First Reading text)</w:t>
      </w:r>
      <w:r>
        <w:t xml:space="preserve"> </w:t>
      </w:r>
      <w:r>
        <w:t xml:space="preserve">(purpose clause for protecting critical cyber systems). (</w:t>
      </w:r>
      <w:hyperlink r:id="rId55">
        <w:r>
          <w:rPr>
            <w:rStyle w:val="Hyperlink"/>
          </w:rPr>
          <w:t xml:space="preserve">Parliament of Canada</w:t>
        </w:r>
      </w:hyperlink>
      <w:r>
        <w:t xml:space="preserve">)</w:t>
      </w:r>
    </w:p>
    <w:p>
      <w:pPr>
        <w:pStyle w:val="Compact"/>
        <w:numPr>
          <w:ilvl w:val="0"/>
          <w:numId w:val="1063"/>
        </w:numPr>
      </w:pPr>
      <w:r>
        <w:rPr>
          <w:b/>
          <w:bCs/>
        </w:rPr>
        <w:t xml:space="preserve">Justice Canada —</w:t>
      </w:r>
      <w:r>
        <w:rPr>
          <w:b/>
          <w:bCs/>
        </w:rPr>
        <w:t xml:space="preserve"> </w:t>
      </w:r>
      <w:r>
        <w:rPr>
          <w:b/>
          <w:bCs/>
          <w:i/>
          <w:iCs/>
        </w:rPr>
        <w:t xml:space="preserve">Charter Statement: Bill C-8</w:t>
      </w:r>
      <w:r>
        <w:t xml:space="preserve"> </w:t>
      </w:r>
      <w:r>
        <w:t xml:space="preserve">(Part 2 enacts CCSPA; designated operators; initial vital services list). (</w:t>
      </w:r>
      <w:hyperlink r:id="rId54">
        <w:r>
          <w:rPr>
            <w:rStyle w:val="Hyperlink"/>
          </w:rPr>
          <w:t xml:space="preserve">Ministère de la Justice</w:t>
        </w:r>
      </w:hyperlink>
      <w:r>
        <w:t xml:space="preserve">)</w:t>
      </w:r>
    </w:p>
    <w:p>
      <w:pPr>
        <w:pStyle w:val="Compact"/>
        <w:numPr>
          <w:ilvl w:val="0"/>
          <w:numId w:val="1063"/>
        </w:numPr>
      </w:pPr>
      <w:r>
        <w:rPr>
          <w:b/>
          <w:bCs/>
        </w:rPr>
        <w:t xml:space="preserve">Library of Parliament —</w:t>
      </w:r>
      <w:r>
        <w:rPr>
          <w:b/>
          <w:bCs/>
        </w:rPr>
        <w:t xml:space="preserve"> </w:t>
      </w:r>
      <w:r>
        <w:rPr>
          <w:b/>
          <w:bCs/>
          <w:i/>
          <w:iCs/>
        </w:rPr>
        <w:t xml:space="preserve">Legislative Summary of Bill C-8 (PDF)</w:t>
      </w:r>
      <w:r>
        <w:t xml:space="preserve"> </w:t>
      </w:r>
      <w:r>
        <w:t xml:space="preserve">(incident reporting requirement summary, including period not exceeding 72 hours). (</w:t>
      </w:r>
      <w:hyperlink r:id="rId99">
        <w:r>
          <w:rPr>
            <w:rStyle w:val="Hyperlink"/>
          </w:rPr>
          <w:t xml:space="preserve">Parliamentary Library of Canada</w:t>
        </w:r>
      </w:hyperlink>
      <w:r>
        <w:t xml:space="preserve">)</w:t>
      </w:r>
    </w:p>
    <w:p>
      <w:pPr>
        <w:sectPr>
          <w:footerReference w:type="first" r:id="rId13"/>
          <w:footerReference w:type="default" r:id="rId11"/>
          <w:footerReference w:type="even" r:id="rId10"/>
          <w:type w:val="nextPage"/>
        </w:sectPr>
      </w:pPr>
    </w:p>
    <w:bookmarkEnd w:id="102"/>
    <w:bookmarkEnd w:id="103"/>
    <w:bookmarkStart w:id="114" w:name="united-kingdom-uk"/>
    <w:p>
      <w:pPr>
        <w:pStyle w:val="Heading1"/>
      </w:pPr>
      <w:r>
        <w:t xml:space="preserve">UNITED KINGDOM (UK)</w:t>
      </w:r>
    </w:p>
    <w:bookmarkStart w:id="104" w:name="X401263da2cddcd5ea9b142652d8fa3b03418ead"/>
    <w:p>
      <w:pPr>
        <w:pStyle w:val="Heading2"/>
      </w:pPr>
      <w:r>
        <w:t xml:space="preserve">Final categories (what is “highest critical / protected” in this regime)</w:t>
      </w:r>
    </w:p>
    <w:p>
      <w:pPr>
        <w:pStyle w:val="Compact"/>
        <w:numPr>
          <w:ilvl w:val="0"/>
          <w:numId w:val="1064"/>
        </w:numPr>
      </w:pPr>
      <w:r>
        <w:rPr>
          <w:b/>
          <w:bCs/>
        </w:rPr>
        <w:t xml:space="preserve">Operator of Essential Services (OES) — Health (England)</w:t>
      </w:r>
    </w:p>
    <w:p>
      <w:pPr>
        <w:pStyle w:val="Compact"/>
        <w:numPr>
          <w:ilvl w:val="0"/>
          <w:numId w:val="1065"/>
        </w:numPr>
      </w:pPr>
      <w:r>
        <w:t xml:space="preserve">The DHSC health-sector guide states that</w:t>
      </w:r>
      <w:r>
        <w:t xml:space="preserve"> </w:t>
      </w:r>
      <w:r>
        <w:rPr>
          <w:b/>
          <w:bCs/>
        </w:rPr>
        <w:t xml:space="preserve">“Healthcare services are an essential service under the NIS Regulations”</w:t>
      </w:r>
      <w:r>
        <w:t xml:space="preserve"> </w:t>
      </w:r>
      <w:r>
        <w:t xml:space="preserve">and that</w:t>
      </w:r>
      <w:r>
        <w:t xml:space="preserve"> </w:t>
      </w:r>
      <w:r>
        <w:rPr>
          <w:b/>
          <w:bCs/>
        </w:rPr>
        <w:t xml:space="preserve">“NHS trusts and foundation trusts, integrated care boards (ICBs) and certain independent providers [are] currently designated OESs for healthcare services.”</w:t>
      </w:r>
      <w:r>
        <w:t xml:space="preserve"> </w:t>
      </w:r>
      <w:r>
        <w:t xml:space="preserve">(</w:t>
      </w:r>
      <w:hyperlink r:id="rId53">
        <w:r>
          <w:rPr>
            <w:rStyle w:val="Hyperlink"/>
          </w:rPr>
          <w:t xml:space="preserve">GOV.UK</w:t>
        </w:r>
      </w:hyperlink>
      <w:r>
        <w:t xml:space="preserve">)</w:t>
      </w:r>
    </w:p>
    <w:p>
      <w:pPr>
        <w:pStyle w:val="Compact"/>
        <w:numPr>
          <w:ilvl w:val="0"/>
          <w:numId w:val="1065"/>
        </w:numPr>
      </w:pPr>
      <w:r>
        <w:t xml:space="preserve">The same guide states that</w:t>
      </w:r>
      <w:r>
        <w:t xml:space="preserve"> </w:t>
      </w:r>
      <w:r>
        <w:rPr>
          <w:b/>
          <w:bCs/>
        </w:rPr>
        <w:t xml:space="preserve">the Secretary of State for Health and Social Care, acting through DHSC, is responsible for overseeing the NIS Regulations for OESs within the health sector in England</w:t>
      </w:r>
      <w:r>
        <w:t xml:space="preserve"> </w:t>
      </w:r>
      <w:r>
        <w:t xml:space="preserve">(i.e., DHSC is the competent authority for the England health sector). (</w:t>
      </w:r>
      <w:hyperlink r:id="rId53">
        <w:r>
          <w:rPr>
            <w:rStyle w:val="Hyperlink"/>
          </w:rPr>
          <w:t xml:space="preserve">GOV.UK</w:t>
        </w:r>
      </w:hyperlink>
      <w:r>
        <w:t xml:space="preserve">)</w:t>
      </w:r>
    </w:p>
    <w:p>
      <w:pPr>
        <w:pStyle w:val="Compact"/>
        <w:numPr>
          <w:ilvl w:val="0"/>
          <w:numId w:val="1066"/>
        </w:numPr>
      </w:pPr>
      <w:r>
        <w:rPr>
          <w:b/>
          <w:bCs/>
        </w:rPr>
        <w:t xml:space="preserve">Relevant Digital Service Provider (RDSP) — cross-sector category (often relevant to health supply chains)</w:t>
      </w:r>
    </w:p>
    <w:p>
      <w:pPr>
        <w:pStyle w:val="Compact"/>
        <w:numPr>
          <w:ilvl w:val="0"/>
          <w:numId w:val="1067"/>
        </w:numPr>
      </w:pPr>
      <w:r>
        <w:t xml:space="preserve">The ICO’s Guide to NIS is explicitly for organisations providing digital services such as</w:t>
      </w:r>
      <w:r>
        <w:t xml:space="preserve"> </w:t>
      </w:r>
      <w:r>
        <w:rPr>
          <w:b/>
          <w:bCs/>
        </w:rPr>
        <w:t xml:space="preserve">online marketplaces, online search engines and cloud services</w:t>
      </w:r>
      <w:r>
        <w:t xml:space="preserve">, and it explains RDSP obligations and the ICO’s role as the UK competent authority for RDSPs. (</w:t>
      </w:r>
      <w:hyperlink r:id="rId54">
        <w:r>
          <w:rPr>
            <w:rStyle w:val="Hyperlink"/>
          </w:rPr>
          <w:t xml:space="preserve">ICO</w:t>
        </w:r>
      </w:hyperlink>
      <w:r>
        <w:t xml:space="preserve">)</w:t>
      </w:r>
    </w:p>
    <w:p>
      <w:pPr>
        <w:pStyle w:val="Compact"/>
        <w:numPr>
          <w:ilvl w:val="0"/>
          <w:numId w:val="1067"/>
        </w:numPr>
      </w:pPr>
      <w:r>
        <w:t xml:space="preserve">The</w:t>
      </w:r>
      <w:r>
        <w:t xml:space="preserve"> </w:t>
      </w:r>
      <w:r>
        <w:rPr>
          <w:b/>
          <w:bCs/>
        </w:rPr>
        <w:t xml:space="preserve">NIS Regulations 2018</w:t>
      </w:r>
      <w:r>
        <w:t xml:space="preserve"> </w:t>
      </w:r>
      <w:r>
        <w:t xml:space="preserve">define</w:t>
      </w:r>
      <w:r>
        <w:t xml:space="preserve"> </w:t>
      </w:r>
      <w:r>
        <w:rPr>
          <w:b/>
          <w:bCs/>
        </w:rPr>
        <w:t xml:space="preserve">“digital service”</w:t>
      </w:r>
      <w:r>
        <w:t xml:space="preserve"> </w:t>
      </w:r>
      <w:r>
        <w:t xml:space="preserve">as including</w:t>
      </w:r>
      <w:r>
        <w:t xml:space="preserve"> </w:t>
      </w:r>
      <w:r>
        <w:rPr>
          <w:b/>
          <w:bCs/>
        </w:rPr>
        <w:t xml:space="preserve">(a) online marketplace, (b) online search engine, (c) cloud computing service</w:t>
      </w:r>
      <w:r>
        <w:t xml:space="preserve">, and define</w:t>
      </w:r>
      <w:r>
        <w:t xml:space="preserve"> </w:t>
      </w:r>
      <w:r>
        <w:rPr>
          <w:b/>
          <w:bCs/>
        </w:rPr>
        <w:t xml:space="preserve">“cloud computing service.”</w:t>
      </w:r>
      <w:r>
        <w:t xml:space="preserve"> </w:t>
      </w:r>
      <w:r>
        <w:t xml:space="preserve">(</w:t>
      </w:r>
      <w:hyperlink r:id="rId55">
        <w:r>
          <w:rPr>
            <w:rStyle w:val="Hyperlink"/>
          </w:rPr>
          <w:t xml:space="preserve">Legislation.gov.uk</w:t>
        </w:r>
      </w:hyperlink>
      <w:r>
        <w:t xml:space="preserve">)</w:t>
      </w:r>
    </w:p>
    <w:p>
      <w:pPr>
        <w:pStyle w:val="Compact"/>
        <w:numPr>
          <w:ilvl w:val="0"/>
          <w:numId w:val="1068"/>
        </w:numPr>
      </w:pPr>
      <w:r>
        <w:rPr>
          <w:b/>
          <w:bCs/>
        </w:rPr>
        <w:t xml:space="preserve">Proposed expansion (Bill introduced 12 Nov 2025 — Bill 329)</w:t>
      </w:r>
    </w:p>
    <w:p>
      <w:pPr>
        <w:pStyle w:val="Compact"/>
        <w:numPr>
          <w:ilvl w:val="0"/>
          <w:numId w:val="1069"/>
        </w:numPr>
      </w:pPr>
      <w:r>
        <w:t xml:space="preserve">The</w:t>
      </w:r>
      <w:r>
        <w:t xml:space="preserve"> </w:t>
      </w:r>
      <w:r>
        <w:rPr>
          <w:b/>
          <w:bCs/>
        </w:rPr>
        <w:t xml:space="preserve">Cyber Security and Resilience (Network and Information Systems) Bill</w:t>
      </w:r>
      <w:r>
        <w:t xml:space="preserve"> </w:t>
      </w:r>
      <w:r>
        <w:t xml:space="preserve">explanatory notes (within the Parliament PDF) describe new/expanded regulated roles including</w:t>
      </w:r>
      <w:r>
        <w:t xml:space="preserve"> </w:t>
      </w:r>
      <w:r>
        <w:rPr>
          <w:b/>
          <w:bCs/>
        </w:rPr>
        <w:t xml:space="preserve">relevant managed service providers (RMSPs)</w:t>
      </w:r>
      <w:r>
        <w:t xml:space="preserve"> </w:t>
      </w:r>
      <w:r>
        <w:t xml:space="preserve">and</w:t>
      </w:r>
      <w:r>
        <w:t xml:space="preserve"> </w:t>
      </w:r>
      <w:r>
        <w:rPr>
          <w:b/>
          <w:bCs/>
        </w:rPr>
        <w:t xml:space="preserve">critical suppliers</w:t>
      </w:r>
      <w:r>
        <w:t xml:space="preserve">. (</w:t>
      </w:r>
      <w:hyperlink r:id="rId56">
        <w:r>
          <w:rPr>
            <w:rStyle w:val="Hyperlink"/>
          </w:rPr>
          <w:t xml:space="preserve">UK Parliament</w:t>
        </w:r>
      </w:hyperlink>
      <w:r>
        <w:t xml:space="preserve">)</w:t>
      </w:r>
    </w:p>
    <w:bookmarkEnd w:id="104"/>
    <w:bookmarkStart w:id="107" w:name="Xd36a1b472c931e2f9b1706dfe01728e4d63780e"/>
    <w:p>
      <w:pPr>
        <w:pStyle w:val="Heading2"/>
      </w:pPr>
      <w:r>
        <w:t xml:space="preserve">Exact legal / regulatory criteria (what triggers inclusion)</w:t>
      </w:r>
    </w:p>
    <w:bookmarkStart w:id="105" w:name="a-oes-health-sector-england"/>
    <w:p>
      <w:pPr>
        <w:pStyle w:val="Heading3"/>
      </w:pPr>
      <w:r>
        <w:t xml:space="preserve">A) OES (Health sector, England)</w:t>
      </w:r>
    </w:p>
    <w:p>
      <w:pPr>
        <w:pStyle w:val="Compact"/>
        <w:numPr>
          <w:ilvl w:val="0"/>
          <w:numId w:val="1070"/>
        </w:numPr>
      </w:pPr>
      <w:r>
        <w:t xml:space="preserve">The DHSC guide states the health-sector OES landscape in England (NHS trusts/foundation trusts, ICBs, and certain independent providers are</w:t>
      </w:r>
      <w:r>
        <w:t xml:space="preserve"> </w:t>
      </w:r>
      <w:r>
        <w:rPr>
          <w:b/>
          <w:bCs/>
        </w:rPr>
        <w:t xml:space="preserve">currently designated</w:t>
      </w:r>
      <w:r>
        <w:t xml:space="preserve"> </w:t>
      </w:r>
      <w:r>
        <w:t xml:space="preserve">as OESs for healthcare services). (</w:t>
      </w:r>
      <w:hyperlink r:id="rId53">
        <w:r>
          <w:rPr>
            <w:rStyle w:val="Hyperlink"/>
          </w:rPr>
          <w:t xml:space="preserve">GOV.UK</w:t>
        </w:r>
      </w:hyperlink>
      <w:r>
        <w:t xml:space="preserve">)</w:t>
      </w:r>
    </w:p>
    <w:p>
      <w:pPr>
        <w:pStyle w:val="Compact"/>
        <w:numPr>
          <w:ilvl w:val="0"/>
          <w:numId w:val="1070"/>
        </w:numPr>
      </w:pPr>
      <w:r>
        <w:t xml:space="preserve">The DHSC guide states it is published under</w:t>
      </w:r>
      <w:r>
        <w:t xml:space="preserve"> </w:t>
      </w:r>
      <w:r>
        <w:rPr>
          <w:b/>
          <w:bCs/>
        </w:rPr>
        <w:t xml:space="preserve">regulation 3</w:t>
      </w:r>
      <w:r>
        <w:t xml:space="preserve"> </w:t>
      </w:r>
      <w:r>
        <w:t xml:space="preserve">guidance duties, and that OESs</w:t>
      </w:r>
      <w:r>
        <w:t xml:space="preserve"> </w:t>
      </w:r>
      <w:r>
        <w:rPr>
          <w:b/>
          <w:bCs/>
        </w:rPr>
        <w:t xml:space="preserve">must have regard to it</w:t>
      </w:r>
      <w:r>
        <w:t xml:space="preserve"> </w:t>
      </w:r>
      <w:r>
        <w:t xml:space="preserve">when carrying out security and incident reporting duties under the NIS Regulations. (</w:t>
      </w:r>
      <w:hyperlink r:id="rId53">
        <w:r>
          <w:rPr>
            <w:rStyle w:val="Hyperlink"/>
          </w:rPr>
          <w:t xml:space="preserve">GOV.UK</w:t>
        </w:r>
      </w:hyperlink>
      <w:r>
        <w:t xml:space="preserve">)</w:t>
      </w:r>
    </w:p>
    <w:bookmarkEnd w:id="105"/>
    <w:bookmarkStart w:id="106" w:name="b-rdsp-ico-regulated"/>
    <w:p>
      <w:pPr>
        <w:pStyle w:val="Heading3"/>
      </w:pPr>
      <w:r>
        <w:t xml:space="preserve">B) RDSP (ICO-regulated)</w:t>
      </w:r>
    </w:p>
    <w:p>
      <w:pPr>
        <w:pStyle w:val="Compact"/>
        <w:numPr>
          <w:ilvl w:val="0"/>
          <w:numId w:val="1071"/>
        </w:numPr>
      </w:pPr>
      <w:r>
        <w:t xml:space="preserve">The DHSC guide lists criteria for being an RDSP (all must apply), including providing an online search engine/online marketplace/cloud computing service in the UK; UK head office or nominated UK representative; and not being a micro/small enterprise (staff/turnover thresholds). (</w:t>
      </w:r>
      <w:hyperlink r:id="rId53">
        <w:r>
          <w:rPr>
            <w:rStyle w:val="Hyperlink"/>
          </w:rPr>
          <w:t xml:space="preserve">GOV.UK</w:t>
        </w:r>
      </w:hyperlink>
      <w:r>
        <w:t xml:space="preserve">)</w:t>
      </w:r>
    </w:p>
    <w:p>
      <w:pPr>
        <w:pStyle w:val="Compact"/>
        <w:numPr>
          <w:ilvl w:val="0"/>
          <w:numId w:val="1071"/>
        </w:numPr>
      </w:pPr>
      <w:r>
        <w:t xml:space="preserve">The ICO states its guide summarises obligations for</w:t>
      </w:r>
      <w:r>
        <w:t xml:space="preserve"> </w:t>
      </w:r>
      <w:r>
        <w:rPr>
          <w:b/>
          <w:bCs/>
        </w:rPr>
        <w:t xml:space="preserve">RDSPs</w:t>
      </w:r>
      <w:r>
        <w:t xml:space="preserve"> </w:t>
      </w:r>
      <w:r>
        <w:t xml:space="preserve">and explains the ICO’s role as competent authority for RDSPs. (</w:t>
      </w:r>
      <w:hyperlink r:id="rId54">
        <w:r>
          <w:rPr>
            <w:rStyle w:val="Hyperlink"/>
          </w:rPr>
          <w:t xml:space="preserve">ICO</w:t>
        </w:r>
      </w:hyperlink>
      <w:r>
        <w:t xml:space="preserve">)</w:t>
      </w:r>
    </w:p>
    <w:bookmarkEnd w:id="106"/>
    <w:bookmarkEnd w:id="107"/>
    <w:bookmarkStart w:id="110" w:name="X51e379c6774cfce07d7b888f2937ead89cc3742"/>
    <w:p>
      <w:pPr>
        <w:pStyle w:val="Heading2"/>
      </w:pPr>
      <w:r>
        <w:t xml:space="preserve">Incident reporting tests and thresholds (evidence only)</w:t>
      </w:r>
    </w:p>
    <w:bookmarkStart w:id="108" w:name="X851778856238aa1b705a28052f93b99e589375d"/>
    <w:p>
      <w:pPr>
        <w:pStyle w:val="Heading3"/>
      </w:pPr>
      <w:r>
        <w:t xml:space="preserve">OES (Health, England) — “significant impact” + DHSC Table 1 thresholds</w:t>
      </w:r>
    </w:p>
    <w:p>
      <w:pPr>
        <w:pStyle w:val="Compact"/>
        <w:numPr>
          <w:ilvl w:val="0"/>
          <w:numId w:val="1072"/>
        </w:numPr>
      </w:pPr>
      <w:r>
        <w:t xml:space="preserve">The DHSC guide states that OES reports must be submitted</w:t>
      </w:r>
      <w:r>
        <w:t xml:space="preserve"> </w:t>
      </w:r>
      <w:r>
        <w:rPr>
          <w:b/>
          <w:bCs/>
        </w:rPr>
        <w:t xml:space="preserve">via the Data Security and Protection Toolkit (DSPT)</w:t>
      </w:r>
      <w:r>
        <w:t xml:space="preserve"> </w:t>
      </w:r>
      <w:r>
        <w:rPr>
          <w:b/>
          <w:bCs/>
        </w:rPr>
        <w:t xml:space="preserve">without undue delay and, in any event, no later than 72 hours</w:t>
      </w:r>
      <w:r>
        <w:t xml:space="preserve"> </w:t>
      </w:r>
      <w:r>
        <w:t xml:space="preserve">after the OES became aware that an NIS incident has occurred. (</w:t>
      </w:r>
      <w:hyperlink r:id="rId53">
        <w:r>
          <w:rPr>
            <w:rStyle w:val="Hyperlink"/>
          </w:rPr>
          <w:t xml:space="preserve">GOV.UK</w:t>
        </w:r>
      </w:hyperlink>
      <w:r>
        <w:t xml:space="preserve">)</w:t>
      </w:r>
    </w:p>
    <w:p>
      <w:pPr>
        <w:pStyle w:val="Compact"/>
        <w:numPr>
          <w:ilvl w:val="0"/>
          <w:numId w:val="1072"/>
        </w:numPr>
      </w:pPr>
      <w:r>
        <w:t xml:space="preserve">The DHSC guide states OESs must assess significance having regard to</w:t>
      </w:r>
      <w:r>
        <w:t xml:space="preserve"> </w:t>
      </w:r>
      <w:r>
        <w:rPr>
          <w:b/>
          <w:bCs/>
        </w:rPr>
        <w:t xml:space="preserve">(i) number of users affected, (ii) duration, (iii) geographical area</w:t>
      </w:r>
      <w:r>
        <w:t xml:space="preserve">, and provides</w:t>
      </w:r>
      <w:r>
        <w:t xml:space="preserve"> </w:t>
      </w:r>
      <w:r>
        <w:rPr>
          <w:b/>
          <w:bCs/>
        </w:rPr>
        <w:t xml:space="preserve">Table 1 thresholds</w:t>
      </w:r>
      <w:r>
        <w:t xml:space="preserve"> </w:t>
      </w:r>
      <w:r>
        <w:t xml:space="preserve">for the health sector definition of significant impact. (</w:t>
      </w:r>
      <w:hyperlink r:id="rId53">
        <w:r>
          <w:rPr>
            <w:rStyle w:val="Hyperlink"/>
          </w:rPr>
          <w:t xml:space="preserve">GOV.UK</w:t>
        </w:r>
      </w:hyperlink>
      <w:r>
        <w:t xml:space="preserve">)</w:t>
      </w:r>
    </w:p>
    <w:p>
      <w:pPr>
        <w:pStyle w:val="FirstParagraph"/>
      </w:pPr>
      <w:r>
        <w:rPr>
          <w:b/>
          <w:bCs/>
        </w:rPr>
        <w:t xml:space="preserve">Examples of explicit Table 1 thresholds (DHSC):</w:t>
      </w:r>
    </w:p>
    <w:p>
      <w:pPr>
        <w:pStyle w:val="Compact"/>
        <w:numPr>
          <w:ilvl w:val="0"/>
          <w:numId w:val="1073"/>
        </w:numPr>
      </w:pPr>
      <w:r>
        <w:rPr>
          <w:b/>
          <w:bCs/>
        </w:rPr>
        <w:t xml:space="preserve">Excess fatalities:</w:t>
      </w:r>
      <w:r>
        <w:t xml:space="preserve"> </w:t>
      </w:r>
      <w:r>
        <w:t xml:space="preserve">&gt; 0;</w:t>
      </w:r>
      <w:r>
        <w:t xml:space="preserve"> </w:t>
      </w:r>
      <w:r>
        <w:rPr>
          <w:b/>
          <w:bCs/>
        </w:rPr>
        <w:t xml:space="preserve">Potential clinical harm:</w:t>
      </w:r>
      <w:r>
        <w:t xml:space="preserve"> </w:t>
      </w:r>
      <w:r>
        <w:t xml:space="preserve">&gt; 50 patients at risk. (</w:t>
      </w:r>
      <w:hyperlink r:id="rId53">
        <w:r>
          <w:rPr>
            <w:rStyle w:val="Hyperlink"/>
          </w:rPr>
          <w:t xml:space="preserve">GOV.UK</w:t>
        </w:r>
      </w:hyperlink>
      <w:r>
        <w:t xml:space="preserve">)</w:t>
      </w:r>
    </w:p>
    <w:p>
      <w:pPr>
        <w:pStyle w:val="Compact"/>
        <w:numPr>
          <w:ilvl w:val="0"/>
          <w:numId w:val="1073"/>
        </w:numPr>
      </w:pPr>
      <w:r>
        <w:rPr>
          <w:b/>
          <w:bCs/>
        </w:rPr>
        <w:t xml:space="preserve">ED closure/diversion:</w:t>
      </w:r>
      <w:r>
        <w:t xml:space="preserve"> </w:t>
      </w:r>
      <w:r>
        <w:t xml:space="preserve">&gt; 3 hours (major trauma centre); &gt; 24 hours (all other organisations). (</w:t>
      </w:r>
      <w:hyperlink r:id="rId53">
        <w:r>
          <w:rPr>
            <w:rStyle w:val="Hyperlink"/>
          </w:rPr>
          <w:t xml:space="preserve">GOV.UK</w:t>
        </w:r>
      </w:hyperlink>
      <w:r>
        <w:t xml:space="preserve">)</w:t>
      </w:r>
    </w:p>
    <w:p>
      <w:pPr>
        <w:pStyle w:val="Compact"/>
        <w:numPr>
          <w:ilvl w:val="0"/>
          <w:numId w:val="1073"/>
        </w:numPr>
      </w:pPr>
      <w:r>
        <w:rPr>
          <w:b/>
          <w:bCs/>
        </w:rPr>
        <w:t xml:space="preserve">Outpatient appointments cancelled:</w:t>
      </w:r>
      <w:r>
        <w:t xml:space="preserve"> </w:t>
      </w:r>
      <w:r>
        <w:t xml:space="preserve">1,500;</w:t>
      </w:r>
      <w:r>
        <w:t xml:space="preserve"> </w:t>
      </w:r>
      <w:r>
        <w:rPr>
          <w:b/>
          <w:bCs/>
        </w:rPr>
        <w:t xml:space="preserve">Inpatient episodes cancelled:</w:t>
      </w:r>
      <w:r>
        <w:t xml:space="preserve"> </w:t>
      </w:r>
      <w:r>
        <w:t xml:space="preserve">250. (</w:t>
      </w:r>
      <w:hyperlink r:id="rId53">
        <w:r>
          <w:rPr>
            <w:rStyle w:val="Hyperlink"/>
          </w:rPr>
          <w:t xml:space="preserve">GOV.UK</w:t>
        </w:r>
      </w:hyperlink>
      <w:r>
        <w:t xml:space="preserve">)</w:t>
      </w:r>
    </w:p>
    <w:p>
      <w:pPr>
        <w:pStyle w:val="Compact"/>
        <w:numPr>
          <w:ilvl w:val="0"/>
          <w:numId w:val="1073"/>
        </w:numPr>
      </w:pPr>
      <w:r>
        <w:rPr>
          <w:b/>
          <w:bCs/>
        </w:rPr>
        <w:t xml:space="preserve">NHS111 services unavailable:</w:t>
      </w:r>
      <w:r>
        <w:t xml:space="preserve"> </w:t>
      </w:r>
      <w:r>
        <w:t xml:space="preserve">&gt; 3 hours. (</w:t>
      </w:r>
      <w:hyperlink r:id="rId53">
        <w:r>
          <w:rPr>
            <w:rStyle w:val="Hyperlink"/>
          </w:rPr>
          <w:t xml:space="preserve">GOV.UK</w:t>
        </w:r>
      </w:hyperlink>
      <w:r>
        <w:t xml:space="preserve">)</w:t>
      </w:r>
    </w:p>
    <w:bookmarkEnd w:id="108"/>
    <w:bookmarkStart w:id="109" w:name="rdsp-ico-72-hour-reporting-requirement"/>
    <w:p>
      <w:pPr>
        <w:pStyle w:val="Heading3"/>
      </w:pPr>
      <w:r>
        <w:t xml:space="preserve">RDSP (ICO) — 72-hour reporting requirement</w:t>
      </w:r>
    </w:p>
    <w:p>
      <w:pPr>
        <w:pStyle w:val="Compact"/>
        <w:numPr>
          <w:ilvl w:val="0"/>
          <w:numId w:val="1074"/>
        </w:numPr>
      </w:pPr>
      <w:r>
        <w:t xml:space="preserve">The ICO states:</w:t>
      </w:r>
      <w:r>
        <w:t xml:space="preserve"> </w:t>
      </w:r>
      <w:r>
        <w:rPr>
          <w:b/>
          <w:bCs/>
        </w:rPr>
        <w:t xml:space="preserve">notify the ICO without undue delay and not later than 72 hours</w:t>
      </w:r>
      <w:r>
        <w:t xml:space="preserve"> </w:t>
      </w:r>
      <w:r>
        <w:t xml:space="preserve">of becoming aware of any incident (where feasible). (</w:t>
      </w:r>
      <w:hyperlink r:id="rId57">
        <w:r>
          <w:rPr>
            <w:rStyle w:val="Hyperlink"/>
          </w:rPr>
          <w:t xml:space="preserve">ICO</w:t>
        </w:r>
      </w:hyperlink>
      <w:r>
        <w:t xml:space="preserve">)</w:t>
      </w:r>
    </w:p>
    <w:p>
      <w:pPr>
        <w:pStyle w:val="Compact"/>
        <w:numPr>
          <w:ilvl w:val="0"/>
          <w:numId w:val="1074"/>
        </w:numPr>
      </w:pPr>
      <w:r>
        <w:t xml:space="preserve">The ICO also states:</w:t>
      </w:r>
      <w:r>
        <w:t xml:space="preserve"> </w:t>
      </w:r>
      <w:r>
        <w:rPr>
          <w:b/>
          <w:bCs/>
        </w:rPr>
        <w:t xml:space="preserve">only RDSPs</w:t>
      </w:r>
      <w:r>
        <w:t xml:space="preserve"> </w:t>
      </w:r>
      <w:r>
        <w:t xml:space="preserve">notify the ICO;</w:t>
      </w:r>
      <w:r>
        <w:t xml:space="preserve"> </w:t>
      </w:r>
      <w:r>
        <w:rPr>
          <w:b/>
          <w:bCs/>
        </w:rPr>
        <w:t xml:space="preserve">OESs notify their sector competent authority</w:t>
      </w:r>
      <w:r>
        <w:t xml:space="preserve">. (</w:t>
      </w:r>
      <w:hyperlink r:id="rId57">
        <w:r>
          <w:rPr>
            <w:rStyle w:val="Hyperlink"/>
          </w:rPr>
          <w:t xml:space="preserve">ICO</w:t>
        </w:r>
      </w:hyperlink>
      <w:r>
        <w:t xml:space="preserve">)</w:t>
      </w:r>
    </w:p>
    <w:bookmarkEnd w:id="109"/>
    <w:bookmarkEnd w:id="110"/>
    <w:bookmarkStart w:id="111" w:name="grading-tiering-scheme-as-published"/>
    <w:p>
      <w:pPr>
        <w:pStyle w:val="Heading2"/>
      </w:pPr>
      <w:r>
        <w:t xml:space="preserve">Grading / tiering scheme (as published)</w:t>
      </w:r>
    </w:p>
    <w:p>
      <w:pPr>
        <w:pStyle w:val="Compact"/>
        <w:numPr>
          <w:ilvl w:val="0"/>
          <w:numId w:val="1075"/>
        </w:numPr>
      </w:pPr>
      <w:r>
        <w:t xml:space="preserve">The regime is</w:t>
      </w:r>
      <w:r>
        <w:t xml:space="preserve"> </w:t>
      </w:r>
      <w:r>
        <w:rPr>
          <w:b/>
          <w:bCs/>
        </w:rPr>
        <w:t xml:space="preserve">categorical by role</w:t>
      </w:r>
      <w:r>
        <w:t xml:space="preserve"> </w:t>
      </w:r>
      <w:r>
        <w:t xml:space="preserve">(e.g.,</w:t>
      </w:r>
      <w:r>
        <w:t xml:space="preserve"> </w:t>
      </w:r>
      <w:r>
        <w:rPr>
          <w:b/>
          <w:bCs/>
        </w:rPr>
        <w:t xml:space="preserve">OES</w:t>
      </w:r>
      <w:r>
        <w:t xml:space="preserve"> </w:t>
      </w:r>
      <w:r>
        <w:t xml:space="preserve">vs</w:t>
      </w:r>
      <w:r>
        <w:t xml:space="preserve"> </w:t>
      </w:r>
      <w:r>
        <w:rPr>
          <w:b/>
          <w:bCs/>
        </w:rPr>
        <w:t xml:space="preserve">RDSP</w:t>
      </w:r>
      <w:r>
        <w:t xml:space="preserve">) with different competent authorities and obligations, as reflected in the DHSC guide (OES) and ICO guidance (RDSP), and in the NIS Regulations’ definitions/structure. (</w:t>
      </w:r>
      <w:hyperlink r:id="rId53">
        <w:r>
          <w:rPr>
            <w:rStyle w:val="Hyperlink"/>
          </w:rPr>
          <w:t xml:space="preserve">GOV.UK</w:t>
        </w:r>
      </w:hyperlink>
      <w:r>
        <w:t xml:space="preserve">)</w:t>
      </w:r>
    </w:p>
    <w:bookmarkEnd w:id="111"/>
    <w:bookmarkStart w:id="112" w:name="X539eebe4aba640d99ebc0b07a60570f76f3d295"/>
    <w:p>
      <w:pPr>
        <w:pStyle w:val="Heading2"/>
      </w:pPr>
      <w:r>
        <w:t xml:space="preserve">Latest updates (2025–2026) — Bill introduced 12 Nov 2025 (Bill 329) (evidence only)</w:t>
      </w:r>
    </w:p>
    <w:p>
      <w:pPr>
        <w:pStyle w:val="FirstParagraph"/>
      </w:pPr>
      <w:r>
        <w:t xml:space="preserve">From the Bill’s explanatory notes:</w:t>
      </w:r>
    </w:p>
    <w:p>
      <w:pPr>
        <w:pStyle w:val="Compact"/>
        <w:numPr>
          <w:ilvl w:val="0"/>
          <w:numId w:val="1076"/>
        </w:numPr>
      </w:pPr>
      <w:r>
        <w:t xml:space="preserve">A</w:t>
      </w:r>
      <w:r>
        <w:t xml:space="preserve"> </w:t>
      </w:r>
      <w:r>
        <w:rPr>
          <w:b/>
          <w:bCs/>
        </w:rPr>
        <w:t xml:space="preserve">two-stage reporting structure</w:t>
      </w:r>
      <w:r>
        <w:t xml:space="preserve"> </w:t>
      </w:r>
      <w:r>
        <w:t xml:space="preserve">is described:</w:t>
      </w:r>
      <w:r>
        <w:t xml:space="preserve"> </w:t>
      </w:r>
      <w:r>
        <w:rPr>
          <w:b/>
          <w:bCs/>
        </w:rPr>
        <w:t xml:space="preserve">initial notification within 24 hours</w:t>
      </w:r>
      <w:r>
        <w:t xml:space="preserve"> </w:t>
      </w:r>
      <w:r>
        <w:t xml:space="preserve">of becoming aware, and</w:t>
      </w:r>
      <w:r>
        <w:t xml:space="preserve"> </w:t>
      </w:r>
      <w:r>
        <w:rPr>
          <w:b/>
          <w:bCs/>
        </w:rPr>
        <w:t xml:space="preserve">full notification within 72 hours</w:t>
      </w:r>
      <w:r>
        <w:t xml:space="preserve"> </w:t>
      </w:r>
      <w:r>
        <w:t xml:space="preserve">(described for OES incidents and similarly for RDSP incidents). (</w:t>
      </w:r>
      <w:hyperlink r:id="rId56">
        <w:r>
          <w:rPr>
            <w:rStyle w:val="Hyperlink"/>
          </w:rPr>
          <w:t xml:space="preserve">UK Parliament</w:t>
        </w:r>
      </w:hyperlink>
      <w:r>
        <w:t xml:space="preserve">)</w:t>
      </w:r>
    </w:p>
    <w:p>
      <w:pPr>
        <w:pStyle w:val="Compact"/>
        <w:numPr>
          <w:ilvl w:val="0"/>
          <w:numId w:val="1076"/>
        </w:numPr>
      </w:pPr>
      <w:r>
        <w:t xml:space="preserve">The notes also state that regulated entities must</w:t>
      </w:r>
      <w:r>
        <w:t xml:space="preserve"> </w:t>
      </w:r>
      <w:r>
        <w:rPr>
          <w:b/>
          <w:bCs/>
        </w:rPr>
        <w:t xml:space="preserve">send a copy of notifications to the CSIRT</w:t>
      </w:r>
      <w:r>
        <w:t xml:space="preserve"> </w:t>
      </w:r>
      <w:r>
        <w:t xml:space="preserve">(NCSC in its CSIRT capacity)</w:t>
      </w:r>
      <w:r>
        <w:t xml:space="preserve"> </w:t>
      </w:r>
      <w:r>
        <w:rPr>
          <w:b/>
          <w:bCs/>
        </w:rPr>
        <w:t xml:space="preserve">at the same time</w:t>
      </w:r>
      <w:r>
        <w:t xml:space="preserve"> </w:t>
      </w:r>
      <w:r>
        <w:t xml:space="preserve">as notifying the regulator. (</w:t>
      </w:r>
      <w:hyperlink r:id="rId56">
        <w:r>
          <w:rPr>
            <w:rStyle w:val="Hyperlink"/>
          </w:rPr>
          <w:t xml:space="preserve">UK Parliament</w:t>
        </w:r>
      </w:hyperlink>
      <w:r>
        <w:t xml:space="preserve">)</w:t>
      </w:r>
    </w:p>
    <w:p>
      <w:pPr>
        <w:pStyle w:val="Compact"/>
        <w:numPr>
          <w:ilvl w:val="0"/>
          <w:numId w:val="1076"/>
        </w:numPr>
      </w:pPr>
      <w:r>
        <w:t xml:space="preserve">The explanatory notes describe</w:t>
      </w:r>
      <w:r>
        <w:t xml:space="preserve"> </w:t>
      </w:r>
      <w:r>
        <w:rPr>
          <w:b/>
          <w:bCs/>
        </w:rPr>
        <w:t xml:space="preserve">managed services / RMSPs</w:t>
      </w:r>
      <w:r>
        <w:t xml:space="preserve"> </w:t>
      </w:r>
      <w:r>
        <w:t xml:space="preserve">and</w:t>
      </w:r>
      <w:r>
        <w:t xml:space="preserve"> </w:t>
      </w:r>
      <w:r>
        <w:rPr>
          <w:b/>
          <w:bCs/>
        </w:rPr>
        <w:t xml:space="preserve">critical suppliers</w:t>
      </w:r>
      <w:r>
        <w:t xml:space="preserve"> </w:t>
      </w:r>
      <w:r>
        <w:t xml:space="preserve">as added/expanded regulated categories. (</w:t>
      </w:r>
      <w:hyperlink r:id="rId56">
        <w:r>
          <w:rPr>
            <w:rStyle w:val="Hyperlink"/>
          </w:rPr>
          <w:t xml:space="preserve">UK Parliament</w:t>
        </w:r>
      </w:hyperlink>
      <w:r>
        <w:t xml:space="preserve">)</w:t>
      </w:r>
    </w:p>
    <w:bookmarkEnd w:id="112"/>
    <w:bookmarkStart w:id="113" w:name="references-united-kingdom"/>
    <w:p>
      <w:pPr>
        <w:pStyle w:val="Heading2"/>
      </w:pPr>
      <w:r>
        <w:t xml:space="preserve">References (United Kingdom)</w:t>
      </w:r>
    </w:p>
    <w:p>
      <w:pPr>
        <w:pStyle w:val="Compact"/>
        <w:numPr>
          <w:ilvl w:val="0"/>
          <w:numId w:val="1077"/>
        </w:numPr>
      </w:pPr>
      <w:r>
        <w:rPr>
          <w:b/>
          <w:bCs/>
        </w:rPr>
        <w:t xml:space="preserve">DHSC (GOV.UK):</w:t>
      </w:r>
      <w:r>
        <w:t xml:space="preserve"> </w:t>
      </w:r>
      <w:r>
        <w:rPr>
          <w:i/>
          <w:iCs/>
        </w:rPr>
        <w:t xml:space="preserve">The Network and Information Systems Regulations 2018: guide for the health sector in England</w:t>
      </w:r>
      <w:r>
        <w:t xml:space="preserve"> </w:t>
      </w:r>
      <w:r>
        <w:t xml:space="preserve">(OES scope statement; DHSC oversight; DSPT reporting route; 72 hours; Table 1 thresholds). (</w:t>
      </w:r>
      <w:hyperlink r:id="rId53">
        <w:r>
          <w:rPr>
            <w:rStyle w:val="Hyperlink"/>
          </w:rPr>
          <w:t xml:space="preserve">GOV.UK</w:t>
        </w:r>
      </w:hyperlink>
      <w:r>
        <w:t xml:space="preserve">)</w:t>
      </w:r>
    </w:p>
    <w:p>
      <w:pPr>
        <w:pStyle w:val="Compact"/>
        <w:numPr>
          <w:ilvl w:val="0"/>
          <w:numId w:val="1077"/>
        </w:numPr>
      </w:pPr>
      <w:r>
        <w:rPr>
          <w:b/>
          <w:bCs/>
        </w:rPr>
        <w:t xml:space="preserve">UK Legislation:</w:t>
      </w:r>
      <w:r>
        <w:t xml:space="preserve"> </w:t>
      </w:r>
      <w:r>
        <w:rPr>
          <w:i/>
          <w:iCs/>
        </w:rPr>
        <w:t xml:space="preserve">The Network and Information Systems Regulations 2018 (S.I. 2018/506) — PDF</w:t>
      </w:r>
      <w:r>
        <w:t xml:space="preserve"> </w:t>
      </w:r>
      <w:r>
        <w:t xml:space="preserve">(definitions of digital service / cloud computing service; RDSP references). (</w:t>
      </w:r>
      <w:hyperlink r:id="rId55">
        <w:r>
          <w:rPr>
            <w:rStyle w:val="Hyperlink"/>
          </w:rPr>
          <w:t xml:space="preserve">Legislation.gov.uk</w:t>
        </w:r>
      </w:hyperlink>
      <w:r>
        <w:t xml:space="preserve">)</w:t>
      </w:r>
    </w:p>
    <w:p>
      <w:pPr>
        <w:pStyle w:val="Compact"/>
        <w:numPr>
          <w:ilvl w:val="0"/>
          <w:numId w:val="1077"/>
        </w:numPr>
      </w:pPr>
      <w:r>
        <w:rPr>
          <w:b/>
          <w:bCs/>
        </w:rPr>
        <w:t xml:space="preserve">ICO:</w:t>
      </w:r>
      <w:r>
        <w:t xml:space="preserve"> </w:t>
      </w:r>
      <w:r>
        <w:rPr>
          <w:i/>
          <w:iCs/>
        </w:rPr>
        <w:t xml:space="preserve">The Guide to NIS</w:t>
      </w:r>
      <w:r>
        <w:t xml:space="preserve"> </w:t>
      </w:r>
      <w:r>
        <w:t xml:space="preserve">(scope: online marketplace/search/cloud services; ICO role as competent authority for RDSPs). (</w:t>
      </w:r>
      <w:hyperlink r:id="rId54">
        <w:r>
          <w:rPr>
            <w:rStyle w:val="Hyperlink"/>
          </w:rPr>
          <w:t xml:space="preserve">ICO</w:t>
        </w:r>
      </w:hyperlink>
      <w:r>
        <w:t xml:space="preserve">)</w:t>
      </w:r>
    </w:p>
    <w:p>
      <w:pPr>
        <w:pStyle w:val="Compact"/>
        <w:numPr>
          <w:ilvl w:val="0"/>
          <w:numId w:val="1077"/>
        </w:numPr>
      </w:pPr>
      <w:r>
        <w:rPr>
          <w:b/>
          <w:bCs/>
        </w:rPr>
        <w:t xml:space="preserve">ICO:</w:t>
      </w:r>
      <w:r>
        <w:t xml:space="preserve"> </w:t>
      </w:r>
      <w:r>
        <w:rPr>
          <w:i/>
          <w:iCs/>
        </w:rPr>
        <w:t xml:space="preserve">Incident reporting (Guide to NIS)</w:t>
      </w:r>
      <w:r>
        <w:t xml:space="preserve"> </w:t>
      </w:r>
      <w:r>
        <w:t xml:space="preserve">(RDSP-only notification to ICO; “without undue delay and not later than 72 hours”; NCSC notification suggestion). (</w:t>
      </w:r>
      <w:hyperlink r:id="rId57">
        <w:r>
          <w:rPr>
            <w:rStyle w:val="Hyperlink"/>
          </w:rPr>
          <w:t xml:space="preserve">ICO</w:t>
        </w:r>
      </w:hyperlink>
      <w:r>
        <w:t xml:space="preserve">)</w:t>
      </w:r>
    </w:p>
    <w:p>
      <w:pPr>
        <w:pStyle w:val="Compact"/>
        <w:numPr>
          <w:ilvl w:val="0"/>
          <w:numId w:val="1077"/>
        </w:numPr>
      </w:pPr>
      <w:r>
        <w:rPr>
          <w:b/>
          <w:bCs/>
        </w:rPr>
        <w:t xml:space="preserve">UK Parliament Publications:</w:t>
      </w:r>
      <w:r>
        <w:t xml:space="preserve"> </w:t>
      </w:r>
      <w:r>
        <w:rPr>
          <w:i/>
          <w:iCs/>
        </w:rPr>
        <w:t xml:space="preserve">Cyber Security and Resilience (Network and Information Systems) Bill — Explanatory Notes (Bill 329; introduced 12 Nov 2025)</w:t>
      </w:r>
      <w:r>
        <w:t xml:space="preserve"> </w:t>
      </w:r>
      <w:r>
        <w:t xml:space="preserve">(24h/72h staged reporting; CSIRT copy; RMSPs/managed services; critical suppliers). (</w:t>
      </w:r>
      <w:hyperlink r:id="rId56">
        <w:r>
          <w:rPr>
            <w:rStyle w:val="Hyperlink"/>
          </w:rPr>
          <w:t xml:space="preserve">UK Parliament</w:t>
        </w:r>
      </w:hyperlink>
      <w:r>
        <w:t xml:space="preserve">)</w:t>
      </w:r>
    </w:p>
    <w:p>
      <w:pPr>
        <w:sectPr>
          <w:footerReference w:type="first" r:id="rId13"/>
          <w:footerReference w:type="default" r:id="rId11"/>
          <w:footerReference w:type="even" r:id="rId10"/>
          <w:type w:val="nextPage"/>
        </w:sectPr>
      </w:pPr>
    </w:p>
    <w:bookmarkEnd w:id="113"/>
    <w:bookmarkEnd w:id="114"/>
    <w:bookmarkStart w:id="127" w:name="germany"/>
    <w:p>
      <w:pPr>
        <w:pStyle w:val="Heading1"/>
      </w:pPr>
      <w:r>
        <w:t xml:space="preserve">GERMANY</w:t>
      </w:r>
    </w:p>
    <w:bookmarkStart w:id="115" w:name="final-categories"/>
    <w:p>
      <w:pPr>
        <w:pStyle w:val="Heading2"/>
      </w:pPr>
      <w:r>
        <w:t xml:space="preserve">Final categories</w:t>
      </w:r>
    </w:p>
    <w:p>
      <w:pPr>
        <w:pStyle w:val="FirstParagraph"/>
      </w:pPr>
      <w:r>
        <w:t xml:space="preserve">Germany applies</w:t>
      </w:r>
      <w:r>
        <w:t xml:space="preserve"> </w:t>
      </w:r>
      <w:r>
        <w:rPr>
          <w:b/>
          <w:bCs/>
        </w:rPr>
        <w:t xml:space="preserve">two distinct, formal classification layers</w:t>
      </w:r>
      <w:r>
        <w:t xml:space="preserve"> </w:t>
      </w:r>
      <w:r>
        <w:t xml:space="preserve">that can bring health-sector entities/systems into heightened cybersecurity obligations:</w:t>
      </w:r>
    </w:p>
    <w:p>
      <w:pPr>
        <w:pStyle w:val="Compact"/>
        <w:numPr>
          <w:ilvl w:val="0"/>
          <w:numId w:val="1078"/>
        </w:numPr>
      </w:pPr>
      <w:r>
        <w:rPr>
          <w:b/>
          <w:bCs/>
        </w:rPr>
        <w:t xml:space="preserve">KRITIS (Critical Infrastructure) — “Kritische Anlagen” / critical installations (anlagenbezogen)</w:t>
      </w:r>
    </w:p>
    <w:p>
      <w:pPr>
        <w:pStyle w:val="Compact"/>
        <w:numPr>
          <w:ilvl w:val="1"/>
          <w:numId w:val="1079"/>
        </w:numPr>
      </w:pPr>
      <w:r>
        <w:t xml:space="preserve">Instrument:</w:t>
      </w:r>
      <w:r>
        <w:t xml:space="preserve"> </w:t>
      </w:r>
      <w:r>
        <w:rPr>
          <w:b/>
          <w:bCs/>
        </w:rPr>
        <w:t xml:space="preserve">BSI-Kritisverordnung (BSI-KritisV)</w:t>
      </w:r>
      <w:r>
        <w:t xml:space="preserve"> </w:t>
      </w:r>
      <w:r>
        <w:t xml:space="preserve">(Verordnung zur Bestimmung kritischer Anlagen nach dem BSI-Gesetz). (</w:t>
      </w:r>
      <w:hyperlink r:id="rId53">
        <w:r>
          <w:rPr>
            <w:rStyle w:val="Hyperlink"/>
          </w:rPr>
          <w:t xml:space="preserve">Gesetze im Internet</w:t>
        </w:r>
      </w:hyperlink>
      <w:r>
        <w:t xml:space="preserve">)</w:t>
      </w:r>
    </w:p>
    <w:p>
      <w:pPr>
        <w:pStyle w:val="Compact"/>
        <w:numPr>
          <w:ilvl w:val="1"/>
          <w:numId w:val="1079"/>
        </w:numPr>
      </w:pPr>
      <w:r>
        <w:t xml:space="preserve">Health sector thresholds are in</w:t>
      </w:r>
      <w:r>
        <w:t xml:space="preserve"> </w:t>
      </w:r>
      <w:r>
        <w:rPr>
          <w:b/>
          <w:bCs/>
        </w:rPr>
        <w:t xml:space="preserve">Anhang 5 (Sektor Gesundheit)</w:t>
      </w:r>
      <w:r>
        <w:t xml:space="preserve">. (</w:t>
      </w:r>
      <w:hyperlink r:id="rId54">
        <w:r>
          <w:rPr>
            <w:rStyle w:val="Hyperlink"/>
          </w:rPr>
          <w:t xml:space="preserve">Gesetze im Internet</w:t>
        </w:r>
      </w:hyperlink>
      <w:r>
        <w:t xml:space="preserve">)</w:t>
      </w:r>
    </w:p>
    <w:p>
      <w:pPr>
        <w:pStyle w:val="Compact"/>
        <w:numPr>
          <w:ilvl w:val="0"/>
          <w:numId w:val="1078"/>
        </w:numPr>
      </w:pPr>
      <w:r>
        <w:rPr>
          <w:b/>
          <w:bCs/>
        </w:rPr>
        <w:t xml:space="preserve">NIS2 implementation (entity-based) — “Besonders wichtige Einrichtungen” and “Wichtige Einrichtungen”</w:t>
      </w:r>
    </w:p>
    <w:p>
      <w:pPr>
        <w:pStyle w:val="Compact"/>
        <w:numPr>
          <w:ilvl w:val="1"/>
          <w:numId w:val="1080"/>
        </w:numPr>
      </w:pPr>
      <w:r>
        <w:t xml:space="preserve">Instrument:</w:t>
      </w:r>
      <w:r>
        <w:t xml:space="preserve"> </w:t>
      </w:r>
      <w:r>
        <w:rPr>
          <w:b/>
          <w:bCs/>
        </w:rPr>
        <w:t xml:space="preserve">BSI-Gesetz (BSIG)</w:t>
      </w:r>
      <w:r>
        <w:t xml:space="preserve"> </w:t>
      </w:r>
      <w:r>
        <w:t xml:space="preserve">(2025 consolidated version on Gesetze-im-Internet), including sector lists in</w:t>
      </w:r>
      <w:r>
        <w:t xml:space="preserve"> </w:t>
      </w:r>
      <w:r>
        <w:rPr>
          <w:b/>
          <w:bCs/>
        </w:rPr>
        <w:t xml:space="preserve">Anlage 1</w:t>
      </w:r>
      <w:r>
        <w:t xml:space="preserve"> </w:t>
      </w:r>
      <w:r>
        <w:t xml:space="preserve">and</w:t>
      </w:r>
      <w:r>
        <w:t xml:space="preserve"> </w:t>
      </w:r>
      <w:r>
        <w:rPr>
          <w:b/>
          <w:bCs/>
        </w:rPr>
        <w:t xml:space="preserve">Anlage 2</w:t>
      </w:r>
      <w:r>
        <w:t xml:space="preserve">. (</w:t>
      </w:r>
      <w:hyperlink r:id="rId55">
        <w:r>
          <w:rPr>
            <w:rStyle w:val="Hyperlink"/>
          </w:rPr>
          <w:t xml:space="preserve">Gesetze im Internet</w:t>
        </w:r>
      </w:hyperlink>
      <w:r>
        <w:t xml:space="preserve">)</w:t>
      </w:r>
    </w:p>
    <w:p>
      <w:pPr>
        <w:pStyle w:val="Compact"/>
        <w:numPr>
          <w:ilvl w:val="1"/>
          <w:numId w:val="1080"/>
        </w:numPr>
      </w:pPr>
      <w:r>
        <w:t xml:space="preserve">Official statements indicate the</w:t>
      </w:r>
      <w:r>
        <w:t xml:space="preserve"> </w:t>
      </w:r>
      <w:r>
        <w:rPr>
          <w:b/>
          <w:bCs/>
        </w:rPr>
        <w:t xml:space="preserve">NIS-2 implementation law entered into force on 6 Dec 2025</w:t>
      </w:r>
      <w:r>
        <w:t xml:space="preserve">. (</w:t>
      </w:r>
      <w:hyperlink r:id="rId56">
        <w:r>
          <w:rPr>
            <w:rStyle w:val="Hyperlink"/>
          </w:rPr>
          <w:t xml:space="preserve">Bundesregierung</w:t>
        </w:r>
      </w:hyperlink>
      <w:r>
        <w:t xml:space="preserve">)</w:t>
      </w:r>
    </w:p>
    <w:bookmarkEnd w:id="115"/>
    <w:bookmarkStart w:id="118" w:name="Xe86b77714156afcb83fad7a47ef1a8dc611b949"/>
    <w:p>
      <w:pPr>
        <w:pStyle w:val="Heading2"/>
      </w:pPr>
      <w:r>
        <w:t xml:space="preserve">Exact legal / regulatory criteria (how classification is determined)</w:t>
      </w:r>
    </w:p>
    <w:bookmarkStart w:id="116" w:name="X387a638c6e233a030549f90eadee0f64ddfc07d"/>
    <w:p>
      <w:pPr>
        <w:pStyle w:val="Heading3"/>
      </w:pPr>
      <w:r>
        <w:t xml:space="preserve">A) KRITIS (Health sector) — threshold test in BSI-KritisV Anhang 5</w:t>
      </w:r>
    </w:p>
    <w:p>
      <w:pPr>
        <w:pStyle w:val="FirstParagraph"/>
      </w:pPr>
      <w:r>
        <w:t xml:space="preserve">A health installation is KRITIS-relevant when it matches an Anlagenkategorie in</w:t>
      </w:r>
      <w:r>
        <w:t xml:space="preserve"> </w:t>
      </w:r>
      <w:r>
        <w:rPr>
          <w:b/>
          <w:bCs/>
        </w:rPr>
        <w:t xml:space="preserve">Anhang 5</w:t>
      </w:r>
      <w:r>
        <w:t xml:space="preserve"> </w:t>
      </w:r>
      <w:r>
        <w:t xml:space="preserve">and meets the defined</w:t>
      </w:r>
      <w:r>
        <w:t xml:space="preserve"> </w:t>
      </w:r>
      <w:r>
        <w:rPr>
          <w:b/>
          <w:bCs/>
        </w:rPr>
        <w:t xml:space="preserve">Schwellenwert</w:t>
      </w:r>
      <w:r>
        <w:t xml:space="preserve">.</w:t>
      </w:r>
    </w:p>
    <w:p>
      <w:pPr>
        <w:pStyle w:val="BodyText"/>
      </w:pPr>
      <w:r>
        <w:t xml:space="preserve">Examples explicitly shown in the annex include:</w:t>
      </w:r>
    </w:p>
    <w:p>
      <w:pPr>
        <w:pStyle w:val="Compact"/>
        <w:numPr>
          <w:ilvl w:val="0"/>
          <w:numId w:val="1081"/>
        </w:numPr>
      </w:pPr>
      <w:r>
        <w:rPr>
          <w:b/>
          <w:bCs/>
        </w:rPr>
        <w:t xml:space="preserve">Hospitals (Krankenhaus)</w:t>
      </w:r>
      <w:r>
        <w:t xml:space="preserve">:</w:t>
      </w:r>
      <w:r>
        <w:t xml:space="preserve"> </w:t>
      </w:r>
      <w:r>
        <w:rPr>
          <w:b/>
          <w:bCs/>
        </w:rPr>
        <w:t xml:space="preserve">Vollstationäre Fallzahl/Jahr = 30,000</w:t>
      </w:r>
      <w:r>
        <w:t xml:space="preserve">. (</w:t>
      </w:r>
      <w:hyperlink r:id="rId54">
        <w:r>
          <w:rPr>
            <w:rStyle w:val="Hyperlink"/>
          </w:rPr>
          <w:t xml:space="preserve">Gesetze im Internet</w:t>
        </w:r>
      </w:hyperlink>
      <w:r>
        <w:t xml:space="preserve">)</w:t>
      </w:r>
    </w:p>
    <w:p>
      <w:pPr>
        <w:pStyle w:val="Compact"/>
        <w:numPr>
          <w:ilvl w:val="0"/>
          <w:numId w:val="1081"/>
        </w:numPr>
      </w:pPr>
      <w:r>
        <w:rPr>
          <w:b/>
          <w:bCs/>
        </w:rPr>
        <w:t xml:space="preserve">Labor / lab IT service constellation</w:t>
      </w:r>
      <w:r>
        <w:t xml:space="preserve"> </w:t>
      </w:r>
      <w:r>
        <w:t xml:space="preserve">(diagnostics/therapy-control IT services for at least one lab):</w:t>
      </w:r>
      <w:r>
        <w:t xml:space="preserve"> </w:t>
      </w:r>
      <w:r>
        <w:rPr>
          <w:b/>
          <w:bCs/>
        </w:rPr>
        <w:t xml:space="preserve">1,500,000</w:t>
      </w:r>
      <w:r>
        <w:t xml:space="preserve"> </w:t>
      </w:r>
      <w:r>
        <w:t xml:space="preserve">(threshold shown in the Anhang 5 text snippet). (</w:t>
      </w:r>
      <w:hyperlink r:id="rId54">
        <w:r>
          <w:rPr>
            <w:rStyle w:val="Hyperlink"/>
          </w:rPr>
          <w:t xml:space="preserve">Gesetze im Internet</w:t>
        </w:r>
      </w:hyperlink>
      <w:r>
        <w:t xml:space="preserve">)</w:t>
      </w:r>
    </w:p>
    <w:p>
      <w:pPr>
        <w:pStyle w:val="Compact"/>
        <w:numPr>
          <w:ilvl w:val="0"/>
          <w:numId w:val="1081"/>
        </w:numPr>
      </w:pPr>
      <w:r>
        <w:rPr>
          <w:b/>
          <w:bCs/>
        </w:rPr>
        <w:t xml:space="preserve">Blood/plasma donation control system</w:t>
      </w:r>
      <w:r>
        <w:t xml:space="preserve"> </w:t>
      </w:r>
      <w:r>
        <w:t xml:space="preserve">(</w:t>
      </w:r>
      <w:r>
        <w:rPr>
          <w:i/>
          <w:iCs/>
        </w:rPr>
        <w:t xml:space="preserve">Blut- oder Plasmaspendensteuerungssystem</w:t>
      </w:r>
      <w:r>
        <w:t xml:space="preserve">):</w:t>
      </w:r>
      <w:r>
        <w:t xml:space="preserve"> </w:t>
      </w:r>
      <w:r>
        <w:rPr>
          <w:b/>
          <w:bCs/>
        </w:rPr>
        <w:t xml:space="preserve">Hergestellte oder in Verkehr gebrachte Produkte/Jahr = 34,000</w:t>
      </w:r>
      <w:r>
        <w:t xml:space="preserve">. (</w:t>
      </w:r>
      <w:hyperlink r:id="rId57">
        <w:r>
          <w:rPr>
            <w:rStyle w:val="Hyperlink"/>
          </w:rPr>
          <w:t xml:space="preserve">Gesetze im Internet</w:t>
        </w:r>
      </w:hyperlink>
      <w:r>
        <w:t xml:space="preserve">)</w:t>
      </w:r>
    </w:p>
    <w:p>
      <w:pPr>
        <w:pStyle w:val="FirstParagraph"/>
      </w:pPr>
      <w:r>
        <w:rPr>
          <w:b/>
          <w:bCs/>
        </w:rPr>
        <w:t xml:space="preserve">Timing rule (when KRITIS status applies):</w:t>
      </w:r>
      <w:r>
        <w:t xml:space="preserve"> </w:t>
      </w:r>
      <w:r>
        <w:t xml:space="preserve">the BSI-KritisV provides that an installation is treated as KRITIS</w:t>
      </w:r>
      <w:r>
        <w:t xml:space="preserve"> </w:t>
      </w:r>
      <w:r>
        <w:rPr>
          <w:b/>
          <w:bCs/>
        </w:rPr>
        <w:t xml:space="preserve">from 1 April of the calendar year following</w:t>
      </w:r>
      <w:r>
        <w:t xml:space="preserve"> </w:t>
      </w:r>
      <w:r>
        <w:t xml:space="preserve">the year in which the threshold is first reached/ exceeded (and ceases similarly after dropping below). (</w:t>
      </w:r>
      <w:hyperlink r:id="rId58">
        <w:r>
          <w:rPr>
            <w:rStyle w:val="Hyperlink"/>
          </w:rPr>
          <w:t xml:space="preserve">bmi.bund.de</w:t>
        </w:r>
      </w:hyperlink>
      <w:r>
        <w:t xml:space="preserve">)</w:t>
      </w:r>
    </w:p>
    <w:bookmarkEnd w:id="116"/>
    <w:bookmarkStart w:id="117" w:name="X3373c86cb63be87bb8a69f9e4f41946acbe91ac"/>
    <w:p>
      <w:pPr>
        <w:pStyle w:val="Heading3"/>
      </w:pPr>
      <w:r>
        <w:t xml:space="preserve">B) NIS2 (BSIG 2025) — entity/sector test via Anlage 1 &amp; Anlage 2</w:t>
      </w:r>
    </w:p>
    <w:p>
      <w:pPr>
        <w:pStyle w:val="FirstParagraph"/>
      </w:pPr>
      <w:r>
        <w:t xml:space="preserve">Under the BSIG consolidated 2025 version, the sector lists in</w:t>
      </w:r>
      <w:r>
        <w:t xml:space="preserve"> </w:t>
      </w:r>
      <w:r>
        <w:rPr>
          <w:b/>
          <w:bCs/>
        </w:rPr>
        <w:t xml:space="preserve">Anlage 1</w:t>
      </w:r>
      <w:r>
        <w:t xml:space="preserve"> </w:t>
      </w:r>
      <w:r>
        <w:t xml:space="preserve">and</w:t>
      </w:r>
      <w:r>
        <w:t xml:space="preserve"> </w:t>
      </w:r>
      <w:r>
        <w:rPr>
          <w:b/>
          <w:bCs/>
        </w:rPr>
        <w:t xml:space="preserve">Anlage 2</w:t>
      </w:r>
      <w:r>
        <w:t xml:space="preserve"> </w:t>
      </w:r>
      <w:r>
        <w:t xml:space="preserve">are used to classify organisations as:</w:t>
      </w:r>
    </w:p>
    <w:p>
      <w:pPr>
        <w:pStyle w:val="Compact"/>
        <w:numPr>
          <w:ilvl w:val="0"/>
          <w:numId w:val="1082"/>
        </w:numPr>
      </w:pPr>
      <w:r>
        <w:rPr>
          <w:b/>
          <w:bCs/>
        </w:rPr>
        <w:t xml:space="preserve">“Besonders wichtige Einrichtungen”</w:t>
      </w:r>
      <w:r>
        <w:t xml:space="preserve"> </w:t>
      </w:r>
      <w:r>
        <w:t xml:space="preserve">(especially important) and/or</w:t>
      </w:r>
    </w:p>
    <w:p>
      <w:pPr>
        <w:pStyle w:val="Compact"/>
        <w:numPr>
          <w:ilvl w:val="0"/>
          <w:numId w:val="1082"/>
        </w:numPr>
      </w:pPr>
      <w:r>
        <w:rPr>
          <w:b/>
          <w:bCs/>
        </w:rPr>
        <w:t xml:space="preserve">“Wichtige Einrichtungen”</w:t>
      </w:r>
      <w:r>
        <w:t xml:space="preserve"> </w:t>
      </w:r>
      <w:r>
        <w:t xml:space="preserve">(important),</w:t>
      </w:r>
    </w:p>
    <w:p>
      <w:pPr>
        <w:pStyle w:val="FirstParagraph"/>
      </w:pPr>
      <w:r>
        <w:t xml:space="preserve">depending on the applicable sector listing and legal framing. (</w:t>
      </w:r>
      <w:hyperlink r:id="rId98">
        <w:r>
          <w:rPr>
            <w:rStyle w:val="Hyperlink"/>
          </w:rPr>
          <w:t xml:space="preserve">Gesetze im Internet</w:t>
        </w:r>
      </w:hyperlink>
      <w:r>
        <w:t xml:space="preserve">)</w:t>
      </w:r>
    </w:p>
    <w:p>
      <w:pPr>
        <w:pStyle w:val="BodyText"/>
      </w:pPr>
      <w:r>
        <w:rPr>
          <w:b/>
          <w:bCs/>
        </w:rPr>
        <w:t xml:space="preserve">Health-relevant entries evidenced in the annexes include:</w:t>
      </w:r>
    </w:p>
    <w:p>
      <w:pPr>
        <w:pStyle w:val="Compact"/>
        <w:numPr>
          <w:ilvl w:val="0"/>
          <w:numId w:val="1083"/>
        </w:numPr>
      </w:pPr>
      <w:r>
        <w:rPr>
          <w:b/>
          <w:bCs/>
        </w:rPr>
        <w:t xml:space="preserve">Anlage 1</w:t>
      </w:r>
      <w:r>
        <w:t xml:space="preserve"> </w:t>
      </w:r>
      <w:r>
        <w:t xml:space="preserve">contains health-related entries such as</w:t>
      </w:r>
      <w:r>
        <w:t xml:space="preserve"> </w:t>
      </w:r>
      <w:r>
        <w:rPr>
          <w:b/>
          <w:bCs/>
        </w:rPr>
        <w:t xml:space="preserve">pharmaceutical R&amp;D</w:t>
      </w:r>
      <w:r>
        <w:t xml:space="preserve"> </w:t>
      </w:r>
      <w:r>
        <w:t xml:space="preserve">(in relation to medicines), and references to</w:t>
      </w:r>
      <w:r>
        <w:t xml:space="preserve"> </w:t>
      </w:r>
      <w:r>
        <w:rPr>
          <w:b/>
          <w:bCs/>
        </w:rPr>
        <w:t xml:space="preserve">medical devices for public-health emergency situations</w:t>
      </w:r>
      <w:r>
        <w:t xml:space="preserve"> </w:t>
      </w:r>
      <w:r>
        <w:t xml:space="preserve">(linked to EU emergency mechanisms). (</w:t>
      </w:r>
      <w:hyperlink r:id="rId98">
        <w:r>
          <w:rPr>
            <w:rStyle w:val="Hyperlink"/>
          </w:rPr>
          <w:t xml:space="preserve">Gesetze im Internet</w:t>
        </w:r>
      </w:hyperlink>
      <w:r>
        <w:t xml:space="preserve">)</w:t>
      </w:r>
    </w:p>
    <w:p>
      <w:pPr>
        <w:pStyle w:val="Compact"/>
        <w:numPr>
          <w:ilvl w:val="0"/>
          <w:numId w:val="1083"/>
        </w:numPr>
      </w:pPr>
      <w:r>
        <w:rPr>
          <w:b/>
          <w:bCs/>
        </w:rPr>
        <w:t xml:space="preserve">Anlage 2</w:t>
      </w:r>
      <w:r>
        <w:t xml:space="preserve"> </w:t>
      </w:r>
      <w:r>
        <w:t xml:space="preserve">includes</w:t>
      </w:r>
      <w:r>
        <w:t xml:space="preserve"> </w:t>
      </w:r>
      <w:r>
        <w:rPr>
          <w:b/>
          <w:bCs/>
        </w:rPr>
        <w:t xml:space="preserve">manufacture of in-vitro diagnostics</w:t>
      </w:r>
      <w:r>
        <w:t xml:space="preserve"> </w:t>
      </w:r>
      <w:r>
        <w:t xml:space="preserve">and related medical device manufacturing language (as shown in the Anlage 2 snippet). (</w:t>
      </w:r>
      <w:hyperlink r:id="rId99">
        <w:r>
          <w:rPr>
            <w:rStyle w:val="Hyperlink"/>
          </w:rPr>
          <w:t xml:space="preserve">Gesetze im Internet</w:t>
        </w:r>
      </w:hyperlink>
      <w:r>
        <w:t xml:space="preserve">)</w:t>
      </w:r>
    </w:p>
    <w:p>
      <w:pPr>
        <w:pStyle w:val="FirstParagraph"/>
      </w:pPr>
      <w:r>
        <w:rPr>
          <w:i/>
          <w:iCs/>
        </w:rPr>
        <w:t xml:space="preserve">(The evidence above is limited to the retrieved official passages.)</w:t>
      </w:r>
    </w:p>
    <w:bookmarkEnd w:id="117"/>
    <w:bookmarkEnd w:id="118"/>
    <w:bookmarkStart w:id="119" w:name="X28e7800a94386643abce5621775c397a50076fe"/>
    <w:p>
      <w:pPr>
        <w:pStyle w:val="Heading2"/>
      </w:pPr>
      <w:r>
        <w:t xml:space="preserve">Registration / notification (explicit requirement)</w:t>
      </w:r>
    </w:p>
    <w:p>
      <w:pPr>
        <w:pStyle w:val="FirstParagraph"/>
      </w:pPr>
      <w:r>
        <w:t xml:space="preserve">The BSIG includes a</w:t>
      </w:r>
      <w:r>
        <w:t xml:space="preserve"> </w:t>
      </w:r>
      <w:r>
        <w:rPr>
          <w:b/>
          <w:bCs/>
        </w:rPr>
        <w:t xml:space="preserve">registration obligation</w:t>
      </w:r>
      <w:r>
        <w:t xml:space="preserve">: covered entities must register</w:t>
      </w:r>
      <w:r>
        <w:t xml:space="preserve"> </w:t>
      </w:r>
      <w:r>
        <w:rPr>
          <w:b/>
          <w:bCs/>
        </w:rPr>
        <w:t xml:space="preserve">no later than three months</w:t>
      </w:r>
      <w:r>
        <w:t xml:space="preserve"> </w:t>
      </w:r>
      <w:r>
        <w:t xml:space="preserve">and provide required information to the competent system/authority. (</w:t>
      </w:r>
      <w:hyperlink r:id="rId101">
        <w:r>
          <w:rPr>
            <w:rStyle w:val="Hyperlink"/>
          </w:rPr>
          <w:t xml:space="preserve">Gesetze im Internet</w:t>
        </w:r>
      </w:hyperlink>
      <w:r>
        <w:t xml:space="preserve">)</w:t>
      </w:r>
    </w:p>
    <w:bookmarkEnd w:id="119"/>
    <w:bookmarkStart w:id="120" w:name="grading-tiering-scheme-as-evidenced"/>
    <w:p>
      <w:pPr>
        <w:pStyle w:val="Heading2"/>
      </w:pPr>
      <w:r>
        <w:t xml:space="preserve">Grading / tiering scheme (as evidenced)</w:t>
      </w:r>
    </w:p>
    <w:p>
      <w:pPr>
        <w:pStyle w:val="Compact"/>
        <w:numPr>
          <w:ilvl w:val="0"/>
          <w:numId w:val="1084"/>
        </w:numPr>
      </w:pPr>
      <w:r>
        <w:rPr>
          <w:b/>
          <w:bCs/>
        </w:rPr>
        <w:t xml:space="preserve">KRITIS (BSI-KritisV):</w:t>
      </w:r>
      <w:r>
        <w:t xml:space="preserve"> </w:t>
      </w:r>
      <w:r>
        <w:t xml:space="preserve">effectively</w:t>
      </w:r>
      <w:r>
        <w:t xml:space="preserve"> </w:t>
      </w:r>
      <w:r>
        <w:rPr>
          <w:b/>
          <w:bCs/>
        </w:rPr>
        <w:t xml:space="preserve">binary</w:t>
      </w:r>
      <w:r>
        <w:t xml:space="preserve"> </w:t>
      </w:r>
      <w:r>
        <w:t xml:space="preserve">at installation level (threshold met vs not met), using</w:t>
      </w:r>
      <w:r>
        <w:t xml:space="preserve"> </w:t>
      </w:r>
      <w:r>
        <w:rPr>
          <w:b/>
          <w:bCs/>
        </w:rPr>
        <w:t xml:space="preserve">numeric thresholds</w:t>
      </w:r>
      <w:r>
        <w:t xml:space="preserve"> </w:t>
      </w:r>
      <w:r>
        <w:t xml:space="preserve">in Anhang 5. (</w:t>
      </w:r>
      <w:hyperlink r:id="rId54">
        <w:r>
          <w:rPr>
            <w:rStyle w:val="Hyperlink"/>
          </w:rPr>
          <w:t xml:space="preserve">Gesetze im Internet</w:t>
        </w:r>
      </w:hyperlink>
      <w:r>
        <w:t xml:space="preserve">)</w:t>
      </w:r>
    </w:p>
    <w:p>
      <w:pPr>
        <w:pStyle w:val="Compact"/>
        <w:numPr>
          <w:ilvl w:val="0"/>
          <w:numId w:val="1084"/>
        </w:numPr>
      </w:pPr>
      <w:r>
        <w:rPr>
          <w:b/>
          <w:bCs/>
        </w:rPr>
        <w:t xml:space="preserve">NIS2 (BSIG 2025):</w:t>
      </w:r>
      <w:r>
        <w:t xml:space="preserve"> </w:t>
      </w:r>
      <w:r>
        <w:rPr>
          <w:b/>
          <w:bCs/>
        </w:rPr>
        <w:t xml:space="preserve">two-tier entity categorisation</w:t>
      </w:r>
      <w:r>
        <w:t xml:space="preserve"> </w:t>
      </w:r>
      <w:r>
        <w:t xml:space="preserve">via</w:t>
      </w:r>
      <w:r>
        <w:t xml:space="preserve"> </w:t>
      </w:r>
      <w:r>
        <w:rPr>
          <w:b/>
          <w:bCs/>
        </w:rPr>
        <w:t xml:space="preserve">Anlage 1 vs Anlage 2</w:t>
      </w:r>
      <w:r>
        <w:t xml:space="preserve"> </w:t>
      </w:r>
      <w:r>
        <w:t xml:space="preserve">structure (especially important vs important sectors/entities). (</w:t>
      </w:r>
      <w:hyperlink r:id="rId98">
        <w:r>
          <w:rPr>
            <w:rStyle w:val="Hyperlink"/>
          </w:rPr>
          <w:t xml:space="preserve">Gesetze im Internet</w:t>
        </w:r>
      </w:hyperlink>
      <w:r>
        <w:t xml:space="preserve">)</w:t>
      </w:r>
    </w:p>
    <w:bookmarkEnd w:id="120"/>
    <w:bookmarkStart w:id="122" w:name="public-vs-confidential-1"/>
    <w:p>
      <w:pPr>
        <w:pStyle w:val="Heading2"/>
      </w:pPr>
      <w:r>
        <w:t xml:space="preserve">Public vs confidential</w:t>
      </w:r>
    </w:p>
    <w:p>
      <w:pPr>
        <w:pStyle w:val="Compact"/>
        <w:numPr>
          <w:ilvl w:val="0"/>
          <w:numId w:val="1085"/>
        </w:numPr>
      </w:pPr>
      <w:r>
        <w:rPr>
          <w:b/>
          <w:bCs/>
        </w:rPr>
        <w:t xml:space="preserve">Public:</w:t>
      </w:r>
      <w:r>
        <w:t xml:space="preserve"> </w:t>
      </w:r>
      <w:r>
        <w:t xml:space="preserve">KRITIS thresholds for health are published in</w:t>
      </w:r>
      <w:r>
        <w:t xml:space="preserve"> </w:t>
      </w:r>
      <w:r>
        <w:rPr>
          <w:b/>
          <w:bCs/>
        </w:rPr>
        <w:t xml:space="preserve">Anhang 5</w:t>
      </w:r>
      <w:r>
        <w:t xml:space="preserve"> </w:t>
      </w:r>
      <w:r>
        <w:t xml:space="preserve">(Gesetze-im-Internet), and BSIG sector annexes are also published on Gesetze-im-Internet. (</w:t>
      </w:r>
      <w:hyperlink r:id="rId54">
        <w:r>
          <w:rPr>
            <w:rStyle w:val="Hyperlink"/>
          </w:rPr>
          <w:t xml:space="preserve">Gesetze im Internet</w:t>
        </w:r>
      </w:hyperlink>
      <w:r>
        <w:t xml:space="preserve">)</w:t>
      </w:r>
    </w:p>
    <w:p>
      <w:pPr>
        <w:pStyle w:val="Compact"/>
        <w:numPr>
          <w:ilvl w:val="0"/>
          <w:numId w:val="1085"/>
        </w:numPr>
      </w:pPr>
      <w:r>
        <w:rPr>
          <w:b/>
          <w:bCs/>
        </w:rPr>
        <w:t xml:space="preserve">KRITIS statistics:</w:t>
      </w:r>
      <w:r>
        <w:t xml:space="preserve"> </w:t>
      </w:r>
      <w:r>
        <w:t xml:space="preserve">BSI publishes KRITIS “in figures” (aggregated reporting). (</w:t>
      </w:r>
      <w:hyperlink r:id="rId121">
        <w:r>
          <w:rPr>
            <w:rStyle w:val="Hyperlink"/>
          </w:rPr>
          <w:t xml:space="preserve">BSI</w:t>
        </w:r>
      </w:hyperlink>
      <w:r>
        <w:t xml:space="preserve">)</w:t>
      </w:r>
    </w:p>
    <w:bookmarkEnd w:id="122"/>
    <w:bookmarkStart w:id="124" w:name="operational-note"/>
    <w:p>
      <w:pPr>
        <w:pStyle w:val="Heading2"/>
      </w:pPr>
      <w:r>
        <w:t xml:space="preserve">Operational note</w:t>
      </w:r>
    </w:p>
    <w:p>
      <w:pPr>
        <w:pStyle w:val="FirstParagraph"/>
      </w:pPr>
      <w:r>
        <w:t xml:space="preserve">Germany’s hospital sector uses</w:t>
      </w:r>
      <w:r>
        <w:t xml:space="preserve"> </w:t>
      </w:r>
      <w:r>
        <w:rPr>
          <w:b/>
          <w:bCs/>
        </w:rPr>
        <w:t xml:space="preserve">B3S (branch-specific security standard) materials</w:t>
      </w:r>
      <w:r>
        <w:t xml:space="preserve"> </w:t>
      </w:r>
      <w:r>
        <w:t xml:space="preserve">in practice. The DKG’s submitted B3S document explicitly references applicability beyond only KRITIS hospitals (e.g., those exceeding</w:t>
      </w:r>
      <w:r>
        <w:t xml:space="preserve"> </w:t>
      </w:r>
      <w:r>
        <w:rPr>
          <w:b/>
          <w:bCs/>
        </w:rPr>
        <w:t xml:space="preserve">30,000</w:t>
      </w:r>
      <w:r>
        <w:t xml:space="preserve"> </w:t>
      </w:r>
      <w:r>
        <w:t xml:space="preserve">inpatient cases) and frames B3S usage as an implementation approach in context. (</w:t>
      </w:r>
      <w:hyperlink r:id="rId123">
        <w:r>
          <w:rPr>
            <w:rStyle w:val="Hyperlink"/>
          </w:rPr>
          <w:t xml:space="preserve">dkgev.de</w:t>
        </w:r>
      </w:hyperlink>
      <w:r>
        <w:t xml:space="preserve">)</w:t>
      </w:r>
    </w:p>
    <w:bookmarkEnd w:id="124"/>
    <w:bookmarkStart w:id="126" w:name="references-germany"/>
    <w:p>
      <w:pPr>
        <w:pStyle w:val="Heading2"/>
      </w:pPr>
      <w:r>
        <w:t xml:space="preserve">References (Germany)</w:t>
      </w:r>
    </w:p>
    <w:p>
      <w:pPr>
        <w:pStyle w:val="Compact"/>
        <w:numPr>
          <w:ilvl w:val="0"/>
          <w:numId w:val="1086"/>
        </w:numPr>
      </w:pPr>
      <w:r>
        <w:rPr>
          <w:b/>
          <w:bCs/>
        </w:rPr>
        <w:t xml:space="preserve">BSI-KritisV</w:t>
      </w:r>
      <w:r>
        <w:t xml:space="preserve"> </w:t>
      </w:r>
      <w:r>
        <w:t xml:space="preserve">(Gesetze-im-Internet) — regulation index. (</w:t>
      </w:r>
      <w:hyperlink r:id="rId53">
        <w:r>
          <w:rPr>
            <w:rStyle w:val="Hyperlink"/>
          </w:rPr>
          <w:t xml:space="preserve">Gesetze im Internet</w:t>
        </w:r>
      </w:hyperlink>
      <w:r>
        <w:t xml:space="preserve">)</w:t>
      </w:r>
    </w:p>
    <w:p>
      <w:pPr>
        <w:pStyle w:val="Compact"/>
        <w:numPr>
          <w:ilvl w:val="0"/>
          <w:numId w:val="1086"/>
        </w:numPr>
      </w:pPr>
      <w:r>
        <w:rPr>
          <w:b/>
          <w:bCs/>
        </w:rPr>
        <w:t xml:space="preserve">BSI-KritisV — Anhang 5 (Sektor Gesundheit)</w:t>
      </w:r>
      <w:r>
        <w:t xml:space="preserve"> </w:t>
      </w:r>
      <w:r>
        <w:t xml:space="preserve">(Gesetze-im-Internet) — hospital threshold 30,000 cases/year (and health sector annex basis). (</w:t>
      </w:r>
      <w:hyperlink r:id="rId54">
        <w:r>
          <w:rPr>
            <w:rStyle w:val="Hyperlink"/>
          </w:rPr>
          <w:t xml:space="preserve">Gesetze im Internet</w:t>
        </w:r>
      </w:hyperlink>
      <w:r>
        <w:t xml:space="preserve">)</w:t>
      </w:r>
    </w:p>
    <w:p>
      <w:pPr>
        <w:pStyle w:val="Compact"/>
        <w:numPr>
          <w:ilvl w:val="0"/>
          <w:numId w:val="1086"/>
        </w:numPr>
      </w:pPr>
      <w:r>
        <w:rPr>
          <w:b/>
          <w:bCs/>
        </w:rPr>
        <w:t xml:space="preserve">BSI-KritisV — health/lab IT threshold evidence</w:t>
      </w:r>
      <w:r>
        <w:t xml:space="preserve"> </w:t>
      </w:r>
      <w:r>
        <w:t xml:space="preserve">(Gesetze-im-Internet snippet from Anhang 5 showing 1,500,000). (</w:t>
      </w:r>
      <w:hyperlink r:id="rId54">
        <w:r>
          <w:rPr>
            <w:rStyle w:val="Hyperlink"/>
          </w:rPr>
          <w:t xml:space="preserve">Gesetze im Internet</w:t>
        </w:r>
      </w:hyperlink>
      <w:r>
        <w:t xml:space="preserve">)</w:t>
      </w:r>
    </w:p>
    <w:p>
      <w:pPr>
        <w:pStyle w:val="Compact"/>
        <w:numPr>
          <w:ilvl w:val="0"/>
          <w:numId w:val="1086"/>
        </w:numPr>
      </w:pPr>
      <w:r>
        <w:rPr>
          <w:b/>
          <w:bCs/>
        </w:rPr>
        <w:t xml:space="preserve">BSI-KritisV — Blut-/Plasmaspendensteuerungssystem threshold 34,000</w:t>
      </w:r>
      <w:r>
        <w:t xml:space="preserve"> </w:t>
      </w:r>
      <w:r>
        <w:t xml:space="preserve">(Gesetze-im-Internet + PDF snippet). (</w:t>
      </w:r>
      <w:hyperlink r:id="rId57">
        <w:r>
          <w:rPr>
            <w:rStyle w:val="Hyperlink"/>
          </w:rPr>
          <w:t xml:space="preserve">Gesetze im Internet</w:t>
        </w:r>
      </w:hyperlink>
      <w:r>
        <w:t xml:space="preserve">)</w:t>
      </w:r>
    </w:p>
    <w:p>
      <w:pPr>
        <w:pStyle w:val="Compact"/>
        <w:numPr>
          <w:ilvl w:val="0"/>
          <w:numId w:val="1086"/>
        </w:numPr>
      </w:pPr>
      <w:r>
        <w:rPr>
          <w:b/>
          <w:bCs/>
        </w:rPr>
        <w:t xml:space="preserve">BSI-KritisV timing rule (“ab dem 1. April …”)</w:t>
      </w:r>
      <w:r>
        <w:t xml:space="preserve"> </w:t>
      </w:r>
      <w:r>
        <w:t xml:space="preserve">(BMI PDF + Gesetze snippet). (</w:t>
      </w:r>
      <w:hyperlink r:id="rId58">
        <w:r>
          <w:rPr>
            <w:rStyle w:val="Hyperlink"/>
          </w:rPr>
          <w:t xml:space="preserve">bmi.bund.de</w:t>
        </w:r>
      </w:hyperlink>
      <w:r>
        <w:t xml:space="preserve">)</w:t>
      </w:r>
    </w:p>
    <w:p>
      <w:pPr>
        <w:pStyle w:val="Compact"/>
        <w:numPr>
          <w:ilvl w:val="0"/>
          <w:numId w:val="1086"/>
        </w:numPr>
      </w:pPr>
      <w:r>
        <w:rPr>
          <w:b/>
          <w:bCs/>
        </w:rPr>
        <w:t xml:space="preserve">BSIG (2025 consolidated)</w:t>
      </w:r>
      <w:r>
        <w:t xml:space="preserve"> </w:t>
      </w:r>
      <w:r>
        <w:t xml:space="preserve">(Gesetze-im-Internet) +</w:t>
      </w:r>
      <w:r>
        <w:t xml:space="preserve"> </w:t>
      </w:r>
      <w:r>
        <w:rPr>
          <w:b/>
          <w:bCs/>
        </w:rPr>
        <w:t xml:space="preserve">Anlage 1</w:t>
      </w:r>
      <w:r>
        <w:t xml:space="preserve"> </w:t>
      </w:r>
      <w:r>
        <w:t xml:space="preserve">+</w:t>
      </w:r>
      <w:r>
        <w:t xml:space="preserve"> </w:t>
      </w:r>
      <w:r>
        <w:rPr>
          <w:b/>
          <w:bCs/>
        </w:rPr>
        <w:t xml:space="preserve">Anlage 2</w:t>
      </w:r>
      <w:r>
        <w:t xml:space="preserve">. (</w:t>
      </w:r>
      <w:hyperlink r:id="rId55">
        <w:r>
          <w:rPr>
            <w:rStyle w:val="Hyperlink"/>
          </w:rPr>
          <w:t xml:space="preserve">Gesetze im Internet</w:t>
        </w:r>
      </w:hyperlink>
      <w:r>
        <w:t xml:space="preserve">)</w:t>
      </w:r>
    </w:p>
    <w:p>
      <w:pPr>
        <w:pStyle w:val="Compact"/>
        <w:numPr>
          <w:ilvl w:val="0"/>
          <w:numId w:val="1086"/>
        </w:numPr>
      </w:pPr>
      <w:r>
        <w:rPr>
          <w:b/>
          <w:bCs/>
        </w:rPr>
        <w:t xml:space="preserve">Anlage 1 health-related entries (pharma R&amp;D; emergency medical device linkage)</w:t>
      </w:r>
      <w:r>
        <w:t xml:space="preserve"> </w:t>
      </w:r>
      <w:r>
        <w:t xml:space="preserve">(Gesetze-im-Internet snippet). (</w:t>
      </w:r>
      <w:hyperlink r:id="rId98">
        <w:r>
          <w:rPr>
            <w:rStyle w:val="Hyperlink"/>
          </w:rPr>
          <w:t xml:space="preserve">Gesetze im Internet</w:t>
        </w:r>
      </w:hyperlink>
      <w:r>
        <w:t xml:space="preserve">)</w:t>
      </w:r>
    </w:p>
    <w:p>
      <w:pPr>
        <w:pStyle w:val="Compact"/>
        <w:numPr>
          <w:ilvl w:val="0"/>
          <w:numId w:val="1086"/>
        </w:numPr>
      </w:pPr>
      <w:r>
        <w:rPr>
          <w:b/>
          <w:bCs/>
        </w:rPr>
        <w:t xml:space="preserve">Anlage 2 health supply-chain entry (in-vitro diagnostics / medical devices manufacturing snippet)</w:t>
      </w:r>
      <w:r>
        <w:t xml:space="preserve"> </w:t>
      </w:r>
      <w:r>
        <w:t xml:space="preserve">(Gesetze-im-Internet snippet). (</w:t>
      </w:r>
      <w:hyperlink r:id="rId99">
        <w:r>
          <w:rPr>
            <w:rStyle w:val="Hyperlink"/>
          </w:rPr>
          <w:t xml:space="preserve">Gesetze im Internet</w:t>
        </w:r>
      </w:hyperlink>
      <w:r>
        <w:t xml:space="preserve">)</w:t>
      </w:r>
    </w:p>
    <w:p>
      <w:pPr>
        <w:pStyle w:val="Compact"/>
        <w:numPr>
          <w:ilvl w:val="0"/>
          <w:numId w:val="1086"/>
        </w:numPr>
      </w:pPr>
      <w:r>
        <w:rPr>
          <w:b/>
          <w:bCs/>
        </w:rPr>
        <w:t xml:space="preserve">BSIG §33 registration obligation (“spätestens drei Monate …”)</w:t>
      </w:r>
      <w:r>
        <w:t xml:space="preserve"> </w:t>
      </w:r>
      <w:r>
        <w:t xml:space="preserve">(Gesetze-im-Internet snippet). (</w:t>
      </w:r>
      <w:hyperlink r:id="rId101">
        <w:r>
          <w:rPr>
            <w:rStyle w:val="Hyperlink"/>
          </w:rPr>
          <w:t xml:space="preserve">Gesetze im Internet</w:t>
        </w:r>
      </w:hyperlink>
      <w:r>
        <w:t xml:space="preserve">)</w:t>
      </w:r>
    </w:p>
    <w:p>
      <w:pPr>
        <w:pStyle w:val="Compact"/>
        <w:numPr>
          <w:ilvl w:val="0"/>
          <w:numId w:val="1086"/>
        </w:numPr>
      </w:pPr>
      <w:r>
        <w:rPr>
          <w:b/>
          <w:bCs/>
        </w:rPr>
        <w:t xml:space="preserve">Entry into force date (6 Dec 2025) — Federal Government + BSI press release</w:t>
      </w:r>
      <w:r>
        <w:t xml:space="preserve">. (</w:t>
      </w:r>
      <w:hyperlink r:id="rId56">
        <w:r>
          <w:rPr>
            <w:rStyle w:val="Hyperlink"/>
          </w:rPr>
          <w:t xml:space="preserve">Bundesregierung</w:t>
        </w:r>
      </w:hyperlink>
      <w:r>
        <w:t xml:space="preserve">)</w:t>
      </w:r>
    </w:p>
    <w:p>
      <w:pPr>
        <w:pStyle w:val="Compact"/>
        <w:numPr>
          <w:ilvl w:val="0"/>
          <w:numId w:val="1086"/>
        </w:numPr>
      </w:pPr>
      <w:r>
        <w:rPr>
          <w:b/>
          <w:bCs/>
        </w:rPr>
        <w:t xml:space="preserve">EU Regulation (EU) 2022/123 — Article 22 (“Liste kritischer Medizinprodukte …”)</w:t>
      </w:r>
      <w:r>
        <w:t xml:space="preserve"> </w:t>
      </w:r>
      <w:r>
        <w:t xml:space="preserve">(EUR-Lex PDF). (</w:t>
      </w:r>
      <w:hyperlink r:id="rId125">
        <w:r>
          <w:rPr>
            <w:rStyle w:val="Hyperlink"/>
          </w:rPr>
          <w:t xml:space="preserve">EUR-Lex</w:t>
        </w:r>
      </w:hyperlink>
      <w:r>
        <w:t xml:space="preserve">)</w:t>
      </w:r>
    </w:p>
    <w:p>
      <w:pPr>
        <w:pStyle w:val="Compact"/>
        <w:numPr>
          <w:ilvl w:val="0"/>
          <w:numId w:val="1086"/>
        </w:numPr>
      </w:pPr>
      <w:r>
        <w:rPr>
          <w:b/>
          <w:bCs/>
        </w:rPr>
        <w:t xml:space="preserve">DKG B3S hospital security standard submission document (2025-07-25)</w:t>
      </w:r>
      <w:r>
        <w:t xml:space="preserve"> </w:t>
      </w:r>
      <w:r>
        <w:t xml:space="preserve">(PDF). (</w:t>
      </w:r>
      <w:hyperlink r:id="rId123">
        <w:r>
          <w:rPr>
            <w:rStyle w:val="Hyperlink"/>
          </w:rPr>
          <w:t xml:space="preserve">dkgev.de</w:t>
        </w:r>
      </w:hyperlink>
      <w:r>
        <w:t xml:space="preserve">)</w:t>
      </w:r>
    </w:p>
    <w:p>
      <w:pPr>
        <w:sectPr>
          <w:footerReference w:type="first" r:id="rId13"/>
          <w:footerReference w:type="default" r:id="rId11"/>
          <w:footerReference w:type="even" r:id="rId10"/>
          <w:type w:val="nextPage"/>
        </w:sectPr>
      </w:pPr>
    </w:p>
    <w:bookmarkEnd w:id="126"/>
    <w:bookmarkEnd w:id="127"/>
    <w:bookmarkStart w:id="136" w:name="singapore"/>
    <w:p>
      <w:pPr>
        <w:pStyle w:val="Heading1"/>
      </w:pPr>
      <w:r>
        <w:t xml:space="preserve">SINGAPORE</w:t>
      </w:r>
    </w:p>
    <w:bookmarkStart w:id="128" w:name="final-categories-1"/>
    <w:p>
      <w:pPr>
        <w:pStyle w:val="Heading2"/>
      </w:pPr>
      <w:r>
        <w:rPr>
          <w:b/>
          <w:bCs/>
        </w:rPr>
        <w:t xml:space="preserve">Final Categories</w:t>
      </w:r>
    </w:p>
    <w:p>
      <w:pPr>
        <w:pStyle w:val="FirstParagraph"/>
      </w:pPr>
      <w:r>
        <w:rPr>
          <w:b/>
          <w:bCs/>
        </w:rPr>
        <w:t xml:space="preserve">Cybersecurity Act (2018; amended 2024)</w:t>
      </w:r>
    </w:p>
    <w:p>
      <w:pPr>
        <w:pStyle w:val="Compact"/>
        <w:numPr>
          <w:ilvl w:val="0"/>
          <w:numId w:val="1087"/>
        </w:numPr>
      </w:pPr>
      <w:r>
        <w:rPr>
          <w:b/>
          <w:bCs/>
        </w:rPr>
        <w:t xml:space="preserve">Critical Information Infrastructure (CII)</w:t>
      </w:r>
      <w:r>
        <w:t xml:space="preserve"> </w:t>
      </w:r>
      <w:r>
        <w:t xml:space="preserve">— a</w:t>
      </w:r>
      <w:r>
        <w:t xml:space="preserve"> </w:t>
      </w:r>
      <w:r>
        <w:rPr>
          <w:b/>
          <w:bCs/>
        </w:rPr>
        <w:t xml:space="preserve">computer or computer system</w:t>
      </w:r>
      <w:r>
        <w:t xml:space="preserve"> </w:t>
      </w:r>
      <w:r>
        <w:t xml:space="preserve">designated under</w:t>
      </w:r>
      <w:r>
        <w:t xml:space="preserve"> </w:t>
      </w:r>
      <w:r>
        <w:rPr>
          <w:b/>
          <w:bCs/>
        </w:rPr>
        <w:t xml:space="preserve">section 7(1)</w:t>
      </w:r>
      <w:r>
        <w:t xml:space="preserve"> </w:t>
      </w:r>
      <w:r>
        <w:t xml:space="preserve">(i.e., system-level designation, not “whole organisations/sectors”). (</w:t>
      </w:r>
      <w:hyperlink r:id="rId53">
        <w:r>
          <w:rPr>
            <w:rStyle w:val="Hyperlink"/>
          </w:rPr>
          <w:t xml:space="preserve">Cyber Security Agency of Singapore</w:t>
        </w:r>
      </w:hyperlink>
      <w:r>
        <w:t xml:space="preserve">)</w:t>
      </w:r>
    </w:p>
    <w:p>
      <w:pPr>
        <w:pStyle w:val="FirstParagraph"/>
      </w:pPr>
      <w:r>
        <w:rPr>
          <w:b/>
          <w:bCs/>
        </w:rPr>
        <w:t xml:space="preserve">CII sector coverage (policy statement):</w:t>
      </w:r>
    </w:p>
    <w:p>
      <w:pPr>
        <w:pStyle w:val="Compact"/>
        <w:numPr>
          <w:ilvl w:val="0"/>
          <w:numId w:val="1088"/>
        </w:numPr>
      </w:pPr>
      <w:r>
        <w:t xml:space="preserve">CSA identifies</w:t>
      </w:r>
      <w:r>
        <w:t xml:space="preserve"> </w:t>
      </w:r>
      <w:r>
        <w:rPr>
          <w:b/>
          <w:bCs/>
        </w:rPr>
        <w:t xml:space="preserve">Healthcare</w:t>
      </w:r>
      <w:r>
        <w:t xml:space="preserve"> </w:t>
      </w:r>
      <w:r>
        <w:t xml:space="preserve">as one of the critical sectors in scope for CII-protected essential services. (</w:t>
      </w:r>
      <w:hyperlink r:id="rId53">
        <w:r>
          <w:rPr>
            <w:rStyle w:val="Hyperlink"/>
          </w:rPr>
          <w:t xml:space="preserve">Cyber Security Agency of Singapore</w:t>
        </w:r>
      </w:hyperlink>
      <w:r>
        <w:t xml:space="preserve">)</w:t>
      </w:r>
    </w:p>
    <w:bookmarkEnd w:id="128"/>
    <w:bookmarkStart w:id="129" w:name="X23eb9deeb60aa6c50ec64a4f2075fd41b0cac36"/>
    <w:p>
      <w:pPr>
        <w:pStyle w:val="Heading2"/>
      </w:pPr>
      <w:r>
        <w:rPr>
          <w:b/>
          <w:bCs/>
        </w:rPr>
        <w:t xml:space="preserve">Exact Legal/Regulatory Criteria (designation test)</w:t>
      </w:r>
    </w:p>
    <w:p>
      <w:pPr>
        <w:pStyle w:val="FirstParagraph"/>
      </w:pPr>
      <w:r>
        <w:t xml:space="preserve">Under</w:t>
      </w:r>
      <w:r>
        <w:t xml:space="preserve"> </w:t>
      </w:r>
      <w:r>
        <w:rPr>
          <w:b/>
          <w:bCs/>
        </w:rPr>
        <w:t xml:space="preserve">section 7(1)</w:t>
      </w:r>
      <w:r>
        <w:t xml:space="preserve"> </w:t>
      </w:r>
      <w:r>
        <w:t xml:space="preserve">(as described in CSA’s official FAQ and the Act’s Explanatory Statement), a system may be designated as CII where it is:</w:t>
      </w:r>
    </w:p>
    <w:p>
      <w:pPr>
        <w:pStyle w:val="Compact"/>
        <w:numPr>
          <w:ilvl w:val="0"/>
          <w:numId w:val="1089"/>
        </w:numPr>
      </w:pPr>
      <w:r>
        <w:rPr>
          <w:b/>
          <w:bCs/>
        </w:rPr>
        <w:t xml:space="preserve">Located wholly or partly in Singapore</w:t>
      </w:r>
      <w:r>
        <w:t xml:space="preserve">, and</w:t>
      </w:r>
    </w:p>
    <w:p>
      <w:pPr>
        <w:pStyle w:val="Compact"/>
        <w:numPr>
          <w:ilvl w:val="0"/>
          <w:numId w:val="1089"/>
        </w:numPr>
      </w:pPr>
      <w:r>
        <w:rPr>
          <w:b/>
          <w:bCs/>
        </w:rPr>
        <w:t xml:space="preserve">Necessary for the continuous delivery of an “essential service”</w:t>
      </w:r>
      <w:r>
        <w:t xml:space="preserve">, and</w:t>
      </w:r>
    </w:p>
    <w:p>
      <w:pPr>
        <w:pStyle w:val="Compact"/>
        <w:numPr>
          <w:ilvl w:val="0"/>
          <w:numId w:val="1089"/>
        </w:numPr>
      </w:pPr>
      <w:r>
        <w:t xml:space="preserve">The system’s</w:t>
      </w:r>
      <w:r>
        <w:t xml:space="preserve"> </w:t>
      </w:r>
      <w:r>
        <w:rPr>
          <w:b/>
          <w:bCs/>
        </w:rPr>
        <w:t xml:space="preserve">loss or compromise</w:t>
      </w:r>
      <w:r>
        <w:t xml:space="preserve"> </w:t>
      </w:r>
      <w:r>
        <w:t xml:space="preserve">will have a</w:t>
      </w:r>
      <w:r>
        <w:t xml:space="preserve"> </w:t>
      </w:r>
      <w:r>
        <w:rPr>
          <w:b/>
          <w:bCs/>
        </w:rPr>
        <w:t xml:space="preserve">debilitating effect on the availability</w:t>
      </w:r>
      <w:r>
        <w:t xml:space="preserve"> </w:t>
      </w:r>
      <w:r>
        <w:t xml:space="preserve">of that essential service in Singapore. (</w:t>
      </w:r>
      <w:hyperlink r:id="rId53">
        <w:r>
          <w:rPr>
            <w:rStyle w:val="Hyperlink"/>
          </w:rPr>
          <w:t xml:space="preserve">Cyber Security Agency of Singapore</w:t>
        </w:r>
      </w:hyperlink>
      <w:r>
        <w:t xml:space="preserve">)</w:t>
      </w:r>
    </w:p>
    <w:p>
      <w:pPr>
        <w:pStyle w:val="FirstParagraph"/>
      </w:pPr>
      <w:r>
        <w:rPr>
          <w:b/>
          <w:bCs/>
        </w:rPr>
        <w:t xml:space="preserve">“Essential service” framing (why healthcare can qualify):</w:t>
      </w:r>
      <w:r>
        <w:t xml:space="preserve"> </w:t>
      </w:r>
      <w:r>
        <w:t xml:space="preserve">the Explanatory Statement describes “essential service” as a service essential to national-level interests (including</w:t>
      </w:r>
      <w:r>
        <w:t xml:space="preserve"> </w:t>
      </w:r>
      <w:r>
        <w:rPr>
          <w:b/>
          <w:bCs/>
        </w:rPr>
        <w:t xml:space="preserve">public health</w:t>
      </w:r>
      <w:r>
        <w:t xml:space="preserve">) and</w:t>
      </w:r>
      <w:r>
        <w:t xml:space="preserve"> </w:t>
      </w:r>
      <w:r>
        <w:rPr>
          <w:b/>
          <w:bCs/>
        </w:rPr>
        <w:t xml:space="preserve">specified in the First Schedule</w:t>
      </w:r>
      <w:r>
        <w:t xml:space="preserve">. (</w:t>
      </w:r>
      <w:hyperlink r:id="rId54">
        <w:r>
          <w:rPr>
            <w:rStyle w:val="Hyperlink"/>
          </w:rPr>
          <w:t xml:space="preserve">Isomer User Content</w:t>
        </w:r>
      </w:hyperlink>
      <w:r>
        <w:t xml:space="preserve">)</w:t>
      </w:r>
      <w:r>
        <w:t xml:space="preserve"> </w:t>
      </w:r>
      <w:r>
        <w:rPr>
          <w:b/>
          <w:bCs/>
        </w:rPr>
        <w:t xml:space="preserve">Designation mechanics and duration:</w:t>
      </w:r>
      <w:r>
        <w:t xml:space="preserve"> </w:t>
      </w:r>
      <w:r>
        <w:t xml:space="preserve">* Designation is</w:t>
      </w:r>
      <w:r>
        <w:t xml:space="preserve"> </w:t>
      </w:r>
      <w:r>
        <w:rPr>
          <w:b/>
          <w:bCs/>
        </w:rPr>
        <w:t xml:space="preserve">by written notice</w:t>
      </w:r>
      <w:r>
        <w:t xml:space="preserve"> </w:t>
      </w:r>
      <w:r>
        <w:t xml:space="preserve">to the system owner. (</w:t>
      </w:r>
      <w:hyperlink r:id="rId54">
        <w:r>
          <w:rPr>
            <w:rStyle w:val="Hyperlink"/>
          </w:rPr>
          <w:t xml:space="preserve">Isomer User Content</w:t>
        </w:r>
      </w:hyperlink>
      <w:r>
        <w:t xml:space="preserve">)</w:t>
      </w:r>
      <w:r>
        <w:t xml:space="preserve"> </w:t>
      </w:r>
      <w:r>
        <w:t xml:space="preserve">* Designation takes effect for</w:t>
      </w:r>
      <w:r>
        <w:t xml:space="preserve"> </w:t>
      </w:r>
      <w:r>
        <w:rPr>
          <w:b/>
          <w:bCs/>
        </w:rPr>
        <w:t xml:space="preserve">5 years</w:t>
      </w:r>
      <w:r>
        <w:t xml:space="preserve"> </w:t>
      </w:r>
      <w:r>
        <w:t xml:space="preserve">unless withdrawn earlier; CSA explains this as allowing periodic re-evaluation as circumstances change. (</w:t>
      </w:r>
      <w:hyperlink r:id="rId54">
        <w:r>
          <w:rPr>
            <w:rStyle w:val="Hyperlink"/>
          </w:rPr>
          <w:t xml:space="preserve">Isomer User Content</w:t>
        </w:r>
      </w:hyperlink>
      <w:r>
        <w:t xml:space="preserve">)</w:t>
      </w:r>
    </w:p>
    <w:bookmarkEnd w:id="129"/>
    <w:bookmarkStart w:id="130" w:name="gradingtiering-schemes"/>
    <w:p>
      <w:pPr>
        <w:pStyle w:val="Heading2"/>
      </w:pPr>
      <w:r>
        <w:rPr>
          <w:b/>
          <w:bCs/>
        </w:rPr>
        <w:t xml:space="preserve">Grading/Tiering Schemes</w:t>
      </w:r>
    </w:p>
    <w:p>
      <w:pPr>
        <w:pStyle w:val="Compact"/>
        <w:numPr>
          <w:ilvl w:val="0"/>
          <w:numId w:val="1090"/>
        </w:numPr>
      </w:pPr>
      <w:r>
        <w:rPr>
          <w:b/>
          <w:bCs/>
        </w:rPr>
        <w:t xml:space="preserve">No published multi-tier grading</w:t>
      </w:r>
      <w:r>
        <w:t xml:space="preserve"> </w:t>
      </w:r>
      <w:r>
        <w:t xml:space="preserve">for CII designation — the regime is essentially</w:t>
      </w:r>
      <w:r>
        <w:t xml:space="preserve"> </w:t>
      </w:r>
      <w:r>
        <w:rPr>
          <w:b/>
          <w:bCs/>
        </w:rPr>
        <w:t xml:space="preserve">designated CII vs non-CII</w:t>
      </w:r>
      <w:r>
        <w:t xml:space="preserve"> </w:t>
      </w:r>
      <w:r>
        <w:t xml:space="preserve">(with the list of designated CII itself not public). (</w:t>
      </w:r>
      <w:hyperlink r:id="rId53">
        <w:r>
          <w:rPr>
            <w:rStyle w:val="Hyperlink"/>
          </w:rPr>
          <w:t xml:space="preserve">Cyber Security Agency of Singapore</w:t>
        </w:r>
      </w:hyperlink>
      <w:r>
        <w:t xml:space="preserve">)</w:t>
      </w:r>
    </w:p>
    <w:bookmarkEnd w:id="130"/>
    <w:bookmarkStart w:id="131" w:name="X0cdb100ed3b603ada63bf8c0add2a0844ed782e"/>
    <w:p>
      <w:pPr>
        <w:pStyle w:val="Heading2"/>
      </w:pPr>
      <w:r>
        <w:rPr>
          <w:b/>
          <w:bCs/>
        </w:rPr>
        <w:t xml:space="preserve">Obligations once designated (high-level; from official explanatory material + CSA CII Code)</w:t>
      </w:r>
    </w:p>
    <w:p>
      <w:pPr>
        <w:pStyle w:val="FirstParagraph"/>
      </w:pPr>
      <w:r>
        <w:t xml:space="preserve">From the Cybersecurity Act Explanatory Statement, CII owners’ duties include (among others):</w:t>
      </w:r>
    </w:p>
    <w:p>
      <w:pPr>
        <w:pStyle w:val="Compact"/>
        <w:numPr>
          <w:ilvl w:val="0"/>
          <w:numId w:val="1091"/>
        </w:numPr>
      </w:pPr>
      <w:r>
        <w:t xml:space="preserve">comply with</w:t>
      </w:r>
      <w:r>
        <w:t xml:space="preserve"> </w:t>
      </w:r>
      <w:r>
        <w:rPr>
          <w:b/>
          <w:bCs/>
        </w:rPr>
        <w:t xml:space="preserve">Codes of Practice / Standards of Performance</w:t>
      </w:r>
      <w:r>
        <w:t xml:space="preserve"> </w:t>
      </w:r>
      <w:r>
        <w:t xml:space="preserve">and directions,</w:t>
      </w:r>
    </w:p>
    <w:p>
      <w:pPr>
        <w:pStyle w:val="Compact"/>
        <w:numPr>
          <w:ilvl w:val="0"/>
          <w:numId w:val="1091"/>
        </w:numPr>
      </w:pPr>
      <w:r>
        <w:rPr>
          <w:b/>
          <w:bCs/>
        </w:rPr>
        <w:t xml:space="preserve">report prescribed cybersecurity incidents</w:t>
      </w:r>
      <w:r>
        <w:t xml:space="preserve">,</w:t>
      </w:r>
    </w:p>
    <w:p>
      <w:pPr>
        <w:pStyle w:val="Compact"/>
        <w:numPr>
          <w:ilvl w:val="0"/>
          <w:numId w:val="1091"/>
        </w:numPr>
      </w:pPr>
      <w:r>
        <w:t xml:space="preserve">undergo</w:t>
      </w:r>
      <w:r>
        <w:t xml:space="preserve"> </w:t>
      </w:r>
      <w:r>
        <w:rPr>
          <w:b/>
          <w:bCs/>
        </w:rPr>
        <w:t xml:space="preserve">audits at least once every 2 years</w:t>
      </w:r>
      <w:r>
        <w:t xml:space="preserve">,</w:t>
      </w:r>
    </w:p>
    <w:p>
      <w:pPr>
        <w:pStyle w:val="Compact"/>
        <w:numPr>
          <w:ilvl w:val="0"/>
          <w:numId w:val="1091"/>
        </w:numPr>
      </w:pPr>
      <w:r>
        <w:t xml:space="preserve">perform</w:t>
      </w:r>
      <w:r>
        <w:t xml:space="preserve"> </w:t>
      </w:r>
      <w:r>
        <w:rPr>
          <w:b/>
          <w:bCs/>
        </w:rPr>
        <w:t xml:space="preserve">cybersecurity risk assessments at least once a year</w:t>
      </w:r>
      <w:r>
        <w:t xml:space="preserve">, and</w:t>
      </w:r>
    </w:p>
    <w:p>
      <w:pPr>
        <w:pStyle w:val="Compact"/>
        <w:numPr>
          <w:ilvl w:val="0"/>
          <w:numId w:val="1091"/>
        </w:numPr>
      </w:pPr>
      <w:r>
        <w:t xml:space="preserve">participate in</w:t>
      </w:r>
      <w:r>
        <w:t xml:space="preserve"> </w:t>
      </w:r>
      <w:r>
        <w:rPr>
          <w:b/>
          <w:bCs/>
        </w:rPr>
        <w:t xml:space="preserve">cybersecurity exercises</w:t>
      </w:r>
      <w:r>
        <w:t xml:space="preserve"> </w:t>
      </w:r>
      <w:r>
        <w:t xml:space="preserve">if required. (</w:t>
      </w:r>
      <w:hyperlink r:id="rId54">
        <w:r>
          <w:rPr>
            <w:rStyle w:val="Hyperlink"/>
          </w:rPr>
          <w:t xml:space="preserve">Isomer User Content</w:t>
        </w:r>
      </w:hyperlink>
      <w:r>
        <w:t xml:space="preserve">)</w:t>
      </w:r>
    </w:p>
    <w:p>
      <w:pPr>
        <w:pStyle w:val="FirstParagraph"/>
      </w:pPr>
      <w:r>
        <w:t xml:space="preserve">CSA publishes the</w:t>
      </w:r>
      <w:r>
        <w:t xml:space="preserve"> </w:t>
      </w:r>
      <w:r>
        <w:rPr>
          <w:b/>
          <w:bCs/>
        </w:rPr>
        <w:t xml:space="preserve">Cybersecurity Code of Practice for CII (PDF)</w:t>
      </w:r>
      <w:r>
        <w:t xml:space="preserve"> </w:t>
      </w:r>
      <w:r>
        <w:t xml:space="preserve">under its legislation resources (non-compliance is enforceable via directions under the Act, per the Explanatory Statement). (</w:t>
      </w:r>
      <w:hyperlink r:id="rId55">
        <w:r>
          <w:rPr>
            <w:rStyle w:val="Hyperlink"/>
          </w:rPr>
          <w:t xml:space="preserve">Cyber Security Agency of Singapore</w:t>
        </w:r>
      </w:hyperlink>
      <w:r>
        <w:t xml:space="preserve">)</w:t>
      </w:r>
    </w:p>
    <w:bookmarkEnd w:id="131"/>
    <w:bookmarkStart w:id="132" w:name="Xbdee86031c7adff9ab5d358e671ac9847335007"/>
    <w:p>
      <w:pPr>
        <w:pStyle w:val="Heading2"/>
      </w:pPr>
      <w:r>
        <w:rPr>
          <w:b/>
          <w:bCs/>
        </w:rPr>
        <w:t xml:space="preserve">Healthcare information systems “most likely” designated CII</w:t>
      </w:r>
    </w:p>
    <w:p>
      <w:pPr>
        <w:pStyle w:val="FirstParagraph"/>
      </w:pPr>
      <w:r>
        <w:rPr>
          <w:b/>
          <w:bCs/>
        </w:rPr>
        <w:t xml:space="preserve">Strict evidentiary position (what can be said publicly):</w:t>
      </w:r>
    </w:p>
    <w:p>
      <w:pPr>
        <w:pStyle w:val="Compact"/>
        <w:numPr>
          <w:ilvl w:val="0"/>
          <w:numId w:val="1092"/>
        </w:numPr>
      </w:pPr>
      <w:r>
        <w:rPr>
          <w:b/>
          <w:bCs/>
        </w:rPr>
        <w:t xml:space="preserve">CSA states the list of CII and CII owners is secret for national security reasons</w:t>
      </w:r>
      <w:r>
        <w:t xml:space="preserve">, and</w:t>
      </w:r>
      <w:r>
        <w:t xml:space="preserve"> </w:t>
      </w:r>
      <w:r>
        <w:rPr>
          <w:b/>
          <w:bCs/>
        </w:rPr>
        <w:t xml:space="preserve">CII refers to specific computers/systems explicitly designated</w:t>
      </w:r>
      <w:r>
        <w:t xml:space="preserve"> </w:t>
      </w:r>
      <w:r>
        <w:t xml:space="preserve">(not “firms and sectors”). Therefore</w:t>
      </w:r>
      <w:r>
        <w:t xml:space="preserve"> </w:t>
      </w:r>
      <w:r>
        <w:rPr>
          <w:b/>
          <w:bCs/>
        </w:rPr>
        <w:t xml:space="preserve">specific health systems (e.g., NEHR, ED systems, etc.) cannot be confirmed as CII from public sources</w:t>
      </w:r>
      <w:r>
        <w:t xml:space="preserve">. (</w:t>
      </w:r>
      <w:hyperlink r:id="rId53">
        <w:r>
          <w:rPr>
            <w:rStyle w:val="Hyperlink"/>
          </w:rPr>
          <w:t xml:space="preserve">Cyber Security Agency of Singapore</w:t>
        </w:r>
      </w:hyperlink>
      <w:r>
        <w:t xml:space="preserve">)</w:t>
      </w:r>
    </w:p>
    <w:p>
      <w:pPr>
        <w:pStyle w:val="FirstParagraph"/>
      </w:pPr>
      <w:r>
        <w:rPr>
          <w:b/>
          <w:bCs/>
        </w:rPr>
        <w:t xml:space="preserve">Related but not a CII designation list (health sector cyber requirements):</w:t>
      </w:r>
    </w:p>
    <w:p>
      <w:pPr>
        <w:pStyle w:val="Compact"/>
        <w:numPr>
          <w:ilvl w:val="0"/>
          <w:numId w:val="1093"/>
        </w:numPr>
      </w:pPr>
      <w:r>
        <w:t xml:space="preserve">MOH has issued</w:t>
      </w:r>
      <w:r>
        <w:t xml:space="preserve"> </w:t>
      </w:r>
      <w:r>
        <w:rPr>
          <w:b/>
          <w:bCs/>
        </w:rPr>
        <w:t xml:space="preserve">Cyber and Data Security Guidelines for Healthcare Providers</w:t>
      </w:r>
      <w:r>
        <w:t xml:space="preserve"> </w:t>
      </w:r>
      <w:r>
        <w:t xml:space="preserve">in the context of safe contribution/access to</w:t>
      </w:r>
      <w:r>
        <w:t xml:space="preserve"> </w:t>
      </w:r>
      <w:r>
        <w:rPr>
          <w:b/>
          <w:bCs/>
        </w:rPr>
        <w:t xml:space="preserve">NEHR</w:t>
      </w:r>
      <w:r>
        <w:t xml:space="preserve"> </w:t>
      </w:r>
      <w:r>
        <w:t xml:space="preserve">(this is a healthcare-sector cyber baseline document, not a publication of CII designations). (</w:t>
      </w:r>
      <w:hyperlink r:id="rId56">
        <w:r>
          <w:rPr>
            <w:rStyle w:val="Hyperlink"/>
          </w:rPr>
          <w:t xml:space="preserve">Health Information</w:t>
        </w:r>
      </w:hyperlink>
      <w:r>
        <w:t xml:space="preserve">)</w:t>
      </w:r>
    </w:p>
    <w:bookmarkEnd w:id="132"/>
    <w:bookmarkStart w:id="133" w:name="public-vs-confidential-2"/>
    <w:p>
      <w:pPr>
        <w:pStyle w:val="Heading2"/>
      </w:pPr>
      <w:r>
        <w:rPr>
          <w:b/>
          <w:bCs/>
        </w:rPr>
        <w:t xml:space="preserve">Public vs Confidential</w:t>
      </w:r>
    </w:p>
    <w:p>
      <w:pPr>
        <w:pStyle w:val="FirstParagraph"/>
      </w:pPr>
      <w:r>
        <w:rPr>
          <w:b/>
          <w:bCs/>
        </w:rPr>
        <w:t xml:space="preserve">Public:</w:t>
      </w:r>
    </w:p>
    <w:p>
      <w:pPr>
        <w:pStyle w:val="Compact"/>
        <w:numPr>
          <w:ilvl w:val="0"/>
          <w:numId w:val="1094"/>
        </w:numPr>
      </w:pPr>
      <w:r>
        <w:t xml:space="preserve">CSA publicly describes the</w:t>
      </w:r>
      <w:r>
        <w:t xml:space="preserve"> </w:t>
      </w:r>
      <w:r>
        <w:rPr>
          <w:b/>
          <w:bCs/>
        </w:rPr>
        <w:t xml:space="preserve">CII definition</w:t>
      </w:r>
      <w:r>
        <w:t xml:space="preserve"> </w:t>
      </w:r>
      <w:r>
        <w:t xml:space="preserve">and</w:t>
      </w:r>
      <w:r>
        <w:t xml:space="preserve"> </w:t>
      </w:r>
      <w:r>
        <w:rPr>
          <w:b/>
          <w:bCs/>
        </w:rPr>
        <w:t xml:space="preserve">critical sector scope</w:t>
      </w:r>
      <w:r>
        <w:t xml:space="preserve"> </w:t>
      </w:r>
      <w:r>
        <w:t xml:space="preserve">(including healthcare) and links to CII regulatory materials and Codes of Practice. (</w:t>
      </w:r>
      <w:hyperlink r:id="rId53">
        <w:r>
          <w:rPr>
            <w:rStyle w:val="Hyperlink"/>
          </w:rPr>
          <w:t xml:space="preserve">Cyber Security Agency of Singapore</w:t>
        </w:r>
      </w:hyperlink>
      <w:r>
        <w:t xml:space="preserve">)</w:t>
      </w:r>
    </w:p>
    <w:p>
      <w:pPr>
        <w:pStyle w:val="FirstParagraph"/>
      </w:pPr>
      <w:r>
        <w:rPr>
          <w:b/>
          <w:bCs/>
        </w:rPr>
        <w:t xml:space="preserve">Confidential:</w:t>
      </w:r>
    </w:p>
    <w:p>
      <w:pPr>
        <w:pStyle w:val="Compact"/>
        <w:numPr>
          <w:ilvl w:val="0"/>
          <w:numId w:val="1095"/>
        </w:numPr>
      </w:pPr>
      <w:r>
        <w:rPr>
          <w:b/>
          <w:bCs/>
        </w:rPr>
        <w:t xml:space="preserve">The list of CII and CII owners is secret</w:t>
      </w:r>
      <w:r>
        <w:t xml:space="preserve"> </w:t>
      </w:r>
      <w:r>
        <w:t xml:space="preserve">(CSA’s explicit statement). (</w:t>
      </w:r>
      <w:hyperlink r:id="rId53">
        <w:r>
          <w:rPr>
            <w:rStyle w:val="Hyperlink"/>
          </w:rPr>
          <w:t xml:space="preserve">Cyber Security Agency of Singapore</w:t>
        </w:r>
      </w:hyperlink>
      <w:r>
        <w:t xml:space="preserve">)</w:t>
      </w:r>
    </w:p>
    <w:bookmarkEnd w:id="133"/>
    <w:bookmarkStart w:id="134" w:name="Xc2bfbf97808bad8621b53433aafcb57e801b45e"/>
    <w:p>
      <w:pPr>
        <w:pStyle w:val="Heading2"/>
      </w:pPr>
      <w:r>
        <w:rPr>
          <w:b/>
          <w:bCs/>
        </w:rPr>
        <w:t xml:space="preserve">Latest Updates (2024–2026) — what can be evidenced from official sources</w:t>
      </w:r>
    </w:p>
    <w:p>
      <w:pPr>
        <w:pStyle w:val="Compact"/>
        <w:numPr>
          <w:ilvl w:val="0"/>
          <w:numId w:val="1096"/>
        </w:numPr>
      </w:pPr>
      <w:r>
        <w:t xml:space="preserve">CSA states</w:t>
      </w:r>
      <w:r>
        <w:t xml:space="preserve"> </w:t>
      </w:r>
      <w:r>
        <w:rPr>
          <w:b/>
          <w:bCs/>
        </w:rPr>
        <w:t xml:space="preserve">amendments to the Cybersecurity Act were passed in Parliament in May 2024</w:t>
      </w:r>
      <w:r>
        <w:t xml:space="preserve">, including updates to the CII provisions (and new regulated classes like STCC/ESCI/FDI). (</w:t>
      </w:r>
      <w:hyperlink r:id="rId57">
        <w:r>
          <w:rPr>
            <w:rStyle w:val="Hyperlink"/>
          </w:rPr>
          <w:t xml:space="preserve">Cyber Security Agency of Singapore</w:t>
        </w:r>
      </w:hyperlink>
      <w:r>
        <w:t xml:space="preserve">)</w:t>
      </w:r>
    </w:p>
    <w:p>
      <w:pPr>
        <w:pStyle w:val="Compact"/>
        <w:numPr>
          <w:ilvl w:val="0"/>
          <w:numId w:val="1096"/>
        </w:numPr>
      </w:pPr>
      <w:r>
        <w:t xml:space="preserve">CSA’s legislation pages show the current published</w:t>
      </w:r>
      <w:r>
        <w:t xml:space="preserve"> </w:t>
      </w:r>
      <w:r>
        <w:rPr>
          <w:b/>
          <w:bCs/>
        </w:rPr>
        <w:t xml:space="preserve">CII Code of Practice</w:t>
      </w:r>
      <w:r>
        <w:t xml:space="preserve"> </w:t>
      </w:r>
      <w:r>
        <w:t xml:space="preserve">and its last-updated date on the site. (</w:t>
      </w:r>
      <w:hyperlink r:id="rId55">
        <w:r>
          <w:rPr>
            <w:rStyle w:val="Hyperlink"/>
          </w:rPr>
          <w:t xml:space="preserve">Cyber Security Agency of Singapore</w:t>
        </w:r>
      </w:hyperlink>
      <w:r>
        <w:t xml:space="preserve">)</w:t>
      </w:r>
    </w:p>
    <w:bookmarkEnd w:id="134"/>
    <w:bookmarkStart w:id="135" w:name="references-singapore"/>
    <w:p>
      <w:pPr>
        <w:pStyle w:val="Heading2"/>
      </w:pPr>
      <w:r>
        <w:t xml:space="preserve">References (Singapore)</w:t>
      </w:r>
    </w:p>
    <w:p>
      <w:pPr>
        <w:pStyle w:val="Compact"/>
        <w:numPr>
          <w:ilvl w:val="0"/>
          <w:numId w:val="1097"/>
        </w:numPr>
      </w:pPr>
      <w:r>
        <w:rPr>
          <w:b/>
          <w:bCs/>
        </w:rPr>
        <w:t xml:space="preserve">Cyber Security Agency of Singapore (CSA).</w:t>
      </w:r>
      <w:r>
        <w:t xml:space="preserve"> </w:t>
      </w:r>
      <w:r>
        <w:rPr>
          <w:b/>
          <w:bCs/>
        </w:rPr>
        <w:t xml:space="preserve">FAQs — Cybersecurity Act</w:t>
      </w:r>
      <w:r>
        <w:t xml:space="preserve"> </w:t>
      </w:r>
      <w:r>
        <w:t xml:space="preserve">(CII definition; sectors; secrecy of CII list; 5-year designation rationale). (</w:t>
      </w:r>
      <w:hyperlink r:id="rId53">
        <w:r>
          <w:rPr>
            <w:rStyle w:val="Hyperlink"/>
          </w:rPr>
          <w:t xml:space="preserve">Cyber Security Agency of Singapore</w:t>
        </w:r>
      </w:hyperlink>
      <w:r>
        <w:t xml:space="preserve">)</w:t>
      </w:r>
    </w:p>
    <w:p>
      <w:pPr>
        <w:pStyle w:val="Compact"/>
        <w:numPr>
          <w:ilvl w:val="0"/>
          <w:numId w:val="1097"/>
        </w:numPr>
      </w:pPr>
      <w:r>
        <w:rPr>
          <w:b/>
          <w:bCs/>
        </w:rPr>
        <w:t xml:space="preserve">Government of Singapore / CSA.</w:t>
      </w:r>
      <w:r>
        <w:t xml:space="preserve"> </w:t>
      </w:r>
      <w:r>
        <w:rPr>
          <w:b/>
          <w:bCs/>
        </w:rPr>
        <w:t xml:space="preserve">Cybersecurity Act — Explanatory Statement (PDF)</w:t>
      </w:r>
      <w:r>
        <w:t xml:space="preserve"> </w:t>
      </w:r>
      <w:r>
        <w:t xml:space="preserve">(section-by-section explanation including section 7 test; 5-year effect; duties like audits/risk assessments). (</w:t>
      </w:r>
      <w:hyperlink r:id="rId54">
        <w:r>
          <w:rPr>
            <w:rStyle w:val="Hyperlink"/>
          </w:rPr>
          <w:t xml:space="preserve">Isomer User Content</w:t>
        </w:r>
      </w:hyperlink>
      <w:r>
        <w:t xml:space="preserve">)</w:t>
      </w:r>
    </w:p>
    <w:p>
      <w:pPr>
        <w:pStyle w:val="Compact"/>
        <w:numPr>
          <w:ilvl w:val="0"/>
          <w:numId w:val="1097"/>
        </w:numPr>
      </w:pPr>
      <w:r>
        <w:rPr>
          <w:b/>
          <w:bCs/>
        </w:rPr>
        <w:t xml:space="preserve">CSA.</w:t>
      </w:r>
      <w:r>
        <w:t xml:space="preserve"> </w:t>
      </w:r>
      <w:r>
        <w:rPr>
          <w:b/>
          <w:bCs/>
        </w:rPr>
        <w:t xml:space="preserve">Cybersecurity Act (overview page)</w:t>
      </w:r>
      <w:r>
        <w:t xml:space="preserve"> </w:t>
      </w:r>
      <w:r>
        <w:t xml:space="preserve">(notes amendments passed May 2024; sector list including healthcare; links to official sources). (</w:t>
      </w:r>
      <w:hyperlink r:id="rId57">
        <w:r>
          <w:rPr>
            <w:rStyle w:val="Hyperlink"/>
          </w:rPr>
          <w:t xml:space="preserve">Cyber Security Agency of Singapore</w:t>
        </w:r>
      </w:hyperlink>
      <w:r>
        <w:t xml:space="preserve">)</w:t>
      </w:r>
    </w:p>
    <w:p>
      <w:pPr>
        <w:pStyle w:val="Compact"/>
        <w:numPr>
          <w:ilvl w:val="0"/>
          <w:numId w:val="1097"/>
        </w:numPr>
      </w:pPr>
      <w:r>
        <w:rPr>
          <w:b/>
          <w:bCs/>
        </w:rPr>
        <w:t xml:space="preserve">CSA.</w:t>
      </w:r>
      <w:r>
        <w:t xml:space="preserve"> </w:t>
      </w:r>
      <w:r>
        <w:rPr>
          <w:b/>
          <w:bCs/>
        </w:rPr>
        <w:t xml:space="preserve">Codes of Practice page</w:t>
      </w:r>
      <w:r>
        <w:t xml:space="preserve"> </w:t>
      </w:r>
      <w:r>
        <w:t xml:space="preserve">(official listing and link to CII Code of Practice PDF). (</w:t>
      </w:r>
      <w:hyperlink r:id="rId55">
        <w:r>
          <w:rPr>
            <w:rStyle w:val="Hyperlink"/>
          </w:rPr>
          <w:t xml:space="preserve">Cyber Security Agency of Singapore</w:t>
        </w:r>
      </w:hyperlink>
      <w:r>
        <w:t xml:space="preserve">)</w:t>
      </w:r>
    </w:p>
    <w:p>
      <w:pPr>
        <w:pStyle w:val="Compact"/>
        <w:numPr>
          <w:ilvl w:val="0"/>
          <w:numId w:val="1097"/>
        </w:numPr>
      </w:pPr>
      <w:r>
        <w:rPr>
          <w:b/>
          <w:bCs/>
        </w:rPr>
        <w:t xml:space="preserve">CSA.</w:t>
      </w:r>
      <w:r>
        <w:t xml:space="preserve"> </w:t>
      </w:r>
      <w:r>
        <w:rPr>
          <w:b/>
          <w:bCs/>
        </w:rPr>
        <w:t xml:space="preserve">Cybersecurity Code of Practice for Critical Information Infrastructure (PDF)</w:t>
      </w:r>
      <w:r>
        <w:t xml:space="preserve"> </w:t>
      </w:r>
      <w:r>
        <w:t xml:space="preserve">(detailed CII owner requirements). (</w:t>
      </w:r>
      <w:hyperlink r:id="rId58">
        <w:r>
          <w:rPr>
            <w:rStyle w:val="Hyperlink"/>
          </w:rPr>
          <w:t xml:space="preserve">Isomer User Content</w:t>
        </w:r>
      </w:hyperlink>
      <w:r>
        <w:t xml:space="preserve">)</w:t>
      </w:r>
    </w:p>
    <w:p>
      <w:pPr>
        <w:pStyle w:val="Compact"/>
        <w:numPr>
          <w:ilvl w:val="0"/>
          <w:numId w:val="1097"/>
        </w:numPr>
      </w:pPr>
      <w:r>
        <w:rPr>
          <w:b/>
          <w:bCs/>
        </w:rPr>
        <w:t xml:space="preserve">Ministry of Health (Singapore).</w:t>
      </w:r>
      <w:r>
        <w:t xml:space="preserve"> </w:t>
      </w:r>
      <w:r>
        <w:rPr>
          <w:b/>
          <w:bCs/>
        </w:rPr>
        <w:t xml:space="preserve">Cyber &amp; Data Security Guidelines for Healthcare Providers (PDF)</w:t>
      </w:r>
      <w:r>
        <w:t xml:space="preserve"> </w:t>
      </w:r>
      <w:r>
        <w:t xml:space="preserve">(NEHR-linked healthcare provider cyber requirements; not a CII designation list). (</w:t>
      </w:r>
      <w:hyperlink r:id="rId56">
        <w:r>
          <w:rPr>
            <w:rStyle w:val="Hyperlink"/>
          </w:rPr>
          <w:t xml:space="preserve">Health Information</w:t>
        </w:r>
      </w:hyperlink>
      <w:r>
        <w:t xml:space="preserve">)</w:t>
      </w:r>
    </w:p>
    <w:p>
      <w:pPr>
        <w:sectPr>
          <w:footerReference w:type="first" r:id="rId13"/>
          <w:footerReference w:type="default" r:id="rId11"/>
          <w:footerReference w:type="even" r:id="rId10"/>
          <w:type w:val="nextPage"/>
        </w:sectPr>
      </w:pPr>
    </w:p>
    <w:bookmarkEnd w:id="135"/>
    <w:bookmarkEnd w:id="136"/>
    <w:bookmarkStart w:id="145" w:name="japan"/>
    <w:p>
      <w:pPr>
        <w:pStyle w:val="Heading1"/>
      </w:pPr>
      <w:r>
        <w:t xml:space="preserve">JAPAN</w:t>
      </w:r>
    </w:p>
    <w:bookmarkStart w:id="137" w:name="legal-basis-1"/>
    <w:p>
      <w:pPr>
        <w:pStyle w:val="Heading2"/>
      </w:pPr>
      <w:r>
        <w:t xml:space="preserve">Legal Basis</w:t>
      </w:r>
    </w:p>
    <w:p>
      <w:pPr>
        <w:pStyle w:val="Compact"/>
        <w:numPr>
          <w:ilvl w:val="0"/>
          <w:numId w:val="1098"/>
        </w:numPr>
      </w:pPr>
      <w:r>
        <w:rPr>
          <w:b/>
          <w:bCs/>
        </w:rPr>
        <w:t xml:space="preserve">Basic Act on Cybersecurity (Act No. 104 of 2014)</w:t>
      </w:r>
      <w:r>
        <w:t xml:space="preserve"> </w:t>
      </w:r>
      <w:r>
        <w:t xml:space="preserve">— establishes the national cybersecurity policy framework and defines</w:t>
      </w:r>
      <w:r>
        <w:t xml:space="preserve"> </w:t>
      </w:r>
      <w:r>
        <w:rPr>
          <w:i/>
          <w:iCs/>
        </w:rPr>
        <w:t xml:space="preserve">critical social infrastructure providers</w:t>
      </w:r>
      <w:r>
        <w:t xml:space="preserve"> </w:t>
      </w:r>
      <w:r>
        <w:t xml:space="preserve">as those providing infrastructure foundational to people’s lives/economic activity where failure/deterioration would have enormous impact.</w:t>
      </w:r>
    </w:p>
    <w:p>
      <w:pPr>
        <w:pStyle w:val="Compact"/>
        <w:numPr>
          <w:ilvl w:val="0"/>
          <w:numId w:val="1098"/>
        </w:numPr>
      </w:pPr>
      <w:r>
        <w:rPr>
          <w:b/>
          <w:bCs/>
        </w:rPr>
        <w:t xml:space="preserve">Cybersecurity Policy for Critical Infrastructure Protection</w:t>
      </w:r>
      <w:r>
        <w:t xml:space="preserve"> </w:t>
      </w:r>
      <w:r>
        <w:t xml:space="preserve">(Cybersecurity Strategic Headquarters; June 17, 2022; revised March 8, 2024) — sets the government-wide CIP framework and terminology for CI operators, CI sectors, CI services, and “critical information systems”.</w:t>
      </w:r>
    </w:p>
    <w:bookmarkEnd w:id="137"/>
    <w:bookmarkStart w:id="138" w:name="X449b9c7fc2e8b6c6aeacbccf0fd71209a394361"/>
    <w:p>
      <w:pPr>
        <w:pStyle w:val="Heading2"/>
      </w:pPr>
      <w:r>
        <w:t xml:space="preserve">Final Categories (as used in the CIP framework)</w:t>
      </w:r>
    </w:p>
    <w:p>
      <w:pPr>
        <w:pStyle w:val="FirstParagraph"/>
      </w:pPr>
      <w:r>
        <w:t xml:space="preserve">From the</w:t>
      </w:r>
      <w:r>
        <w:t xml:space="preserve"> </w:t>
      </w:r>
      <w:r>
        <w:rPr>
          <w:b/>
          <w:bCs/>
        </w:rPr>
        <w:t xml:space="preserve">Cybersecurity Policy for Critical Infrastructure Protection</w:t>
      </w:r>
      <w:r>
        <w:t xml:space="preserve">:</w:t>
      </w:r>
    </w:p>
    <w:p>
      <w:pPr>
        <w:pStyle w:val="Compact"/>
        <w:numPr>
          <w:ilvl w:val="0"/>
          <w:numId w:val="1099"/>
        </w:numPr>
      </w:pPr>
      <w:r>
        <w:rPr>
          <w:b/>
          <w:bCs/>
        </w:rPr>
        <w:t xml:space="preserve">CI sectors</w:t>
      </w:r>
      <w:r>
        <w:t xml:space="preserve">: the policy glossary enumerates CI sectors including</w:t>
      </w:r>
      <w:r>
        <w:t xml:space="preserve"> </w:t>
      </w:r>
      <w:r>
        <w:rPr>
          <w:b/>
          <w:bCs/>
        </w:rPr>
        <w:t xml:space="preserve">“medical services”</w:t>
      </w:r>
      <w:r>
        <w:t xml:space="preserve"> </w:t>
      </w:r>
      <w:r>
        <w:t xml:space="preserve">(among other sectors).</w:t>
      </w:r>
    </w:p>
    <w:p>
      <w:pPr>
        <w:pStyle w:val="Compact"/>
        <w:numPr>
          <w:ilvl w:val="0"/>
          <w:numId w:val="1099"/>
        </w:numPr>
      </w:pPr>
      <w:r>
        <w:rPr>
          <w:b/>
          <w:bCs/>
        </w:rPr>
        <w:t xml:space="preserve">CI operators</w:t>
      </w:r>
      <w:r>
        <w:t xml:space="preserve">: defined in the policy as “critical social infrastructure providers” (per the Basic Act) and further scoped via</w:t>
      </w:r>
      <w:r>
        <w:t xml:space="preserve"> </w:t>
      </w:r>
      <w:r>
        <w:rPr>
          <w:b/>
          <w:bCs/>
        </w:rPr>
        <w:t xml:space="preserve">ANNEX 1</w:t>
      </w:r>
      <w:r>
        <w:t xml:space="preserve">.</w:t>
      </w:r>
    </w:p>
    <w:p>
      <w:pPr>
        <w:pStyle w:val="Compact"/>
        <w:numPr>
          <w:ilvl w:val="0"/>
          <w:numId w:val="1099"/>
        </w:numPr>
      </w:pPr>
      <w:r>
        <w:rPr>
          <w:b/>
          <w:bCs/>
        </w:rPr>
        <w:t xml:space="preserve">Critical information systems</w:t>
      </w:r>
      <w:r>
        <w:t xml:space="preserve">: information systems required to provide CI services, designated for each CI operator based on degree of impact on CI services.</w:t>
      </w:r>
    </w:p>
    <w:bookmarkEnd w:id="138"/>
    <w:bookmarkStart w:id="139" w:name="X9cc05808ab4715c95d304e7f2ced2b5a67e4281"/>
    <w:p>
      <w:pPr>
        <w:pStyle w:val="Heading2"/>
      </w:pPr>
      <w:r>
        <w:t xml:space="preserve">“Medical services” as a CI sector — what the policy explicitly says</w:t>
      </w:r>
    </w:p>
    <w:p>
      <w:pPr>
        <w:pStyle w:val="FirstParagraph"/>
      </w:pPr>
      <w:r>
        <w:rPr>
          <w:b/>
          <w:bCs/>
        </w:rPr>
        <w:t xml:space="preserve">ANNEX 1 (scope/examples) includes:</w:t>
      </w:r>
    </w:p>
    <w:p>
      <w:pPr>
        <w:pStyle w:val="Compact"/>
        <w:numPr>
          <w:ilvl w:val="0"/>
          <w:numId w:val="1100"/>
        </w:numPr>
      </w:pPr>
      <w:r>
        <w:rPr>
          <w:b/>
          <w:bCs/>
        </w:rPr>
        <w:t xml:space="preserve">Medical services — Medical facilities (excluding small scale facilities)</w:t>
      </w:r>
      <w:r>
        <w:t xml:space="preserve">, with example critical information systems such as:</w:t>
      </w:r>
    </w:p>
    <w:p>
      <w:pPr>
        <w:pStyle w:val="Compact"/>
        <w:numPr>
          <w:ilvl w:val="1"/>
          <w:numId w:val="1101"/>
        </w:numPr>
      </w:pPr>
      <w:r>
        <w:t xml:space="preserve">“medical examination record management systems”</w:t>
      </w:r>
    </w:p>
    <w:p>
      <w:pPr>
        <w:pStyle w:val="Compact"/>
        <w:numPr>
          <w:ilvl w:val="1"/>
          <w:numId w:val="1101"/>
        </w:numPr>
      </w:pPr>
      <w:r>
        <w:t xml:space="preserve">“medical examination support systems”</w:t>
      </w:r>
    </w:p>
    <w:p>
      <w:pPr>
        <w:pStyle w:val="Compact"/>
        <w:numPr>
          <w:ilvl w:val="1"/>
          <w:numId w:val="1101"/>
        </w:numPr>
      </w:pPr>
      <w:r>
        <w:t xml:space="preserve">“community medical care support systems”</w:t>
      </w:r>
    </w:p>
    <w:p>
      <w:pPr>
        <w:pStyle w:val="FirstParagraph"/>
      </w:pPr>
      <w:r>
        <w:rPr>
          <w:b/>
          <w:bCs/>
        </w:rPr>
        <w:t xml:space="preserve">ANNEX 2 (service explanation/outage examples) includes for medical services:</w:t>
      </w:r>
    </w:p>
    <w:p>
      <w:pPr>
        <w:pStyle w:val="Compact"/>
        <w:numPr>
          <w:ilvl w:val="0"/>
          <w:numId w:val="1102"/>
        </w:numPr>
      </w:pPr>
      <w:r>
        <w:t xml:space="preserve">CI service: “medical examination / examination and treatment”</w:t>
      </w:r>
    </w:p>
    <w:p>
      <w:pPr>
        <w:pStyle w:val="Compact"/>
        <w:numPr>
          <w:ilvl w:val="0"/>
          <w:numId w:val="1102"/>
        </w:numPr>
      </w:pPr>
      <w:r>
        <w:t xml:space="preserve">Example impacts: hindrance to medical examination support departments; malfunction of medical equipment threatening human life</w:t>
      </w:r>
    </w:p>
    <w:p>
      <w:pPr>
        <w:pStyle w:val="Compact"/>
        <w:numPr>
          <w:ilvl w:val="0"/>
          <w:numId w:val="1102"/>
        </w:numPr>
      </w:pPr>
      <w:r>
        <w:t xml:space="preserve">Referenced guidance: “Guideline on Safety Management of Medical Information Systems”</w:t>
      </w:r>
    </w:p>
    <w:bookmarkEnd w:id="139"/>
    <w:bookmarkStart w:id="140" w:name="X9df8fa9ee8825e28ec621e4d1748d8d01ab0a46"/>
    <w:p>
      <w:pPr>
        <w:pStyle w:val="Heading2"/>
      </w:pPr>
      <w:r>
        <w:t xml:space="preserve">Health-sector cybersecurity governance signals from MHLW (evidence from your PDFs)</w:t>
      </w:r>
    </w:p>
    <w:p>
      <w:pPr>
        <w:pStyle w:val="Compact"/>
        <w:numPr>
          <w:ilvl w:val="0"/>
          <w:numId w:val="1103"/>
        </w:numPr>
      </w:pPr>
      <w:r>
        <w:rPr>
          <w:b/>
          <w:bCs/>
        </w:rPr>
        <w:t xml:space="preserve">Basic Policy for Cyber-security Measures at Medical Facilities</w:t>
      </w:r>
      <w:r>
        <w:t xml:space="preserve">:</w:t>
      </w:r>
    </w:p>
    <w:p>
      <w:pPr>
        <w:pStyle w:val="Compact"/>
        <w:numPr>
          <w:ilvl w:val="1"/>
          <w:numId w:val="1104"/>
        </w:numPr>
      </w:pPr>
      <w:r>
        <w:t xml:space="preserve">The policy context explicitly places healthcare cyber measures alongside:</w:t>
      </w:r>
    </w:p>
    <w:p>
      <w:pPr>
        <w:pStyle w:val="Compact"/>
        <w:numPr>
          <w:ilvl w:val="2"/>
          <w:numId w:val="1105"/>
        </w:numPr>
      </w:pPr>
      <w:r>
        <w:t xml:space="preserve">“Basic Act on Cyber-security”</w:t>
      </w:r>
    </w:p>
    <w:p>
      <w:pPr>
        <w:pStyle w:val="Compact"/>
        <w:numPr>
          <w:ilvl w:val="2"/>
          <w:numId w:val="1105"/>
        </w:numPr>
      </w:pPr>
      <w:r>
        <w:t xml:space="preserve">“Fourth action plan on information security measures for critical infrastructure”</w:t>
      </w:r>
    </w:p>
    <w:p>
      <w:pPr>
        <w:pStyle w:val="Compact"/>
        <w:numPr>
          <w:ilvl w:val="2"/>
          <w:numId w:val="1105"/>
        </w:numPr>
      </w:pPr>
      <w:r>
        <w:t xml:space="preserve">and depicts</w:t>
      </w:r>
      <w:r>
        <w:t xml:space="preserve"> </w:t>
      </w:r>
      <w:r>
        <w:rPr>
          <w:b/>
          <w:bCs/>
        </w:rPr>
        <w:t xml:space="preserve">Healthcare CEPTOAR</w:t>
      </w:r>
      <w:r>
        <w:t xml:space="preserve"> </w:t>
      </w:r>
      <w:r>
        <w:t xml:space="preserve">within the information-sharing / reporting ecosystem.</w:t>
      </w:r>
    </w:p>
    <w:p>
      <w:pPr>
        <w:pStyle w:val="Compact"/>
        <w:numPr>
          <w:ilvl w:val="1"/>
          <w:numId w:val="1104"/>
        </w:numPr>
      </w:pPr>
      <w:r>
        <w:t xml:space="preserve">It also describes preparation of a</w:t>
      </w:r>
      <w:r>
        <w:t xml:space="preserve"> </w:t>
      </w:r>
      <w:r>
        <w:rPr>
          <w:b/>
          <w:bCs/>
        </w:rPr>
        <w:t xml:space="preserve">checklist</w:t>
      </w:r>
      <w:r>
        <w:t xml:space="preserve"> </w:t>
      </w:r>
      <w:r>
        <w:t xml:space="preserve">to facilitate checks at medical facilities and indicates positioning cybersecurity-measure status checks as part of</w:t>
      </w:r>
      <w:r>
        <w:t xml:space="preserve"> </w:t>
      </w:r>
      <w:r>
        <w:rPr>
          <w:b/>
          <w:bCs/>
        </w:rPr>
        <w:t xml:space="preserve">on-site inspection</w:t>
      </w:r>
      <w:r>
        <w:t xml:space="preserve"> </w:t>
      </w:r>
      <w:r>
        <w:t xml:space="preserve">framing.</w:t>
      </w:r>
    </w:p>
    <w:p>
      <w:pPr>
        <w:pStyle w:val="FirstParagraph"/>
      </w:pPr>
      <w:r>
        <w:rPr>
          <w:b/>
          <w:bCs/>
        </w:rPr>
        <w:t xml:space="preserve">Guidelines on Safety Management of Healthcare Information Systems (Ver. 6.0 outline/major points)</w:t>
      </w:r>
    </w:p>
    <w:p>
      <w:pPr>
        <w:pStyle w:val="Compact"/>
        <w:numPr>
          <w:ilvl w:val="0"/>
          <w:numId w:val="1106"/>
        </w:numPr>
      </w:pPr>
      <w:r>
        <w:t xml:space="preserve">The version history explicitly notes that</w:t>
      </w:r>
      <w:r>
        <w:t xml:space="preserve"> </w:t>
      </w:r>
      <w:r>
        <w:rPr>
          <w:b/>
          <w:bCs/>
        </w:rPr>
        <w:t xml:space="preserve">Version 2</w:t>
      </w:r>
      <w:r>
        <w:t xml:space="preserve"> </w:t>
      </w:r>
      <w:r>
        <w:t xml:space="preserve">was “revised from the viewpoint of healthcare information systems as</w:t>
      </w:r>
      <w:r>
        <w:t xml:space="preserve"> </w:t>
      </w:r>
      <w:r>
        <w:rPr>
          <w:b/>
          <w:bCs/>
        </w:rPr>
        <w:t xml:space="preserve">critical infrastructure</w:t>
      </w:r>
      <w:r>
        <w:t xml:space="preserve">.”</w:t>
      </w:r>
    </w:p>
    <w:p>
      <w:pPr>
        <w:pStyle w:val="Compact"/>
        <w:numPr>
          <w:ilvl w:val="0"/>
          <w:numId w:val="1106"/>
        </w:numPr>
      </w:pPr>
      <w:r>
        <w:t xml:space="preserve">It also notes that because</w:t>
      </w:r>
      <w:r>
        <w:t xml:space="preserve"> </w:t>
      </w:r>
      <w:r>
        <w:rPr>
          <w:b/>
          <w:bCs/>
        </w:rPr>
        <w:t xml:space="preserve">online qualification check</w:t>
      </w:r>
      <w:r>
        <w:t xml:space="preserve"> </w:t>
      </w:r>
      <w:r>
        <w:t xml:space="preserve">became mandatory (from April 2023), “almost all medical facilities, etc., are required to take the network-related security measures” described in the guidelines.</w:t>
      </w:r>
    </w:p>
    <w:bookmarkEnd w:id="140"/>
    <w:bookmarkStart w:id="141" w:name="Xf50ef00060dad14703e20aad204fa99f2861c74"/>
    <w:p>
      <w:pPr>
        <w:pStyle w:val="Heading2"/>
      </w:pPr>
      <w:r>
        <w:t xml:space="preserve">Medical devices cybersecurity (incident handling / reporting) — evidence</w:t>
      </w:r>
    </w:p>
    <w:p>
      <w:pPr>
        <w:pStyle w:val="FirstParagraph"/>
      </w:pPr>
      <w:r>
        <w:rPr>
          <w:b/>
          <w:bCs/>
        </w:rPr>
        <w:t xml:space="preserve">From the PMDA/MHLW English reference translation you uploaded (000272598.pdf):</w:t>
      </w:r>
    </w:p>
    <w:p>
      <w:pPr>
        <w:pStyle w:val="Compact"/>
        <w:numPr>
          <w:ilvl w:val="0"/>
          <w:numId w:val="1107"/>
        </w:numPr>
      </w:pPr>
      <w:r>
        <w:t xml:space="preserve">It describes cybersecurity expectations across the lifecycle (pre-market resilience; post-market vulnerability correction/patching; incident handling) and provides for reporting pathways/forms to PMDA in the described framework.</w:t>
      </w:r>
    </w:p>
    <w:bookmarkEnd w:id="141"/>
    <w:bookmarkStart w:id="142" w:name="Xddce93a83c3538d0b0b14de4972e6ed6891faf5"/>
    <w:p>
      <w:pPr>
        <w:pStyle w:val="Heading2"/>
      </w:pPr>
      <w:r>
        <w:t xml:space="preserve">Grading / Tiering schemes (what we can and cannot claim evidentially)</w:t>
      </w:r>
    </w:p>
    <w:p>
      <w:pPr>
        <w:pStyle w:val="Compact"/>
        <w:numPr>
          <w:ilvl w:val="0"/>
          <w:numId w:val="1108"/>
        </w:numPr>
      </w:pPr>
      <w:r>
        <w:rPr>
          <w:b/>
          <w:bCs/>
        </w:rPr>
        <w:t xml:space="preserve">No public numeric thresholding for “medical CI” appears in the CI policy text</w:t>
      </w:r>
      <w:r>
        <w:t xml:space="preserve"> </w:t>
      </w:r>
      <w:r>
        <w:t xml:space="preserve">(it uses the qualitative boundary “medical facilities (excluding small scale facilities)” in ANNEX 1).</w:t>
      </w:r>
    </w:p>
    <w:p>
      <w:pPr>
        <w:pStyle w:val="Compact"/>
        <w:numPr>
          <w:ilvl w:val="0"/>
          <w:numId w:val="1108"/>
        </w:numPr>
      </w:pPr>
      <w:r>
        <w:t xml:space="preserve">The CIP framework does define</w:t>
      </w:r>
      <w:r>
        <w:t xml:space="preserve"> </w:t>
      </w:r>
      <w:r>
        <w:rPr>
          <w:b/>
          <w:bCs/>
        </w:rPr>
        <w:t xml:space="preserve">information-sharing structures and policy measures</w:t>
      </w:r>
      <w:r>
        <w:t xml:space="preserve">, but</w:t>
      </w:r>
      <w:r>
        <w:t xml:space="preserve"> </w:t>
      </w:r>
      <w:r>
        <w:rPr>
          <w:b/>
          <w:bCs/>
        </w:rPr>
        <w:t xml:space="preserve">a public hospital-tier scoring rubric (A/B/C or Tier 1/2/3)</w:t>
      </w:r>
      <w:r>
        <w:t xml:space="preserve"> </w:t>
      </w:r>
      <w:r>
        <w:t xml:space="preserve">is</w:t>
      </w:r>
      <w:r>
        <w:t xml:space="preserve"> </w:t>
      </w:r>
      <w:r>
        <w:rPr>
          <w:b/>
          <w:bCs/>
        </w:rPr>
        <w:t xml:space="preserve">not evidenced</w:t>
      </w:r>
      <w:r>
        <w:t xml:space="preserve"> </w:t>
      </w:r>
      <w:r>
        <w:t xml:space="preserve">by the sources opened above, so it is</w:t>
      </w:r>
      <w:r>
        <w:t xml:space="preserve"> </w:t>
      </w:r>
      <w:r>
        <w:rPr>
          <w:b/>
          <w:bCs/>
        </w:rPr>
        <w:t xml:space="preserve">omitted</w:t>
      </w:r>
      <w:r>
        <w:t xml:space="preserve"> </w:t>
      </w:r>
      <w:r>
        <w:t xml:space="preserve">here.</w:t>
      </w:r>
    </w:p>
    <w:bookmarkEnd w:id="142"/>
    <w:bookmarkStart w:id="143" w:name="X0442c9e285dfd5c01989cd71202ed9beca6ad98"/>
    <w:p>
      <w:pPr>
        <w:pStyle w:val="Heading2"/>
      </w:pPr>
      <w:r>
        <w:t xml:space="preserve">Health information systems most defensibly “in-scope / critical”</w:t>
      </w:r>
    </w:p>
    <w:p>
      <w:pPr>
        <w:pStyle w:val="FirstParagraph"/>
      </w:pPr>
      <w:r>
        <w:t xml:space="preserve">Based strictly on</w:t>
      </w:r>
      <w:r>
        <w:t xml:space="preserve"> </w:t>
      </w:r>
      <w:r>
        <w:rPr>
          <w:b/>
          <w:bCs/>
        </w:rPr>
        <w:t xml:space="preserve">ANNEX 1 examples for “medical services”</w:t>
      </w:r>
      <w:r>
        <w:t xml:space="preserve"> </w:t>
      </w:r>
      <w:r>
        <w:t xml:space="preserve">in the CIP policy:</w:t>
      </w:r>
    </w:p>
    <w:p>
      <w:pPr>
        <w:pStyle w:val="Compact"/>
        <w:numPr>
          <w:ilvl w:val="0"/>
          <w:numId w:val="1109"/>
        </w:numPr>
      </w:pPr>
      <w:r>
        <w:t xml:space="preserve">Medical examination record management systems</w:t>
      </w:r>
    </w:p>
    <w:p>
      <w:pPr>
        <w:pStyle w:val="Compact"/>
        <w:numPr>
          <w:ilvl w:val="0"/>
          <w:numId w:val="1109"/>
        </w:numPr>
      </w:pPr>
      <w:r>
        <w:t xml:space="preserve">Medical examination support systems</w:t>
      </w:r>
    </w:p>
    <w:p>
      <w:pPr>
        <w:pStyle w:val="Compact"/>
        <w:numPr>
          <w:ilvl w:val="0"/>
          <w:numId w:val="1109"/>
        </w:numPr>
      </w:pPr>
      <w:r>
        <w:t xml:space="preserve">Community medical care support systems</w:t>
      </w:r>
    </w:p>
    <w:bookmarkEnd w:id="143"/>
    <w:bookmarkStart w:id="144" w:name="references-japan"/>
    <w:p>
      <w:pPr>
        <w:pStyle w:val="Heading2"/>
      </w:pPr>
      <w:r>
        <w:t xml:space="preserve">References (Japan)</w:t>
      </w:r>
    </w:p>
    <w:p>
      <w:pPr>
        <w:pStyle w:val="Compact"/>
        <w:numPr>
          <w:ilvl w:val="0"/>
          <w:numId w:val="1110"/>
        </w:numPr>
      </w:pPr>
      <w:r>
        <w:rPr>
          <w:b/>
          <w:bCs/>
        </w:rPr>
        <w:t xml:space="preserve">Japanese Law Translation (Ministry of Justice).</w:t>
      </w:r>
      <w:r>
        <w:t xml:space="preserve"> </w:t>
      </w:r>
      <w:r>
        <w:rPr>
          <w:b/>
          <w:bCs/>
        </w:rPr>
        <w:t xml:space="preserve">The Basic Act on Cybersecurity (Act No. 104 of 2014)</w:t>
      </w:r>
      <w:r>
        <w:t xml:space="preserve">. (</w:t>
      </w:r>
      <w:hyperlink r:id="rId53">
        <w:r>
          <w:rPr>
            <w:rStyle w:val="Hyperlink"/>
          </w:rPr>
          <w:t xml:space="preserve">link</w:t>
        </w:r>
      </w:hyperlink>
      <w:r>
        <w:t xml:space="preserve">)</w:t>
      </w:r>
    </w:p>
    <w:p>
      <w:pPr>
        <w:pStyle w:val="Compact"/>
        <w:numPr>
          <w:ilvl w:val="0"/>
          <w:numId w:val="1110"/>
        </w:numPr>
      </w:pPr>
      <w:r>
        <w:rPr>
          <w:b/>
          <w:bCs/>
        </w:rPr>
        <w:t xml:space="preserve">Cybersecurity Strategic Headquarters (Japan).</w:t>
      </w:r>
      <w:r>
        <w:t xml:space="preserve"> </w:t>
      </w:r>
      <w:r>
        <w:rPr>
          <w:b/>
          <w:bCs/>
        </w:rPr>
        <w:t xml:space="preserve">The Cybersecurity Policy for Critical Infrastructure Protection</w:t>
      </w:r>
      <w:r>
        <w:t xml:space="preserve"> </w:t>
      </w:r>
      <w:r>
        <w:t xml:space="preserve">(revised March 8, 2024). (</w:t>
      </w:r>
      <w:hyperlink r:id="rId54">
        <w:r>
          <w:rPr>
            <w:rStyle w:val="Hyperlink"/>
          </w:rPr>
          <w:t xml:space="preserve">pdf</w:t>
        </w:r>
      </w:hyperlink>
      <w:r>
        <w:t xml:space="preserve">)</w:t>
      </w:r>
    </w:p>
    <w:p>
      <w:pPr>
        <w:pStyle w:val="Compact"/>
        <w:numPr>
          <w:ilvl w:val="0"/>
          <w:numId w:val="1110"/>
        </w:numPr>
      </w:pPr>
      <w:r>
        <w:rPr>
          <w:b/>
          <w:bCs/>
        </w:rPr>
        <w:t xml:space="preserve">National Cybersecurity Office (Japan).</w:t>
      </w:r>
      <w:r>
        <w:t xml:space="preserve"> </w:t>
      </w:r>
      <w:r>
        <w:rPr>
          <w:b/>
          <w:bCs/>
        </w:rPr>
        <w:t xml:space="preserve">Critical Infrastructure Protection Overview</w:t>
      </w:r>
      <w:r>
        <w:t xml:space="preserve">. (</w:t>
      </w:r>
      <w:hyperlink r:id="rId55">
        <w:r>
          <w:rPr>
            <w:rStyle w:val="Hyperlink"/>
          </w:rPr>
          <w:t xml:space="preserve">pdf</w:t>
        </w:r>
      </w:hyperlink>
      <w:r>
        <w:t xml:space="preserve">)</w:t>
      </w:r>
    </w:p>
    <w:p>
      <w:pPr>
        <w:pStyle w:val="Compact"/>
        <w:numPr>
          <w:ilvl w:val="0"/>
          <w:numId w:val="1110"/>
        </w:numPr>
      </w:pPr>
      <w:r>
        <w:rPr>
          <w:b/>
          <w:bCs/>
        </w:rPr>
        <w:t xml:space="preserve">MHLW (Japan).</w:t>
      </w:r>
      <w:r>
        <w:t xml:space="preserve"> </w:t>
      </w:r>
      <w:r>
        <w:rPr>
          <w:b/>
          <w:bCs/>
        </w:rPr>
        <w:t xml:space="preserve">Basic Policy for Cyber-security Measures at Medical Facilities</w:t>
      </w:r>
      <w:r>
        <w:t xml:space="preserve">. (</w:t>
      </w:r>
      <w:hyperlink r:id="rId56">
        <w:r>
          <w:rPr>
            <w:rStyle w:val="Hyperlink"/>
          </w:rPr>
          <w:t xml:space="preserve">pdf</w:t>
        </w:r>
      </w:hyperlink>
      <w:r>
        <w:t xml:space="preserve">)</w:t>
      </w:r>
    </w:p>
    <w:p>
      <w:pPr>
        <w:pStyle w:val="Compact"/>
        <w:numPr>
          <w:ilvl w:val="0"/>
          <w:numId w:val="1110"/>
        </w:numPr>
      </w:pPr>
      <w:r>
        <w:rPr>
          <w:b/>
          <w:bCs/>
        </w:rPr>
        <w:t xml:space="preserve">MHLW (Japan).</w:t>
      </w:r>
      <w:r>
        <w:t xml:space="preserve"> </w:t>
      </w:r>
      <w:r>
        <w:rPr>
          <w:b/>
          <w:bCs/>
        </w:rPr>
        <w:t xml:space="preserve">Guidelines on Safety Management of Healthcare Information Systems Ver. 6.0</w:t>
      </w:r>
      <w:r>
        <w:t xml:space="preserve">. (</w:t>
      </w:r>
      <w:hyperlink r:id="rId57">
        <w:r>
          <w:rPr>
            <w:rStyle w:val="Hyperlink"/>
          </w:rPr>
          <w:t xml:space="preserve">link</w:t>
        </w:r>
      </w:hyperlink>
      <w:r>
        <w:t xml:space="preserve">)</w:t>
      </w:r>
    </w:p>
    <w:p>
      <w:pPr>
        <w:pStyle w:val="Compact"/>
        <w:numPr>
          <w:ilvl w:val="0"/>
          <w:numId w:val="1110"/>
        </w:numPr>
      </w:pPr>
      <w:r>
        <w:rPr>
          <w:b/>
          <w:bCs/>
        </w:rPr>
        <w:t xml:space="preserve">PMDA/MHLW (Japan).</w:t>
      </w:r>
      <w:r>
        <w:t xml:space="preserve"> </w:t>
      </w:r>
      <w:r>
        <w:rPr>
          <w:b/>
          <w:bCs/>
        </w:rPr>
        <w:t xml:space="preserve">Cybersecurity-related medical device safety / reporting material</w:t>
      </w:r>
      <w:r>
        <w:t xml:space="preserve">. (</w:t>
      </w:r>
      <w:hyperlink r:id="rId58">
        <w:r>
          <w:rPr>
            <w:rStyle w:val="Hyperlink"/>
          </w:rPr>
          <w:t xml:space="preserve">pdf</w:t>
        </w:r>
      </w:hyperlink>
      <w:r>
        <w:t xml:space="preserve">)</w:t>
      </w:r>
    </w:p>
    <w:p>
      <w:pPr>
        <w:sectPr>
          <w:footerReference w:type="first" r:id="rId13"/>
          <w:footerReference w:type="default" r:id="rId11"/>
          <w:footerReference w:type="even" r:id="rId10"/>
          <w:type w:val="nextPage"/>
        </w:sectPr>
      </w:pPr>
    </w:p>
    <w:bookmarkEnd w:id="144"/>
    <w:bookmarkEnd w:id="145"/>
    <w:bookmarkStart w:id="159" w:name="china-peoples-republic-of-china"/>
    <w:p>
      <w:pPr>
        <w:pStyle w:val="Heading1"/>
      </w:pPr>
      <w:r>
        <w:t xml:space="preserve">CHINA (PEOPLE’S REPUBLIC OF CHINA)</w:t>
      </w:r>
    </w:p>
    <w:bookmarkStart w:id="146" w:name="X1963e95183f0425714ef2a697316a948e3b6b5b"/>
    <w:p>
      <w:pPr>
        <w:pStyle w:val="Heading2"/>
      </w:pPr>
      <w:r>
        <w:t xml:space="preserve">Final categories (what is “highest critical / protected”)</w:t>
      </w:r>
    </w:p>
    <w:p>
      <w:pPr>
        <w:pStyle w:val="Compact"/>
        <w:numPr>
          <w:ilvl w:val="0"/>
          <w:numId w:val="1111"/>
        </w:numPr>
      </w:pPr>
      <w:r>
        <w:rPr>
          <w:rFonts w:hint="eastAsia"/>
          <w:b/>
          <w:bCs/>
        </w:rPr>
        <w:t xml:space="preserve">关键信息基础设施</w:t>
      </w:r>
      <w:r>
        <w:rPr>
          <w:b/>
          <w:bCs/>
        </w:rPr>
        <w:t xml:space="preserve"> (Critical Information Infrastructure, “CII”) </w:t>
      </w:r>
      <w:r>
        <w:rPr>
          <w:rFonts w:hint="eastAsia"/>
          <w:b/>
          <w:bCs/>
        </w:rPr>
        <w:t xml:space="preserve">—重点保护</w:t>
      </w:r>
      <w:r>
        <w:rPr>
          <w:b/>
          <w:bCs/>
        </w:rPr>
        <w:t xml:space="preserve"> / key protection</w:t>
      </w:r>
    </w:p>
    <w:p>
      <w:pPr>
        <w:pStyle w:val="Compact"/>
        <w:numPr>
          <w:ilvl w:val="1"/>
          <w:numId w:val="1112"/>
        </w:numPr>
      </w:pPr>
      <w:r>
        <w:t xml:space="preserve">The Cybersecurity Law provides that the State applies</w:t>
      </w:r>
      <w:r>
        <w:t xml:space="preserve"> </w:t>
      </w:r>
      <w:r>
        <w:rPr>
          <w:rFonts w:hint="eastAsia"/>
          <w:b/>
          <w:bCs/>
        </w:rPr>
        <w:t xml:space="preserve">重点保护</w:t>
      </w:r>
      <w:r>
        <w:rPr>
          <w:b/>
          <w:bCs/>
        </w:rPr>
        <w:t xml:space="preserve"> (“key protection”)</w:t>
      </w:r>
      <w:r>
        <w:t xml:space="preserve"> </w:t>
      </w:r>
      <w:r>
        <w:t xml:space="preserve">to CII in listed sectors,</w:t>
      </w:r>
      <w:r>
        <w:t xml:space="preserve"> </w:t>
      </w:r>
      <w:r>
        <w:rPr>
          <w:b/>
          <w:bCs/>
        </w:rPr>
        <w:t xml:space="preserve">on the basis of the network security graded protection system </w:t>
      </w:r>
      <w:r>
        <w:rPr>
          <w:rFonts w:hint="eastAsia"/>
          <w:b/>
          <w:bCs/>
        </w:rPr>
        <w:t xml:space="preserve">(网络安全等级保护制度)</w:t>
      </w:r>
      <w:r>
        <w:t xml:space="preserve">, and delegates the</w:t>
      </w:r>
      <w:r>
        <w:t xml:space="preserve"> </w:t>
      </w:r>
      <w:r>
        <w:rPr>
          <w:b/>
          <w:bCs/>
        </w:rPr>
        <w:t xml:space="preserve">specific scope and protection measures</w:t>
      </w:r>
      <w:r>
        <w:t xml:space="preserve"> </w:t>
      </w:r>
      <w:r>
        <w:t xml:space="preserve">to the State Council. (</w:t>
      </w:r>
      <w:hyperlink r:id="rId53">
        <w:r>
          <w:rPr>
            <w:rStyle w:val="Hyperlink"/>
          </w:rPr>
          <w:t xml:space="preserve">CAC</w:t>
        </w:r>
      </w:hyperlink>
      <w:r>
        <w:t xml:space="preserve">)</w:t>
      </w:r>
    </w:p>
    <w:p>
      <w:pPr>
        <w:pStyle w:val="Compact"/>
        <w:numPr>
          <w:ilvl w:val="0"/>
          <w:numId w:val="1111"/>
        </w:numPr>
      </w:pPr>
      <w:r>
        <w:rPr>
          <w:rFonts w:hint="eastAsia"/>
          <w:b/>
          <w:bCs/>
        </w:rPr>
        <w:t xml:space="preserve">关键信息基础设施的运营者</w:t>
      </w:r>
      <w:r>
        <w:rPr>
          <w:b/>
          <w:bCs/>
        </w:rPr>
        <w:t xml:space="preserve"> (Operators of CII / “CIIOs”)</w:t>
      </w:r>
    </w:p>
    <w:p>
      <w:pPr>
        <w:pStyle w:val="Compact"/>
        <w:numPr>
          <w:ilvl w:val="1"/>
          <w:numId w:val="1113"/>
        </w:numPr>
      </w:pPr>
      <w:r>
        <w:t xml:space="preserve">The Cybersecurity Law contains a dedicated section on</w:t>
      </w:r>
      <w:r>
        <w:t xml:space="preserve"> </w:t>
      </w:r>
      <w:r>
        <w:rPr>
          <w:b/>
          <w:bCs/>
        </w:rPr>
        <w:t xml:space="preserve">CII operational security</w:t>
      </w:r>
      <w:r>
        <w:t xml:space="preserve"> </w:t>
      </w:r>
      <w:r>
        <w:t xml:space="preserve">and sets additional obligations for</w:t>
      </w:r>
      <w:r>
        <w:t xml:space="preserve"> </w:t>
      </w:r>
      <w:r>
        <w:rPr>
          <w:b/>
          <w:bCs/>
        </w:rPr>
        <w:t xml:space="preserve">CII operators</w:t>
      </w:r>
      <w:r>
        <w:t xml:space="preserve"> </w:t>
      </w:r>
      <w:r>
        <w:t xml:space="preserve">in that section. (</w:t>
      </w:r>
      <w:hyperlink r:id="rId53">
        <w:r>
          <w:rPr>
            <w:rStyle w:val="Hyperlink"/>
          </w:rPr>
          <w:t xml:space="preserve">CAC</w:t>
        </w:r>
      </w:hyperlink>
      <w:r>
        <w:t xml:space="preserve">)</w:t>
      </w:r>
    </w:p>
    <w:p>
      <w:pPr>
        <w:pStyle w:val="Compact"/>
        <w:numPr>
          <w:ilvl w:val="0"/>
          <w:numId w:val="1111"/>
        </w:numPr>
      </w:pPr>
      <w:r>
        <w:rPr>
          <w:rFonts w:hint="eastAsia"/>
          <w:b/>
          <w:bCs/>
        </w:rPr>
        <w:t xml:space="preserve">《关键信息基础设施安全保护条例》</w:t>
      </w:r>
      <w:r>
        <w:rPr>
          <w:b/>
          <w:bCs/>
        </w:rPr>
        <w:t xml:space="preserve"> (State Council Decree No. 745; effective 1 Sept 2021)</w:t>
      </w:r>
    </w:p>
    <w:p>
      <w:pPr>
        <w:pStyle w:val="Compact"/>
        <w:numPr>
          <w:ilvl w:val="1"/>
          <w:numId w:val="1114"/>
        </w:numPr>
      </w:pPr>
      <w:r>
        <w:t xml:space="preserve">These Regulations define CII, establish the supervisory structure, and set out the</w:t>
      </w:r>
      <w:r>
        <w:t xml:space="preserve"> </w:t>
      </w:r>
      <w:r>
        <w:rPr>
          <w:b/>
          <w:bCs/>
        </w:rPr>
        <w:t xml:space="preserve">industry-regulator “determination / designation” mechanism</w:t>
      </w:r>
      <w:r>
        <w:t xml:space="preserve"> </w:t>
      </w:r>
      <w:r>
        <w:t xml:space="preserve">(Protection Work Departments drafting designation rules; organizing determinations; notifying operators). (</w:t>
      </w:r>
      <w:hyperlink r:id="rId54">
        <w:r>
          <w:rPr>
            <w:rStyle w:val="Hyperlink"/>
          </w:rPr>
          <w:t xml:space="preserve">China Law Translate</w:t>
        </w:r>
      </w:hyperlink>
      <w:r>
        <w:t xml:space="preserve">)</w:t>
      </w:r>
    </w:p>
    <w:p>
      <w:pPr>
        <w:pStyle w:val="Compact"/>
        <w:numPr>
          <w:ilvl w:val="0"/>
          <w:numId w:val="1111"/>
        </w:numPr>
      </w:pPr>
      <w:r>
        <w:rPr>
          <w:b/>
          <w:bCs/>
        </w:rPr>
        <w:t xml:space="preserve">Health-sector “highest protected” systems under MLPS (graded protection) — explicit health guidance</w:t>
      </w:r>
    </w:p>
    <w:p>
      <w:pPr>
        <w:pStyle w:val="Compact"/>
        <w:numPr>
          <w:ilvl w:val="1"/>
          <w:numId w:val="1115"/>
        </w:numPr>
      </w:pPr>
      <w:r>
        <w:t xml:space="preserve">The National Health Commission (then Ministry of Health) guidance (2011) states that the</w:t>
      </w:r>
      <w:r>
        <w:t xml:space="preserve"> </w:t>
      </w:r>
      <w:r>
        <w:rPr>
          <w:b/>
          <w:bCs/>
        </w:rPr>
        <w:t xml:space="preserve">graded protection system has five levels</w:t>
      </w:r>
      <w:r>
        <w:t xml:space="preserve"> </w:t>
      </w:r>
      <w:r>
        <w:t xml:space="preserve">and lists multiple</w:t>
      </w:r>
      <w:r>
        <w:t xml:space="preserve"> </w:t>
      </w:r>
      <w:r>
        <w:rPr>
          <w:b/>
          <w:bCs/>
        </w:rPr>
        <w:t xml:space="preserve">health information systems that should be “principally not lower than Level 3.”</w:t>
      </w:r>
      <w:r>
        <w:t xml:space="preserve"> </w:t>
      </w:r>
      <w:r>
        <w:t xml:space="preserve">(</w:t>
      </w:r>
      <w:hyperlink r:id="rId55">
        <w:r>
          <w:rPr>
            <w:rStyle w:val="Hyperlink"/>
          </w:rPr>
          <w:t xml:space="preserve">National Health Commission</w:t>
        </w:r>
      </w:hyperlink>
      <w:r>
        <w:t xml:space="preserve">)</w:t>
      </w:r>
    </w:p>
    <w:p>
      <w:pPr>
        <w:pStyle w:val="Compact"/>
        <w:numPr>
          <w:ilvl w:val="1"/>
          <w:numId w:val="1115"/>
        </w:numPr>
      </w:pPr>
      <w:r>
        <w:t xml:space="preserve">The NHC/NATCM/NCDC measures (2022) state a principle focusing on protection of</w:t>
      </w:r>
      <w:r>
        <w:t xml:space="preserve"> </w:t>
      </w:r>
      <w:r>
        <w:rPr>
          <w:b/>
          <w:bCs/>
        </w:rPr>
        <w:t xml:space="preserve">CII</w:t>
      </w:r>
      <w:r>
        <w:t xml:space="preserve">,</w:t>
      </w:r>
      <w:r>
        <w:t xml:space="preserve"> </w:t>
      </w:r>
      <w:r>
        <w:rPr>
          <w:b/>
          <w:bCs/>
        </w:rPr>
        <w:t xml:space="preserve">MLPS Level 3+ networks</w:t>
      </w:r>
      <w:r>
        <w:t xml:space="preserve">, and</w:t>
      </w:r>
      <w:r>
        <w:t xml:space="preserve"> </w:t>
      </w:r>
      <w:r>
        <w:rPr>
          <w:b/>
          <w:bCs/>
        </w:rPr>
        <w:t xml:space="preserve">important data/personal information</w:t>
      </w:r>
      <w:r>
        <w:t xml:space="preserve"> </w:t>
      </w:r>
      <w:r>
        <w:t xml:space="preserve">in healthcare institutions. (</w:t>
      </w:r>
      <w:hyperlink r:id="rId56">
        <w:r>
          <w:rPr>
            <w:rStyle w:val="Hyperlink"/>
          </w:rPr>
          <w:t xml:space="preserve">National Health Commission</w:t>
        </w:r>
      </w:hyperlink>
      <w:r>
        <w:t xml:space="preserve">)</w:t>
      </w:r>
    </w:p>
    <w:bookmarkEnd w:id="146"/>
    <w:bookmarkStart w:id="147" w:name="X68335b8f8a518333e1f205190897023d9241813"/>
    <w:p>
      <w:pPr>
        <w:pStyle w:val="Heading2"/>
      </w:pPr>
      <w:r>
        <w:t xml:space="preserve">Exact legal / regulatory criteria (what triggers inclusion)</w:t>
      </w:r>
    </w:p>
    <w:bookmarkEnd w:id="147"/>
    <w:bookmarkStart w:id="148" w:name="a-the-definition-scope-text"/>
    <w:p>
      <w:pPr>
        <w:pStyle w:val="Heading2"/>
      </w:pPr>
      <w:r>
        <w:t xml:space="preserve">A) The Definition (scope text)</w:t>
      </w:r>
    </w:p>
    <w:p>
      <w:pPr>
        <w:pStyle w:val="FirstParagraph"/>
      </w:pPr>
      <w:r>
        <w:rPr>
          <w:b/>
          <w:bCs/>
        </w:rPr>
        <w:t xml:space="preserve">Cybersecurity Law — CII (Article 33 on CAC text)</w:t>
      </w:r>
    </w:p>
    <w:p>
      <w:pPr>
        <w:pStyle w:val="Compact"/>
        <w:numPr>
          <w:ilvl w:val="0"/>
          <w:numId w:val="1116"/>
        </w:numPr>
      </w:pPr>
      <w:r>
        <w:t xml:space="preserve">CII sectors explicitly listed include:</w:t>
      </w:r>
      <w:r>
        <w:t xml:space="preserve"> </w:t>
      </w:r>
      <w:r>
        <w:rPr>
          <w:b/>
          <w:bCs/>
        </w:rPr>
        <w:t xml:space="preserve">public communications and information services, energy, transportation, water conservancy, finance, public services, e-government</w:t>
      </w:r>
      <w:r>
        <w:t xml:space="preserve">, and “other” CII whose destruction/loss of function/data leakage may seriously endanger national security / people’s livelihood / public interest.</w:t>
      </w:r>
    </w:p>
    <w:p>
      <w:pPr>
        <w:pStyle w:val="Compact"/>
        <w:numPr>
          <w:ilvl w:val="0"/>
          <w:numId w:val="1116"/>
        </w:numPr>
      </w:pPr>
      <w:r>
        <w:t xml:space="preserve">The provision states this protection is</w:t>
      </w:r>
      <w:r>
        <w:t xml:space="preserve"> </w:t>
      </w:r>
      <w:r>
        <w:rPr>
          <w:b/>
          <w:bCs/>
        </w:rPr>
        <w:t xml:space="preserve">“on the basis of” the graded protection system</w:t>
      </w:r>
      <w:r>
        <w:t xml:space="preserve">, and that the</w:t>
      </w:r>
      <w:r>
        <w:t xml:space="preserve"> </w:t>
      </w:r>
      <w:r>
        <w:rPr>
          <w:b/>
          <w:bCs/>
        </w:rPr>
        <w:t xml:space="preserve">specific scope and protection measures are to be formulated by the State Council</w:t>
      </w:r>
      <w:r>
        <w:t xml:space="preserve">. (</w:t>
      </w:r>
      <w:hyperlink r:id="rId53">
        <w:r>
          <w:rPr>
            <w:rStyle w:val="Hyperlink"/>
          </w:rPr>
          <w:t xml:space="preserve">CAC</w:t>
        </w:r>
      </w:hyperlink>
      <w:r>
        <w:t xml:space="preserve">)</w:t>
      </w:r>
    </w:p>
    <w:p>
      <w:pPr>
        <w:pStyle w:val="FirstParagraph"/>
      </w:pPr>
      <w:r>
        <w:rPr>
          <w:b/>
          <w:bCs/>
        </w:rPr>
        <w:t xml:space="preserve">CII Security Protection Regulations (Decree No. 745) — CII definition (Article 2)</w:t>
      </w:r>
    </w:p>
    <w:p>
      <w:pPr>
        <w:pStyle w:val="Compact"/>
        <w:numPr>
          <w:ilvl w:val="0"/>
          <w:numId w:val="1117"/>
        </w:numPr>
      </w:pPr>
      <w:r>
        <w:t xml:space="preserve">Defines CII by (i) listed sectors (includes</w:t>
      </w:r>
      <w:r>
        <w:t xml:space="preserve"> </w:t>
      </w:r>
      <w:r>
        <w:rPr>
          <w:b/>
          <w:bCs/>
        </w:rPr>
        <w:t xml:space="preserve">public services, e-government</w:t>
      </w:r>
      <w:r>
        <w:t xml:space="preserve">, etc., and also</w:t>
      </w:r>
      <w:r>
        <w:t xml:space="preserve"> </w:t>
      </w:r>
      <w:r>
        <w:rPr>
          <w:b/>
          <w:bCs/>
        </w:rPr>
        <w:t xml:space="preserve">national defense technology industry</w:t>
      </w:r>
      <w:r>
        <w:t xml:space="preserve">) and (ii) a harm test (destruction/loss of function/data leakage may seriously endanger national security / people’s livelihood / public interest). (</w:t>
      </w:r>
      <w:hyperlink r:id="rId54">
        <w:r>
          <w:rPr>
            <w:rStyle w:val="Hyperlink"/>
          </w:rPr>
          <w:t xml:space="preserve">China Law Translate</w:t>
        </w:r>
      </w:hyperlink>
      <w:r>
        <w:t xml:space="preserve">)</w:t>
      </w:r>
    </w:p>
    <w:bookmarkEnd w:id="148"/>
    <w:bookmarkStart w:id="149" w:name="Xc28e0aa7f8676c660d6976d8eb47d16353ec47c"/>
    <w:p>
      <w:pPr>
        <w:pStyle w:val="Heading2"/>
      </w:pPr>
      <w:r>
        <w:t xml:space="preserve">B) The Thresholds (tests stated in the instruments)</w:t>
      </w:r>
    </w:p>
    <w:p>
      <w:pPr>
        <w:pStyle w:val="FirstParagraph"/>
      </w:pPr>
      <w:r>
        <w:rPr>
          <w:b/>
          <w:bCs/>
        </w:rPr>
        <w:t xml:space="preserve">Cybersecurity Law (graded protection baseline)</w:t>
      </w:r>
    </w:p>
    <w:p>
      <w:pPr>
        <w:pStyle w:val="Compact"/>
        <w:numPr>
          <w:ilvl w:val="0"/>
          <w:numId w:val="1118"/>
        </w:numPr>
      </w:pPr>
      <w:r>
        <w:t xml:space="preserve">The Cybersecurity Law states the State implements the</w:t>
      </w:r>
      <w:r>
        <w:t xml:space="preserve"> </w:t>
      </w:r>
      <w:r>
        <w:rPr>
          <w:b/>
          <w:bCs/>
        </w:rPr>
        <w:t xml:space="preserve">network security graded protection system</w:t>
      </w:r>
      <w:r>
        <w:t xml:space="preserve"> </w:t>
      </w:r>
      <w:r>
        <w:t xml:space="preserve">and requires network operators to fulfill specified security protection obligations under that system. (</w:t>
      </w:r>
      <w:hyperlink r:id="rId53">
        <w:r>
          <w:rPr>
            <w:rStyle w:val="Hyperlink"/>
          </w:rPr>
          <w:t xml:space="preserve">CAC</w:t>
        </w:r>
      </w:hyperlink>
      <w:r>
        <w:t xml:space="preserve">)</w:t>
      </w:r>
    </w:p>
    <w:p>
      <w:pPr>
        <w:pStyle w:val="FirstParagraph"/>
      </w:pPr>
      <w:r>
        <w:rPr>
          <w:b/>
          <w:bCs/>
        </w:rPr>
        <w:t xml:space="preserve">Decree No. 745 designation mechanism — criteria for designation rules (Article 9)</w:t>
      </w:r>
    </w:p>
    <w:p>
      <w:pPr>
        <w:pStyle w:val="Compact"/>
        <w:numPr>
          <w:ilvl w:val="0"/>
          <w:numId w:val="1119"/>
        </w:numPr>
      </w:pPr>
      <w:r>
        <w:t xml:space="preserve">Protection Work Departments must draft</w:t>
      </w:r>
      <w:r>
        <w:t xml:space="preserve"> </w:t>
      </w:r>
      <w:r>
        <w:rPr>
          <w:b/>
          <w:bCs/>
        </w:rPr>
        <w:t xml:space="preserve">designation rules</w:t>
      </w:r>
      <w:r>
        <w:t xml:space="preserve"> </w:t>
      </w:r>
      <w:r>
        <w:t xml:space="preserve">and file them with the State Council public security department.</w:t>
      </w:r>
    </w:p>
    <w:p>
      <w:pPr>
        <w:pStyle w:val="Compact"/>
        <w:numPr>
          <w:ilvl w:val="0"/>
          <w:numId w:val="1119"/>
        </w:numPr>
      </w:pPr>
      <w:r>
        <w:t xml:space="preserve">In drafting designation standards, Article 9 lists three factors:</w:t>
      </w:r>
    </w:p>
    <w:p>
      <w:pPr>
        <w:pStyle w:val="Compact"/>
        <w:numPr>
          <w:ilvl w:val="1"/>
          <w:numId w:val="1120"/>
        </w:numPr>
      </w:pPr>
      <w:r>
        <w:t xml:space="preserve">importance of the network facilities/information systems to core operations in the sector;</w:t>
      </w:r>
    </w:p>
    <w:p>
      <w:pPr>
        <w:pStyle w:val="Compact"/>
        <w:numPr>
          <w:ilvl w:val="1"/>
          <w:numId w:val="1120"/>
        </w:numPr>
      </w:pPr>
      <w:r>
        <w:t xml:space="preserve">degree of harm if destroyed / loses function / data leakage;</w:t>
      </w:r>
    </w:p>
    <w:p>
      <w:pPr>
        <w:pStyle w:val="Compact"/>
        <w:numPr>
          <w:ilvl w:val="1"/>
          <w:numId w:val="1120"/>
        </w:numPr>
      </w:pPr>
      <w:r>
        <w:t xml:space="preserve">impact on other industries/sectors. (</w:t>
      </w:r>
      <w:hyperlink r:id="rId54">
        <w:r>
          <w:rPr>
            <w:rStyle w:val="Hyperlink"/>
          </w:rPr>
          <w:t xml:space="preserve">China Law Translate</w:t>
        </w:r>
      </w:hyperlink>
      <w:r>
        <w:t xml:space="preserve">)</w:t>
      </w:r>
    </w:p>
    <w:p>
      <w:pPr>
        <w:pStyle w:val="FirstParagraph"/>
      </w:pPr>
      <w:r>
        <w:rPr>
          <w:b/>
          <w:bCs/>
        </w:rPr>
        <w:t xml:space="preserve">No numeric thresholds in the designation factors</w:t>
      </w:r>
      <w:r>
        <w:t xml:space="preserve"> </w:t>
      </w:r>
      <w:r>
        <w:t xml:space="preserve">* Article 9 provides factors (importance/harm/impact) and does</w:t>
      </w:r>
      <w:r>
        <w:t xml:space="preserve"> </w:t>
      </w:r>
      <w:r>
        <w:rPr>
          <w:b/>
          <w:bCs/>
        </w:rPr>
        <w:t xml:space="preserve">not</w:t>
      </w:r>
      <w:r>
        <w:t xml:space="preserve"> </w:t>
      </w:r>
      <w:r>
        <w:t xml:space="preserve">state numeric thresholds. (</w:t>
      </w:r>
      <w:hyperlink r:id="rId54">
        <w:r>
          <w:rPr>
            <w:rStyle w:val="Hyperlink"/>
          </w:rPr>
          <w:t xml:space="preserve">China Law Translate</w:t>
        </w:r>
      </w:hyperlink>
      <w:r>
        <w:t xml:space="preserve">)</w:t>
      </w:r>
    </w:p>
    <w:bookmarkEnd w:id="149"/>
    <w:bookmarkStart w:id="150" w:name="grading-tiering-scheme-1"/>
    <w:p>
      <w:pPr>
        <w:pStyle w:val="Heading2"/>
      </w:pPr>
      <w:r>
        <w:t xml:space="preserve">Grading / tiering scheme</w:t>
      </w:r>
    </w:p>
    <w:p>
      <w:pPr>
        <w:pStyle w:val="Compact"/>
        <w:numPr>
          <w:ilvl w:val="0"/>
          <w:numId w:val="1121"/>
        </w:numPr>
      </w:pPr>
      <w:r>
        <w:rPr>
          <w:b/>
          <w:bCs/>
        </w:rPr>
        <w:t xml:space="preserve">Network security graded protection system </w:t>
      </w:r>
      <w:r>
        <w:rPr>
          <w:rFonts w:hint="eastAsia"/>
          <w:b/>
          <w:bCs/>
        </w:rPr>
        <w:t xml:space="preserve">(网络安全等级保护制度)</w:t>
      </w:r>
    </w:p>
    <w:p>
      <w:pPr>
        <w:pStyle w:val="Compact"/>
        <w:numPr>
          <w:ilvl w:val="1"/>
          <w:numId w:val="1122"/>
        </w:numPr>
      </w:pPr>
      <w:r>
        <w:t xml:space="preserve">The Cybersecurity Law states that China implements the graded protection system and lists operator obligations under that system. (</w:t>
      </w:r>
      <w:hyperlink r:id="rId53">
        <w:r>
          <w:rPr>
            <w:rStyle w:val="Hyperlink"/>
          </w:rPr>
          <w:t xml:space="preserve">CAC</w:t>
        </w:r>
      </w:hyperlink>
      <w:r>
        <w:t xml:space="preserve">)</w:t>
      </w:r>
    </w:p>
    <w:p>
      <w:pPr>
        <w:pStyle w:val="Compact"/>
        <w:numPr>
          <w:ilvl w:val="0"/>
          <w:numId w:val="1121"/>
        </w:numPr>
      </w:pPr>
      <w:r>
        <w:rPr>
          <w:b/>
          <w:bCs/>
        </w:rPr>
        <w:t xml:space="preserve">CII protection is explicitly stated as being “on the basis of” graded protection</w:t>
      </w:r>
    </w:p>
    <w:p>
      <w:pPr>
        <w:pStyle w:val="Compact"/>
        <w:numPr>
          <w:ilvl w:val="1"/>
          <w:numId w:val="1123"/>
        </w:numPr>
      </w:pPr>
      <w:r>
        <w:t xml:space="preserve">The Cybersecurity Law provision on CII states</w:t>
      </w:r>
      <w:r>
        <w:t xml:space="preserve"> </w:t>
      </w:r>
      <w:r>
        <w:rPr>
          <w:rFonts w:hint="eastAsia"/>
          <w:b/>
          <w:bCs/>
        </w:rPr>
        <w:t xml:space="preserve">重点保护</w:t>
      </w:r>
      <w:r>
        <w:t xml:space="preserve"> </w:t>
      </w:r>
      <w:r>
        <w:t xml:space="preserve">for CII</w:t>
      </w:r>
      <w:r>
        <w:t xml:space="preserve"> </w:t>
      </w:r>
      <w:r>
        <w:rPr>
          <w:b/>
          <w:bCs/>
        </w:rPr>
        <w:t xml:space="preserve">on the basis of</w:t>
      </w:r>
      <w:r>
        <w:t xml:space="preserve"> </w:t>
      </w:r>
      <w:r>
        <w:t xml:space="preserve">graded protection. (</w:t>
      </w:r>
      <w:hyperlink r:id="rId53">
        <w:r>
          <w:rPr>
            <w:rStyle w:val="Hyperlink"/>
          </w:rPr>
          <w:t xml:space="preserve">CAC</w:t>
        </w:r>
      </w:hyperlink>
      <w:r>
        <w:t xml:space="preserve">)</w:t>
      </w:r>
    </w:p>
    <w:p>
      <w:pPr>
        <w:pStyle w:val="Compact"/>
        <w:numPr>
          <w:ilvl w:val="0"/>
          <w:numId w:val="1121"/>
        </w:numPr>
      </w:pPr>
      <w:r>
        <w:rPr>
          <w:b/>
          <w:bCs/>
        </w:rPr>
        <w:t xml:space="preserve">Five levels (explicitly stated in the 2011 health-sector guidance)</w:t>
      </w:r>
    </w:p>
    <w:p>
      <w:pPr>
        <w:pStyle w:val="Compact"/>
        <w:numPr>
          <w:ilvl w:val="1"/>
          <w:numId w:val="1124"/>
        </w:numPr>
      </w:pPr>
      <w:r>
        <w:t xml:space="preserve">The 2011 health-sector guidance states: </w:t>
      </w:r>
      <w:r>
        <w:rPr>
          <w:rFonts w:hint="eastAsia"/>
        </w:rPr>
        <w:t xml:space="preserve">“等级…分为五级”</w:t>
      </w:r>
      <w:r>
        <w:t xml:space="preserve"> and names each level from Level 1 to Level 5. (</w:t>
      </w:r>
      <w:hyperlink r:id="rId55">
        <w:r>
          <w:rPr>
            <w:rStyle w:val="Hyperlink"/>
          </w:rPr>
          <w:t xml:space="preserve">National Health Commission</w:t>
        </w:r>
      </w:hyperlink>
      <w:r>
        <w:t xml:space="preserve">)</w:t>
      </w:r>
    </w:p>
    <w:bookmarkEnd w:id="150"/>
    <w:bookmarkStart w:id="151" w:name="incident-reporting-tests-and-thresholds"/>
    <w:p>
      <w:pPr>
        <w:pStyle w:val="Heading2"/>
      </w:pPr>
      <w:r>
        <w:t xml:space="preserve">Incident reporting tests and thresholds</w:t>
      </w:r>
    </w:p>
    <w:p>
      <w:pPr>
        <w:pStyle w:val="FirstParagraph"/>
      </w:pPr>
      <w:r>
        <w:rPr>
          <w:b/>
          <w:bCs/>
        </w:rPr>
        <w:t xml:space="preserve">Cybersecurity Law (general incident reporting duty)</w:t>
      </w:r>
    </w:p>
    <w:p>
      <w:pPr>
        <w:pStyle w:val="Compact"/>
        <w:numPr>
          <w:ilvl w:val="0"/>
          <w:numId w:val="1125"/>
        </w:numPr>
      </w:pPr>
      <w:r>
        <w:t xml:space="preserve">The Cybersecurity Law requires network operators to have incident response plans and to report incidents to competent authorities “according to provisions”. (</w:t>
      </w:r>
      <w:hyperlink r:id="rId53">
        <w:r>
          <w:rPr>
            <w:rStyle w:val="Hyperlink"/>
          </w:rPr>
          <w:t xml:space="preserve">CAC</w:t>
        </w:r>
      </w:hyperlink>
      <w:r>
        <w:t xml:space="preserve">)</w:t>
      </w:r>
    </w:p>
    <w:p>
      <w:pPr>
        <w:pStyle w:val="FirstParagraph"/>
      </w:pPr>
      <w:r>
        <w:rPr>
          <w:b/>
          <w:bCs/>
        </w:rPr>
        <w:t xml:space="preserve">Decree No. 745 (Article 18) — CIIO reporting trigger</w:t>
      </w:r>
    </w:p>
    <w:p>
      <w:pPr>
        <w:pStyle w:val="Compact"/>
        <w:numPr>
          <w:ilvl w:val="0"/>
          <w:numId w:val="1126"/>
        </w:numPr>
      </w:pPr>
      <w:r>
        <w:t xml:space="preserve">CIIOs must report when</w:t>
      </w:r>
      <w:r>
        <w:t xml:space="preserve"> </w:t>
      </w:r>
      <w:r>
        <w:rPr>
          <w:b/>
          <w:bCs/>
        </w:rPr>
        <w:t xml:space="preserve">major cybersecurity incidents occur</w:t>
      </w:r>
      <w:r>
        <w:t xml:space="preserve"> </w:t>
      </w:r>
      <w:r>
        <w:t xml:space="preserve">in CII or</w:t>
      </w:r>
      <w:r>
        <w:t xml:space="preserve"> </w:t>
      </w:r>
      <w:r>
        <w:rPr>
          <w:b/>
          <w:bCs/>
        </w:rPr>
        <w:t xml:space="preserve">major cybersecurity threats are discovered</w:t>
      </w:r>
      <w:r>
        <w:t xml:space="preserve">, to Protection Work Departments and public security organs. (</w:t>
      </w:r>
      <w:hyperlink r:id="rId54">
        <w:r>
          <w:rPr>
            <w:rStyle w:val="Hyperlink"/>
          </w:rPr>
          <w:t xml:space="preserve">China Law Translate</w:t>
        </w:r>
      </w:hyperlink>
      <w:r>
        <w:t xml:space="preserve">)</w:t>
      </w:r>
    </w:p>
    <w:p>
      <w:pPr>
        <w:pStyle w:val="FirstParagraph"/>
      </w:pPr>
      <w:r>
        <w:rPr>
          <w:b/>
          <w:bCs/>
        </w:rPr>
        <w:t xml:space="preserve">Examples of “especially serious” incidents/threats (Decree No. 745, Article 18)</w:t>
      </w:r>
    </w:p>
    <w:p>
      <w:pPr>
        <w:pStyle w:val="Compact"/>
        <w:numPr>
          <w:ilvl w:val="0"/>
          <w:numId w:val="1127"/>
        </w:numPr>
      </w:pPr>
      <w:r>
        <w:t xml:space="preserve">Article 18 gives examples such as</w:t>
      </w:r>
      <w:r>
        <w:t xml:space="preserve"> </w:t>
      </w:r>
      <w:r>
        <w:rPr>
          <w:b/>
          <w:bCs/>
        </w:rPr>
        <w:t xml:space="preserve">overall interruption of operations / primary function failures</w:t>
      </w:r>
      <w:r>
        <w:t xml:space="preserve">,</w:t>
      </w:r>
      <w:r>
        <w:t xml:space="preserve"> </w:t>
      </w:r>
      <w:r>
        <w:rPr>
          <w:b/>
          <w:bCs/>
        </w:rPr>
        <w:t xml:space="preserve">leaks of basic state information and other important data</w:t>
      </w:r>
      <w:r>
        <w:t xml:space="preserve">,</w:t>
      </w:r>
      <w:r>
        <w:t xml:space="preserve"> </w:t>
      </w:r>
      <w:r>
        <w:rPr>
          <w:b/>
          <w:bCs/>
        </w:rPr>
        <w:t xml:space="preserve">large-scale personal information leaks</w:t>
      </w:r>
      <w:r>
        <w:t xml:space="preserve">,</w:t>
      </w:r>
      <w:r>
        <w:t xml:space="preserve"> </w:t>
      </w:r>
      <w:r>
        <w:rPr>
          <w:b/>
          <w:bCs/>
        </w:rPr>
        <w:t xml:space="preserve">large economic losses</w:t>
      </w:r>
      <w:r>
        <w:t xml:space="preserve">, or</w:t>
      </w:r>
      <w:r>
        <w:t xml:space="preserve"> </w:t>
      </w:r>
      <w:r>
        <w:rPr>
          <w:b/>
          <w:bCs/>
        </w:rPr>
        <w:t xml:space="preserve">illegal transmission of a larger scope of information</w:t>
      </w:r>
      <w:r>
        <w:t xml:space="preserve">, triggering onward reporting by Protection Work Departments after receipt. (</w:t>
      </w:r>
      <w:hyperlink r:id="rId54">
        <w:r>
          <w:rPr>
            <w:rStyle w:val="Hyperlink"/>
          </w:rPr>
          <w:t xml:space="preserve">China Law Translate</w:t>
        </w:r>
      </w:hyperlink>
      <w:r>
        <w:t xml:space="preserve">)</w:t>
      </w:r>
    </w:p>
    <w:p>
      <w:pPr>
        <w:pStyle w:val="FirstParagraph"/>
      </w:pPr>
      <w:r>
        <w:rPr>
          <w:b/>
          <w:bCs/>
        </w:rPr>
        <w:t xml:space="preserve">Deadlines</w:t>
      </w:r>
    </w:p>
    <w:p>
      <w:pPr>
        <w:pStyle w:val="Compact"/>
        <w:numPr>
          <w:ilvl w:val="0"/>
          <w:numId w:val="1128"/>
        </w:numPr>
      </w:pPr>
      <w:r>
        <w:t xml:space="preserve">Article 18 uses “promptly” for onward reporting by Protection Work Departments after receiving a report; no hour/day deadline is specified in the cited Article 18 text. (</w:t>
      </w:r>
      <w:hyperlink r:id="rId54">
        <w:r>
          <w:rPr>
            <w:rStyle w:val="Hyperlink"/>
          </w:rPr>
          <w:t xml:space="preserve">China Law Translate</w:t>
        </w:r>
      </w:hyperlink>
      <w:r>
        <w:t xml:space="preserve">)</w:t>
      </w:r>
    </w:p>
    <w:bookmarkEnd w:id="151"/>
    <w:bookmarkStart w:id="152" w:name="X08ded0f79fe13c53dc04519be5da00f9c5bcf69"/>
    <w:p>
      <w:pPr>
        <w:pStyle w:val="Heading2"/>
      </w:pPr>
      <w:r>
        <w:t xml:space="preserve">Health-sector clauses / guidance (primary, health-specific)</w:t>
      </w:r>
    </w:p>
    <w:bookmarkEnd w:id="152"/>
    <w:bookmarkStart w:id="153" w:name="X27798d028af48bf2e8fa6834208409a199ada5c"/>
    <w:p>
      <w:pPr>
        <w:pStyle w:val="Heading2"/>
      </w:pPr>
      <w:r>
        <w:t xml:space="preserve">A) Health systems explicitly “≥ Level 3” in 2011 guidance (NHC/Ministry of Health)</w:t>
      </w:r>
    </w:p>
    <w:p>
      <w:pPr>
        <w:pStyle w:val="FirstParagraph"/>
      </w:pPr>
      <w:r>
        <w:t xml:space="preserve">The 2011 guidance states the graded protection system has five levels and then states the following “important health information systems” are</w:t>
      </w:r>
      <w:r>
        <w:t xml:space="preserve"> </w:t>
      </w:r>
      <w:r>
        <w:rPr>
          <w:b/>
          <w:bCs/>
        </w:rPr>
        <w:t xml:space="preserve">principally not lower than Level 3</w:t>
      </w:r>
      <w:r>
        <w:t xml:space="preserve">:</w:t>
      </w:r>
    </w:p>
    <w:p>
      <w:pPr>
        <w:pStyle w:val="Compact"/>
        <w:numPr>
          <w:ilvl w:val="0"/>
          <w:numId w:val="1129"/>
        </w:numPr>
      </w:pPr>
      <w:r>
        <w:rPr>
          <w:b/>
          <w:bCs/>
        </w:rPr>
        <w:t xml:space="preserve">Cross-province national networked systems</w:t>
      </w:r>
      <w:r>
        <w:t xml:space="preserve">:</w:t>
      </w:r>
    </w:p>
    <w:p>
      <w:pPr>
        <w:pStyle w:val="Compact"/>
        <w:numPr>
          <w:ilvl w:val="1"/>
          <w:numId w:val="1130"/>
        </w:numPr>
      </w:pPr>
      <w:r>
        <w:t xml:space="preserve">health statistics network direct reporting, infectious disease reporting, health supervision reporting, public health emergency command information systems, etc. (</w:t>
      </w:r>
      <w:hyperlink r:id="rId55">
        <w:r>
          <w:rPr>
            <w:rStyle w:val="Hyperlink"/>
          </w:rPr>
          <w:t xml:space="preserve">National Health Commission</w:t>
        </w:r>
      </w:hyperlink>
      <w:r>
        <w:t xml:space="preserve">)</w:t>
      </w:r>
    </w:p>
    <w:p>
      <w:pPr>
        <w:pStyle w:val="Compact"/>
        <w:numPr>
          <w:ilvl w:val="0"/>
          <w:numId w:val="1129"/>
        </w:numPr>
      </w:pPr>
      <w:r>
        <w:rPr>
          <w:b/>
          <w:bCs/>
        </w:rPr>
        <w:t xml:space="preserve">National/provincial/municipal health information platforms</w:t>
      </w:r>
      <w:r>
        <w:t xml:space="preserve">, and national-level data centers including (examples listed): new rural cooperative medical scheme, health supervision, maternal &amp; child health, etc. (</w:t>
      </w:r>
      <w:hyperlink r:id="rId55">
        <w:r>
          <w:rPr>
            <w:rStyle w:val="Hyperlink"/>
          </w:rPr>
          <w:t xml:space="preserve">National Health Commission</w:t>
        </w:r>
      </w:hyperlink>
      <w:r>
        <w:t xml:space="preserve">)</w:t>
      </w:r>
    </w:p>
    <w:p>
      <w:pPr>
        <w:pStyle w:val="Compact"/>
        <w:numPr>
          <w:ilvl w:val="0"/>
          <w:numId w:val="1129"/>
        </w:numPr>
      </w:pPr>
      <w:r>
        <w:rPr>
          <w:b/>
          <w:bCs/>
        </w:rPr>
        <w:t xml:space="preserve">Core business information systems of Class III Grade A hospitals </w:t>
      </w:r>
      <w:r>
        <w:rPr>
          <w:rFonts w:hint="eastAsia"/>
          <w:b/>
          <w:bCs/>
        </w:rPr>
        <w:t xml:space="preserve">(三级甲等医院核心业务信息系统).</w:t>
      </w:r>
      <w:r>
        <w:t xml:space="preserve"> </w:t>
      </w:r>
      <w:r>
        <w:t xml:space="preserve">(</w:t>
      </w:r>
      <w:hyperlink r:id="rId55">
        <w:r>
          <w:rPr>
            <w:rStyle w:val="Hyperlink"/>
          </w:rPr>
          <w:t xml:space="preserve">National Health Commission</w:t>
        </w:r>
      </w:hyperlink>
      <w:r>
        <w:t xml:space="preserve">)</w:t>
      </w:r>
    </w:p>
    <w:p>
      <w:pPr>
        <w:pStyle w:val="Compact"/>
        <w:numPr>
          <w:ilvl w:val="0"/>
          <w:numId w:val="1129"/>
        </w:numPr>
      </w:pPr>
      <w:r>
        <w:rPr>
          <w:b/>
          <w:bCs/>
        </w:rPr>
        <w:t xml:space="preserve">Ministry of Health website system.</w:t>
      </w:r>
      <w:r>
        <w:t xml:space="preserve"> </w:t>
      </w:r>
      <w:r>
        <w:t xml:space="preserve">(</w:t>
      </w:r>
      <w:hyperlink r:id="rId55">
        <w:r>
          <w:rPr>
            <w:rStyle w:val="Hyperlink"/>
          </w:rPr>
          <w:t xml:space="preserve">National Health Commission</w:t>
        </w:r>
      </w:hyperlink>
      <w:r>
        <w:t xml:space="preserve">)</w:t>
      </w:r>
    </w:p>
    <w:p>
      <w:pPr>
        <w:pStyle w:val="Compact"/>
        <w:numPr>
          <w:ilvl w:val="0"/>
          <w:numId w:val="1129"/>
        </w:numPr>
      </w:pPr>
      <w:r>
        <w:t xml:space="preserve">“Other” systems assessed by the technical expert committee as Level 3+. (</w:t>
      </w:r>
      <w:hyperlink r:id="rId55">
        <w:r>
          <w:rPr>
            <w:rStyle w:val="Hyperlink"/>
          </w:rPr>
          <w:t xml:space="preserve">National Health Commission</w:t>
        </w:r>
      </w:hyperlink>
      <w:r>
        <w:t xml:space="preserve">)</w:t>
      </w:r>
    </w:p>
    <w:p>
      <w:pPr>
        <w:pStyle w:val="FirstParagraph"/>
      </w:pPr>
      <w:r>
        <w:t xml:space="preserve">It also states:</w:t>
      </w:r>
    </w:p>
    <w:p>
      <w:pPr>
        <w:pStyle w:val="Compact"/>
        <w:numPr>
          <w:ilvl w:val="0"/>
          <w:numId w:val="1131"/>
        </w:numPr>
      </w:pPr>
      <w:r>
        <w:rPr>
          <w:b/>
          <w:bCs/>
        </w:rPr>
        <w:t xml:space="preserve">Annual level evaluation </w:t>
      </w:r>
      <w:r>
        <w:rPr>
          <w:rFonts w:hint="eastAsia"/>
          <w:b/>
          <w:bCs/>
        </w:rPr>
        <w:t xml:space="preserve">(等级测评)</w:t>
      </w:r>
      <w:r>
        <w:t xml:space="preserve"> </w:t>
      </w:r>
      <w:r>
        <w:t xml:space="preserve">for Level 3+ health information systems. (</w:t>
      </w:r>
      <w:hyperlink r:id="rId55">
        <w:r>
          <w:rPr>
            <w:rStyle w:val="Hyperlink"/>
          </w:rPr>
          <w:t xml:space="preserve">National Health Commission</w:t>
        </w:r>
      </w:hyperlink>
      <w:r>
        <w:t xml:space="preserve">)</w:t>
      </w:r>
    </w:p>
    <w:bookmarkEnd w:id="153"/>
    <w:bookmarkStart w:id="154" w:name="X8d73afba635e0630cd378cf19a82ef5683fac58"/>
    <w:p>
      <w:pPr>
        <w:pStyle w:val="Heading2"/>
      </w:pPr>
      <w:r>
        <w:t xml:space="preserve">B) Healthcare institution cybersecurity measures (2022)</w:t>
      </w:r>
    </w:p>
    <w:p>
      <w:pPr>
        <w:pStyle w:val="FirstParagraph"/>
      </w:pPr>
      <w:r>
        <w:t xml:space="preserve">The 2022 measures state they are made with reference to multiple laws/regulations including the Cybersecurity Law and the</w:t>
      </w:r>
      <w:r>
        <w:t xml:space="preserve"> </w:t>
      </w:r>
      <w:r>
        <w:rPr>
          <w:b/>
          <w:bCs/>
        </w:rPr>
        <w:t xml:space="preserve">CII Security Protection Regulations</w:t>
      </w:r>
      <w:r>
        <w:t xml:space="preserve">, and include a principle:</w:t>
      </w:r>
      <w:r>
        <w:t xml:space="preserve"> </w:t>
      </w:r>
      <w:r>
        <w:t xml:space="preserve">* </w:t>
      </w:r>
      <w:r>
        <w:rPr>
          <w:rFonts w:hint="eastAsia"/>
        </w:rPr>
        <w:t xml:space="preserve">“重点保障关键信息基础设施、网络安全等级保护第三级及以上网络以及重要数据和个人信息安全”</w:t>
      </w:r>
      <w:r>
        <w:t xml:space="preserve"> (focus protection on CII, MLPS Level 3+ networks, important data and personal information). (</w:t>
      </w:r>
      <w:hyperlink r:id="rId56">
        <w:r>
          <w:rPr>
            <w:rStyle w:val="Hyperlink"/>
          </w:rPr>
          <w:t xml:space="preserve">National Health Commission</w:t>
        </w:r>
      </w:hyperlink>
      <w:r>
        <w:t xml:space="preserve">)</w:t>
      </w:r>
    </w:p>
    <w:bookmarkEnd w:id="154"/>
    <w:bookmarkStart w:id="155" w:name="X0f468b07546083873295428e3ffecf84f6e9891"/>
    <w:p>
      <w:pPr>
        <w:pStyle w:val="Heading2"/>
      </w:pPr>
      <w:r>
        <w:t xml:space="preserve">Health information systems “most likely” designated</w:t>
      </w:r>
    </w:p>
    <w:p>
      <w:pPr>
        <w:pStyle w:val="FirstParagraph"/>
      </w:pPr>
      <w:r>
        <w:rPr>
          <w:b/>
          <w:bCs/>
        </w:rPr>
        <w:t xml:space="preserve">Not determinable from the cited CII national instruments alone.</w:t>
      </w:r>
      <w:r>
        <w:t xml:space="preserve"> </w:t>
      </w:r>
      <w:r>
        <w:t xml:space="preserve">* The CII Security Protection Regulations assign designation to sector Protection Work Departments and require sector designation rules (Articles 9–11). The Regulations do not, in the cited text, list healthcare systems by name as “CII.” (</w:t>
      </w:r>
      <w:hyperlink r:id="rId54">
        <w:r>
          <w:rPr>
            <w:rStyle w:val="Hyperlink"/>
          </w:rPr>
          <w:t xml:space="preserve">China Law Translate</w:t>
        </w:r>
      </w:hyperlink>
      <w:r>
        <w:t xml:space="preserve">)</w:t>
      </w:r>
    </w:p>
    <w:p>
      <w:pPr>
        <w:pStyle w:val="BodyText"/>
      </w:pPr>
      <w:r>
        <w:rPr>
          <w:b/>
          <w:bCs/>
        </w:rPr>
        <w:t xml:space="preserve">What is explicitly stated for health (separate from CII designation)</w:t>
      </w:r>
      <w:r>
        <w:t xml:space="preserve"> </w:t>
      </w:r>
      <w:r>
        <w:t xml:space="preserve">* The 2011 and 2022 health-sector instruments explicitly identify multiple health systems as</w:t>
      </w:r>
      <w:r>
        <w:t xml:space="preserve"> </w:t>
      </w:r>
      <w:r>
        <w:rPr>
          <w:b/>
          <w:bCs/>
        </w:rPr>
        <w:t xml:space="preserve">MLPS Level 3+ targets</w:t>
      </w:r>
      <w:r>
        <w:t xml:space="preserve"> </w:t>
      </w:r>
      <w:r>
        <w:t xml:space="preserve">and identify protection of</w:t>
      </w:r>
      <w:r>
        <w:t xml:space="preserve"> </w:t>
      </w:r>
      <w:r>
        <w:rPr>
          <w:b/>
          <w:bCs/>
        </w:rPr>
        <w:t xml:space="preserve">CII</w:t>
      </w:r>
      <w:r>
        <w:t xml:space="preserve"> </w:t>
      </w:r>
      <w:r>
        <w:t xml:space="preserve">and</w:t>
      </w:r>
      <w:r>
        <w:t xml:space="preserve"> </w:t>
      </w:r>
      <w:r>
        <w:rPr>
          <w:b/>
          <w:bCs/>
        </w:rPr>
        <w:t xml:space="preserve">MLPS Level 3+ networks</w:t>
      </w:r>
      <w:r>
        <w:t xml:space="preserve"> </w:t>
      </w:r>
      <w:r>
        <w:t xml:space="preserve">as priorities in healthcare institutions. (</w:t>
      </w:r>
      <w:hyperlink r:id="rId55">
        <w:r>
          <w:rPr>
            <w:rStyle w:val="Hyperlink"/>
          </w:rPr>
          <w:t xml:space="preserve">National Health Commission</w:t>
        </w:r>
      </w:hyperlink>
      <w:r>
        <w:t xml:space="preserve">)</w:t>
      </w:r>
    </w:p>
    <w:bookmarkEnd w:id="155"/>
    <w:bookmarkStart w:id="156" w:name="public-vs-confidential-3"/>
    <w:p>
      <w:pPr>
        <w:pStyle w:val="Heading2"/>
      </w:pPr>
      <w:r>
        <w:t xml:space="preserve">Public vs confidential</w:t>
      </w:r>
    </w:p>
    <w:p>
      <w:pPr>
        <w:pStyle w:val="Compact"/>
        <w:numPr>
          <w:ilvl w:val="0"/>
          <w:numId w:val="1132"/>
        </w:numPr>
      </w:pPr>
      <w:r>
        <w:rPr>
          <w:b/>
          <w:bCs/>
        </w:rPr>
        <w:t xml:space="preserve">Public (instruments):</w:t>
      </w:r>
      <w:r>
        <w:t xml:space="preserve"> </w:t>
      </w:r>
      <w:r>
        <w:t xml:space="preserve">the Cybersecurity Law text (including the CII chapter) and Decree No. 745 text are publicly available (official Chinese; translations exist). (</w:t>
      </w:r>
      <w:hyperlink r:id="rId53">
        <w:r>
          <w:rPr>
            <w:rStyle w:val="Hyperlink"/>
          </w:rPr>
          <w:t xml:space="preserve">CAC</w:t>
        </w:r>
      </w:hyperlink>
      <w:r>
        <w:t xml:space="preserve">)</w:t>
      </w:r>
    </w:p>
    <w:p>
      <w:pPr>
        <w:pStyle w:val="Compact"/>
        <w:numPr>
          <w:ilvl w:val="0"/>
          <w:numId w:val="1132"/>
        </w:numPr>
      </w:pPr>
      <w:r>
        <w:rPr>
          <w:b/>
          <w:bCs/>
        </w:rPr>
        <w:t xml:space="preserve">Designation outcomes:</w:t>
      </w:r>
      <w:r>
        <w:t xml:space="preserve"> </w:t>
      </w:r>
      <w:r>
        <w:t xml:space="preserve">Decree No. 745 states operators are</w:t>
      </w:r>
      <w:r>
        <w:t xml:space="preserve"> </w:t>
      </w:r>
      <w:r>
        <w:rPr>
          <w:b/>
          <w:bCs/>
        </w:rPr>
        <w:t xml:space="preserve">notified</w:t>
      </w:r>
      <w:r>
        <w:t xml:space="preserve"> </w:t>
      </w:r>
      <w:r>
        <w:t xml:space="preserve">of designation results and that determinations are</w:t>
      </w:r>
      <w:r>
        <w:t xml:space="preserve"> </w:t>
      </w:r>
      <w:r>
        <w:rPr>
          <w:b/>
          <w:bCs/>
        </w:rPr>
        <w:t xml:space="preserve">reported</w:t>
      </w:r>
      <w:r>
        <w:t xml:space="preserve"> </w:t>
      </w:r>
      <w:r>
        <w:t xml:space="preserve">to the State Council public security department. (</w:t>
      </w:r>
      <w:hyperlink r:id="rId54">
        <w:r>
          <w:rPr>
            <w:rStyle w:val="Hyperlink"/>
          </w:rPr>
          <w:t xml:space="preserve">China Law Translate</w:t>
        </w:r>
      </w:hyperlink>
      <w:r>
        <w:t xml:space="preserve">)</w:t>
      </w:r>
    </w:p>
    <w:p>
      <w:pPr>
        <w:pStyle w:val="Compact"/>
        <w:numPr>
          <w:ilvl w:val="0"/>
          <w:numId w:val="1132"/>
        </w:numPr>
      </w:pPr>
      <w:r>
        <w:rPr>
          <w:b/>
          <w:bCs/>
        </w:rPr>
        <w:t xml:space="preserve">A public national list of CIIOs is not present in these instruments’ text</w:t>
      </w:r>
      <w:r>
        <w:t xml:space="preserve"> </w:t>
      </w:r>
      <w:r>
        <w:t xml:space="preserve">(i.e., the cited law/regulation text does not contain a list). (</w:t>
      </w:r>
      <w:hyperlink r:id="rId53">
        <w:r>
          <w:rPr>
            <w:rStyle w:val="Hyperlink"/>
          </w:rPr>
          <w:t xml:space="preserve">CAC</w:t>
        </w:r>
      </w:hyperlink>
      <w:r>
        <w:t xml:space="preserve">)</w:t>
      </w:r>
    </w:p>
    <w:bookmarkEnd w:id="156"/>
    <w:bookmarkStart w:id="157" w:name="X74314c2a08c6d370a05f80eca89155b60ec0ec5"/>
    <w:p>
      <w:pPr>
        <w:pStyle w:val="Heading2"/>
      </w:pPr>
      <w:r>
        <w:t xml:space="preserve">Latest updates (2025–2026) — primary confirmation</w:t>
      </w:r>
    </w:p>
    <w:p>
      <w:pPr>
        <w:pStyle w:val="Compact"/>
        <w:numPr>
          <w:ilvl w:val="0"/>
          <w:numId w:val="1133"/>
        </w:numPr>
      </w:pPr>
      <w:r>
        <w:t xml:space="preserve">Xinhua reports the NPCSC passed the decision amending the Cybersecurity Law on</w:t>
      </w:r>
      <w:r>
        <w:t xml:space="preserve"> </w:t>
      </w:r>
      <w:r>
        <w:rPr>
          <w:b/>
          <w:bCs/>
        </w:rPr>
        <w:t xml:space="preserve">28 Oct 2025</w:t>
      </w:r>
      <w:r>
        <w:t xml:space="preserve"> </w:t>
      </w:r>
      <w:r>
        <w:t xml:space="preserve">and that it</w:t>
      </w:r>
      <w:r>
        <w:t xml:space="preserve"> </w:t>
      </w:r>
      <w:r>
        <w:rPr>
          <w:b/>
          <w:bCs/>
        </w:rPr>
        <w:t xml:space="preserve">takes effect 1 Jan 2026</w:t>
      </w:r>
      <w:r>
        <w:t xml:space="preserve">. (</w:t>
      </w:r>
      <w:hyperlink r:id="rId57">
        <w:r>
          <w:rPr>
            <w:rStyle w:val="Hyperlink"/>
          </w:rPr>
          <w:t xml:space="preserve">Xinhua News</w:t>
        </w:r>
      </w:hyperlink>
      <w:r>
        <w:t xml:space="preserve">)</w:t>
      </w:r>
    </w:p>
    <w:p>
      <w:pPr>
        <w:pStyle w:val="Compact"/>
        <w:numPr>
          <w:ilvl w:val="0"/>
          <w:numId w:val="1133"/>
        </w:numPr>
      </w:pPr>
      <w:r>
        <w:t xml:space="preserve">The CAC page for the Cybersecurity Law states the law is</w:t>
      </w:r>
      <w:r>
        <w:t xml:space="preserve"> </w:t>
      </w:r>
      <w:r>
        <w:rPr>
          <w:b/>
          <w:bCs/>
        </w:rPr>
        <w:t xml:space="preserve">revised according to the 2025-10-28 NPCSC decision</w:t>
      </w:r>
      <w:r>
        <w:t xml:space="preserve"> </w:t>
      </w:r>
      <w:r>
        <w:t xml:space="preserve">(as shown in the header). (</w:t>
      </w:r>
      <w:hyperlink r:id="rId53">
        <w:r>
          <w:rPr>
            <w:rStyle w:val="Hyperlink"/>
          </w:rPr>
          <w:t xml:space="preserve">CAC</w:t>
        </w:r>
      </w:hyperlink>
      <w:r>
        <w:t xml:space="preserve">)</w:t>
      </w:r>
    </w:p>
    <w:bookmarkEnd w:id="157"/>
    <w:bookmarkStart w:id="158" w:name="references-china"/>
    <w:p>
      <w:pPr>
        <w:pStyle w:val="Heading2"/>
      </w:pPr>
      <w:r>
        <w:t xml:space="preserve">References (China)</w:t>
      </w:r>
    </w:p>
    <w:p>
      <w:pPr>
        <w:pStyle w:val="Compact"/>
        <w:numPr>
          <w:ilvl w:val="0"/>
          <w:numId w:val="1134"/>
        </w:numPr>
      </w:pPr>
      <w:r>
        <w:rPr>
          <w:b/>
          <w:bCs/>
        </w:rPr>
        <w:t xml:space="preserve">Cyberspace Administration of China (CAC)</w:t>
      </w:r>
      <w:r>
        <w:t xml:space="preserve"> </w:t>
      </w:r>
      <w:r>
        <w:t xml:space="preserve">— </w:t>
      </w:r>
      <w:r>
        <w:rPr>
          <w:rFonts w:hint="eastAsia"/>
        </w:rPr>
        <w:t xml:space="preserve">“中华人民共和国网络安全法”</w:t>
      </w:r>
      <w:r>
        <w:t xml:space="preserve"> (official Chinese text; header shows 2025 revision basis; includes CII chapter). (</w:t>
      </w:r>
      <w:hyperlink r:id="rId53">
        <w:r>
          <w:rPr>
            <w:rStyle w:val="Hyperlink"/>
          </w:rPr>
          <w:t xml:space="preserve">CAC</w:t>
        </w:r>
      </w:hyperlink>
      <w:r>
        <w:t xml:space="preserve">)</w:t>
      </w:r>
    </w:p>
    <w:p>
      <w:pPr>
        <w:pStyle w:val="Compact"/>
        <w:numPr>
          <w:ilvl w:val="0"/>
          <w:numId w:val="1134"/>
        </w:numPr>
      </w:pPr>
      <w:r>
        <w:rPr>
          <w:b/>
          <w:bCs/>
        </w:rPr>
        <w:t xml:space="preserve">China Law Translate</w:t>
      </w:r>
      <w:r>
        <w:t xml:space="preserve"> </w:t>
      </w:r>
      <w:r>
        <w:t xml:space="preserve">— “Regulations on Critical Information Infrastructure Security Protections” (State Council Decree No. 745) (translation; Articles 2, 9–11, 18 etc used). (</w:t>
      </w:r>
      <w:hyperlink r:id="rId54">
        <w:r>
          <w:rPr>
            <w:rStyle w:val="Hyperlink"/>
          </w:rPr>
          <w:t xml:space="preserve">China Law Translate</w:t>
        </w:r>
      </w:hyperlink>
      <w:r>
        <w:t xml:space="preserve">)</w:t>
      </w:r>
    </w:p>
    <w:p>
      <w:pPr>
        <w:pStyle w:val="Compact"/>
        <w:numPr>
          <w:ilvl w:val="0"/>
          <w:numId w:val="1134"/>
        </w:numPr>
      </w:pPr>
      <w:r>
        <w:rPr>
          <w:b/>
          <w:bCs/>
        </w:rPr>
        <w:t xml:space="preserve">National Health Commission (NHC)</w:t>
      </w:r>
      <w:r>
        <w:t xml:space="preserve"> </w:t>
      </w:r>
      <w:r>
        <w:t xml:space="preserve">— 2011 </w:t>
      </w:r>
      <w:r>
        <w:rPr>
          <w:rFonts w:hint="eastAsia"/>
        </w:rPr>
        <w:t xml:space="preserve">“卫生行业信息安全等级保护工作的指导意见”</w:t>
      </w:r>
      <w:r>
        <w:t xml:space="preserve"> </w:t>
      </w:r>
      <w:r>
        <w:rPr>
          <w:rFonts w:hint="eastAsia"/>
        </w:rPr>
        <w:t xml:space="preserve">(卫办发〔2011〕85号)</w:t>
      </w:r>
      <w:r>
        <w:t xml:space="preserve"> (five levels; ≥ Level 3 system list; annual evaluation). (</w:t>
      </w:r>
      <w:hyperlink r:id="rId55">
        <w:r>
          <w:rPr>
            <w:rStyle w:val="Hyperlink"/>
          </w:rPr>
          <w:t xml:space="preserve">National Health Commission</w:t>
        </w:r>
      </w:hyperlink>
      <w:r>
        <w:t xml:space="preserve">)</w:t>
      </w:r>
    </w:p>
    <w:p>
      <w:pPr>
        <w:pStyle w:val="Compact"/>
        <w:numPr>
          <w:ilvl w:val="0"/>
          <w:numId w:val="1134"/>
        </w:numPr>
      </w:pPr>
      <w:r>
        <w:rPr>
          <w:b/>
          <w:bCs/>
        </w:rPr>
        <w:t xml:space="preserve">NHC / NATCM / NCDC</w:t>
      </w:r>
      <w:r>
        <w:t xml:space="preserve"> </w:t>
      </w:r>
      <w:r>
        <w:t xml:space="preserve">— 2022 </w:t>
      </w:r>
      <w:r>
        <w:rPr>
          <w:rFonts w:hint="eastAsia"/>
        </w:rPr>
        <w:t xml:space="preserve">“医疗卫生机构网络安全管理办法”</w:t>
      </w:r>
      <w:r>
        <w:t xml:space="preserve"> </w:t>
      </w:r>
      <w:r>
        <w:rPr>
          <w:rFonts w:hint="eastAsia"/>
        </w:rPr>
        <w:t xml:space="preserve">(国卫规划发〔2022〕29号)</w:t>
      </w:r>
      <w:r>
        <w:t xml:space="preserve"> (focus on CII and MLPS Level 3+ networks, etc.). (</w:t>
      </w:r>
      <w:hyperlink r:id="rId56">
        <w:r>
          <w:rPr>
            <w:rStyle w:val="Hyperlink"/>
          </w:rPr>
          <w:t xml:space="preserve">National Health Commission</w:t>
        </w:r>
      </w:hyperlink>
      <w:r>
        <w:t xml:space="preserve">)</w:t>
      </w:r>
    </w:p>
    <w:p>
      <w:pPr>
        <w:pStyle w:val="Compact"/>
        <w:numPr>
          <w:ilvl w:val="0"/>
          <w:numId w:val="1134"/>
        </w:numPr>
      </w:pPr>
      <w:r>
        <w:rPr>
          <w:b/>
          <w:bCs/>
        </w:rPr>
        <w:t xml:space="preserve">Xinhua </w:t>
      </w:r>
      <w:r>
        <w:rPr>
          <w:rFonts w:hint="eastAsia"/>
          <w:b/>
          <w:bCs/>
        </w:rPr>
        <w:t xml:space="preserve">(新华网)</w:t>
      </w:r>
      <w:r>
        <w:t xml:space="preserve"> </w:t>
      </w:r>
      <w:r>
        <w:t xml:space="preserve">— report that amendments were passed 2025-10-28 and effective 2026-01-01. (</w:t>
      </w:r>
      <w:hyperlink r:id="rId57">
        <w:r>
          <w:rPr>
            <w:rStyle w:val="Hyperlink"/>
          </w:rPr>
          <w:t xml:space="preserve">Xinhua News</w:t>
        </w:r>
      </w:hyperlink>
      <w:r>
        <w:t xml:space="preserve">)</w:t>
      </w:r>
    </w:p>
    <w:p>
      <w:pPr>
        <w:pStyle w:val="Compact"/>
        <w:numPr>
          <w:ilvl w:val="0"/>
          <w:numId w:val="1134"/>
        </w:numPr>
      </w:pPr>
      <w:r>
        <w:rPr>
          <w:b/>
          <w:bCs/>
        </w:rPr>
        <w:t xml:space="preserve">English.gov.cn</w:t>
      </w:r>
      <w:r>
        <w:t xml:space="preserve"> </w:t>
      </w:r>
      <w:r>
        <w:t xml:space="preserve">— State Council release summarizing Decree No. 745 effective date (Sept 1, 2021). (</w:t>
      </w:r>
      <w:hyperlink r:id="rId58">
        <w:r>
          <w:rPr>
            <w:rStyle w:val="Hyperlink"/>
          </w:rPr>
          <w:t xml:space="preserve">State Council of China</w:t>
        </w:r>
      </w:hyperlink>
      <w:r>
        <w:t xml:space="preserve">)</w:t>
      </w:r>
    </w:p>
    <w:p>
      <w:pPr>
        <w:sectPr>
          <w:footerReference w:type="first" r:id="rId13"/>
          <w:footerReference w:type="default" r:id="rId11"/>
          <w:footerReference w:type="even" r:id="rId10"/>
          <w:type w:val="nextPage"/>
        </w:sectPr>
      </w:pPr>
    </w:p>
    <w:bookmarkEnd w:id="158"/>
    <w:bookmarkEnd w:id="159"/>
    <w:bookmarkStart w:id="174" w:name="south-korea"/>
    <w:p>
      <w:pPr>
        <w:pStyle w:val="Heading1"/>
      </w:pPr>
      <w:r>
        <w:t xml:space="preserve">SOUTH KOREA</w:t>
      </w:r>
    </w:p>
    <w:bookmarkStart w:id="160" w:name="final-categories-2"/>
    <w:p>
      <w:pPr>
        <w:pStyle w:val="Heading2"/>
      </w:pPr>
      <w:r>
        <w:t xml:space="preserve">Final categories</w:t>
      </w:r>
    </w:p>
    <w:p>
      <w:pPr>
        <w:pStyle w:val="FirstParagraph"/>
      </w:pPr>
      <w:r>
        <w:rPr>
          <w:b/>
          <w:bCs/>
        </w:rPr>
        <w:t xml:space="preserve">Act on the Protection of Information and Communications Infrastructure</w:t>
      </w:r>
      <w:r>
        <w:t xml:space="preserve"> </w:t>
      </w:r>
      <w:r>
        <w:t xml:space="preserve">(정보통신기반 보호법) establishes a</w:t>
      </w:r>
      <w:r>
        <w:t xml:space="preserve"> </w:t>
      </w:r>
      <w:r>
        <w:rPr>
          <w:b/>
          <w:bCs/>
        </w:rPr>
        <w:t xml:space="preserve">designation-based “critical infrastructure” regime</w:t>
      </w:r>
      <w:r>
        <w:t xml:space="preserve"> </w:t>
      </w:r>
      <w:r>
        <w:t xml:space="preserve">for</w:t>
      </w:r>
      <w:r>
        <w:t xml:space="preserve"> </w:t>
      </w:r>
      <w:r>
        <w:rPr>
          <w:b/>
          <w:bCs/>
        </w:rPr>
        <w:t xml:space="preserve">information and communications infrastructure</w:t>
      </w:r>
      <w:r>
        <w:t xml:space="preserve">:</w:t>
      </w:r>
    </w:p>
    <w:p>
      <w:pPr>
        <w:pStyle w:val="Compact"/>
        <w:numPr>
          <w:ilvl w:val="0"/>
          <w:numId w:val="1135"/>
        </w:numPr>
      </w:pPr>
      <w:r>
        <w:rPr>
          <w:b/>
          <w:bCs/>
        </w:rPr>
        <w:t xml:space="preserve">Information and Communications Infrastructure</w:t>
      </w:r>
      <w:r>
        <w:t xml:space="preserve"> </w:t>
      </w:r>
      <w:r>
        <w:t xml:space="preserve">(정보통신기반) — defined term. (</w:t>
      </w:r>
      <w:hyperlink r:id="rId53">
        <w:r>
          <w:rPr>
            <w:rStyle w:val="Hyperlink"/>
          </w:rPr>
          <w:t xml:space="preserve">E-Law</w:t>
        </w:r>
      </w:hyperlink>
      <w:r>
        <w:t xml:space="preserve">)</w:t>
      </w:r>
    </w:p>
    <w:p>
      <w:pPr>
        <w:pStyle w:val="Compact"/>
        <w:numPr>
          <w:ilvl w:val="0"/>
          <w:numId w:val="1135"/>
        </w:numPr>
      </w:pPr>
      <w:r>
        <w:rPr>
          <w:b/>
          <w:bCs/>
        </w:rPr>
        <w:t xml:space="preserve">Critical Information and Communications Infrastructure</w:t>
      </w:r>
      <w:r>
        <w:t xml:space="preserve"> </w:t>
      </w:r>
      <w:r>
        <w:t xml:space="preserve">(주요정보통신기반시설) —</w:t>
      </w:r>
      <w:r>
        <w:t xml:space="preserve"> </w:t>
      </w:r>
      <w:r>
        <w:rPr>
          <w:b/>
          <w:bCs/>
        </w:rPr>
        <w:t xml:space="preserve">information and communications infrastructure designated</w:t>
      </w:r>
      <w:r>
        <w:t xml:space="preserve"> </w:t>
      </w:r>
      <w:r>
        <w:t xml:space="preserve">as “critical” by the head of a central administrative agency (or, for certain local-government-supervised organizations, by the competent Minister in consultation). (</w:t>
      </w:r>
      <w:hyperlink r:id="rId53">
        <w:r>
          <w:rPr>
            <w:rStyle w:val="Hyperlink"/>
          </w:rPr>
          <w:t xml:space="preserve">E-Law</w:t>
        </w:r>
      </w:hyperlink>
      <w:r>
        <w:t xml:space="preserve">)</w:t>
      </w:r>
    </w:p>
    <w:p>
      <w:pPr>
        <w:pStyle w:val="Compact"/>
        <w:numPr>
          <w:ilvl w:val="0"/>
          <w:numId w:val="1135"/>
        </w:numPr>
      </w:pPr>
      <w:r>
        <w:rPr>
          <w:b/>
          <w:bCs/>
        </w:rPr>
        <w:t xml:space="preserve">Management Organization</w:t>
      </w:r>
      <w:r>
        <w:t xml:space="preserve"> </w:t>
      </w:r>
      <w:r>
        <w:t xml:space="preserve">— an organization that manages critical information and communications infrastructure, with statutory duties to formulate and implement protection measures and related submissions/roles. (</w:t>
      </w:r>
      <w:hyperlink r:id="rId53">
        <w:r>
          <w:rPr>
            <w:rStyle w:val="Hyperlink"/>
          </w:rPr>
          <w:t xml:space="preserve">E-Law</w:t>
        </w:r>
      </w:hyperlink>
      <w:r>
        <w:t xml:space="preserve">)</w:t>
      </w:r>
    </w:p>
    <w:p>
      <w:pPr>
        <w:pStyle w:val="FirstParagraph"/>
      </w:pPr>
      <w:r>
        <w:t xml:space="preserve">The</w:t>
      </w:r>
      <w:r>
        <w:t xml:space="preserve"> </w:t>
      </w:r>
      <w:r>
        <w:rPr>
          <w:b/>
          <w:bCs/>
        </w:rPr>
        <w:t xml:space="preserve">Enforcement Decree</w:t>
      </w:r>
      <w:r>
        <w:t xml:space="preserve"> </w:t>
      </w:r>
      <w:r>
        <w:t xml:space="preserve">prescribes</w:t>
      </w:r>
      <w:r>
        <w:t xml:space="preserve"> </w:t>
      </w:r>
      <w:r>
        <w:rPr>
          <w:b/>
          <w:bCs/>
        </w:rPr>
        <w:t xml:space="preserve">procedures and required contents</w:t>
      </w:r>
      <w:r>
        <w:t xml:space="preserve"> </w:t>
      </w:r>
      <w:r>
        <w:t xml:space="preserve">for designation, publication/notification, vulnerability analysis timing, protection-measures submission, and incident notification contents. (</w:t>
      </w:r>
      <w:hyperlink r:id="rId54">
        <w:r>
          <w:rPr>
            <w:rStyle w:val="Hyperlink"/>
          </w:rPr>
          <w:t xml:space="preserve">E-Law</w:t>
        </w:r>
      </w:hyperlink>
      <w:r>
        <w:t xml:space="preserve">)</w:t>
      </w:r>
    </w:p>
    <w:bookmarkEnd w:id="160"/>
    <w:bookmarkStart w:id="161" w:name="Xe91e85dc453e85499f0894eb6d55bf8f40e4be4"/>
    <w:p>
      <w:pPr>
        <w:pStyle w:val="Heading2"/>
      </w:pPr>
      <w:r>
        <w:t xml:space="preserve">Exact legal / regulatory criteria (primary texts)</w:t>
      </w:r>
    </w:p>
    <w:bookmarkEnd w:id="161"/>
    <w:bookmarkStart w:id="162" w:name="a-what-may-be-designated-as-critical"/>
    <w:p>
      <w:pPr>
        <w:pStyle w:val="Heading2"/>
      </w:pPr>
      <w:r>
        <w:t xml:space="preserve">A) What may be designated as “critical”</w:t>
      </w:r>
    </w:p>
    <w:p>
      <w:pPr>
        <w:pStyle w:val="FirstParagraph"/>
      </w:pPr>
      <w:r>
        <w:t xml:space="preserve">A central administrative agency head may designate infrastructure under their jurisdiction as</w:t>
      </w:r>
      <w:r>
        <w:t xml:space="preserve"> </w:t>
      </w:r>
      <w:r>
        <w:rPr>
          <w:b/>
          <w:bCs/>
        </w:rPr>
        <w:t xml:space="preserve">critical information and communications infrastructure</w:t>
      </w:r>
      <w:r>
        <w:t xml:space="preserve"> </w:t>
      </w:r>
      <w:r>
        <w:t xml:space="preserve">by taking into account the</w:t>
      </w:r>
      <w:r>
        <w:t xml:space="preserve"> </w:t>
      </w:r>
      <w:r>
        <w:rPr>
          <w:b/>
          <w:bCs/>
        </w:rPr>
        <w:t xml:space="preserve">five factors</w:t>
      </w:r>
      <w:r>
        <w:t xml:space="preserve"> </w:t>
      </w:r>
      <w:r>
        <w:t xml:space="preserve">below:</w:t>
      </w:r>
    </w:p>
    <w:p>
      <w:pPr>
        <w:pStyle w:val="Compact"/>
        <w:numPr>
          <w:ilvl w:val="0"/>
          <w:numId w:val="1136"/>
        </w:numPr>
      </w:pPr>
      <w:r>
        <w:t xml:space="preserve">national/social importance of duties performed by the managing organization</w:t>
      </w:r>
    </w:p>
    <w:p>
      <w:pPr>
        <w:pStyle w:val="Compact"/>
        <w:numPr>
          <w:ilvl w:val="0"/>
          <w:numId w:val="1136"/>
        </w:numPr>
      </w:pPr>
      <w:r>
        <w:t xml:space="preserve">dependence of those duties on the infrastructure</w:t>
      </w:r>
    </w:p>
    <w:p>
      <w:pPr>
        <w:pStyle w:val="Compact"/>
        <w:numPr>
          <w:ilvl w:val="0"/>
          <w:numId w:val="1136"/>
        </w:numPr>
      </w:pPr>
      <w:r>
        <w:t xml:space="preserve">inter-connection with other infrastructure</w:t>
      </w:r>
    </w:p>
    <w:p>
      <w:pPr>
        <w:pStyle w:val="Compact"/>
        <w:numPr>
          <w:ilvl w:val="0"/>
          <w:numId w:val="1136"/>
        </w:numPr>
      </w:pPr>
      <w:r>
        <w:t xml:space="preserve">areas/extent of damage to national security, economy, society if an intrusion incident occurs</w:t>
      </w:r>
    </w:p>
    <w:p>
      <w:pPr>
        <w:pStyle w:val="Compact"/>
        <w:numPr>
          <w:ilvl w:val="0"/>
          <w:numId w:val="1136"/>
        </w:numPr>
      </w:pPr>
      <w:r>
        <w:t xml:space="preserve">probability of intrusion incidents and ease of restoration (</w:t>
      </w:r>
      <w:hyperlink r:id="rId53">
        <w:r>
          <w:rPr>
            <w:rStyle w:val="Hyperlink"/>
          </w:rPr>
          <w:t xml:space="preserve">E-Law</w:t>
        </w:r>
      </w:hyperlink>
      <w:r>
        <w:t xml:space="preserve">)</w:t>
      </w:r>
    </w:p>
    <w:p>
      <w:pPr>
        <w:pStyle w:val="FirstParagraph"/>
      </w:pPr>
      <w:r>
        <w:t xml:space="preserve">Additional legal points in the Act on designation:</w:t>
      </w:r>
    </w:p>
    <w:p>
      <w:pPr>
        <w:pStyle w:val="Compact"/>
        <w:numPr>
          <w:ilvl w:val="0"/>
          <w:numId w:val="1137"/>
        </w:numPr>
      </w:pPr>
      <w:r>
        <w:t xml:space="preserve">The agency head</w:t>
      </w:r>
      <w:r>
        <w:t xml:space="preserve"> </w:t>
      </w:r>
      <w:r>
        <w:rPr>
          <w:b/>
          <w:bCs/>
        </w:rPr>
        <w:t xml:space="preserve">may request data</w:t>
      </w:r>
      <w:r>
        <w:t xml:space="preserve"> </w:t>
      </w:r>
      <w:r>
        <w:t xml:space="preserve">necessary to decide designation. (</w:t>
      </w:r>
      <w:hyperlink r:id="rId53">
        <w:r>
          <w:rPr>
            <w:rStyle w:val="Hyperlink"/>
          </w:rPr>
          <w:t xml:space="preserve">E-Law</w:t>
        </w:r>
      </w:hyperlink>
      <w:r>
        <w:t xml:space="preserve">)</w:t>
      </w:r>
    </w:p>
    <w:p>
      <w:pPr>
        <w:pStyle w:val="Compact"/>
        <w:numPr>
          <w:ilvl w:val="0"/>
          <w:numId w:val="1137"/>
        </w:numPr>
      </w:pPr>
      <w:r>
        <w:t xml:space="preserve">The agency head</w:t>
      </w:r>
      <w:r>
        <w:t xml:space="preserve"> </w:t>
      </w:r>
      <w:r>
        <w:rPr>
          <w:b/>
          <w:bCs/>
        </w:rPr>
        <w:t xml:space="preserve">may revoke</w:t>
      </w:r>
      <w:r>
        <w:t xml:space="preserve"> </w:t>
      </w:r>
      <w:r>
        <w:t xml:space="preserve">designation when the relevant affairs are abolished/suspended/changed. (</w:t>
      </w:r>
      <w:hyperlink r:id="rId53">
        <w:r>
          <w:rPr>
            <w:rStyle w:val="Hyperlink"/>
          </w:rPr>
          <w:t xml:space="preserve">E-Law</w:t>
        </w:r>
      </w:hyperlink>
      <w:r>
        <w:t xml:space="preserve">)</w:t>
      </w:r>
    </w:p>
    <w:p>
      <w:pPr>
        <w:pStyle w:val="Compact"/>
        <w:numPr>
          <w:ilvl w:val="0"/>
          <w:numId w:val="1137"/>
        </w:numPr>
      </w:pPr>
      <w:r>
        <w:t xml:space="preserve">The agency head must</w:t>
      </w:r>
      <w:r>
        <w:t xml:space="preserve"> </w:t>
      </w:r>
      <w:r>
        <w:rPr>
          <w:b/>
          <w:bCs/>
        </w:rPr>
        <w:t xml:space="preserve">submit designation/revocation for deliberation</w:t>
      </w:r>
      <w:r>
        <w:t xml:space="preserve"> </w:t>
      </w:r>
      <w:r>
        <w:t xml:space="preserve">by the Committee (with authority for the Committee to hear opinions). (</w:t>
      </w:r>
      <w:hyperlink r:id="rId53">
        <w:r>
          <w:rPr>
            <w:rStyle w:val="Hyperlink"/>
          </w:rPr>
          <w:t xml:space="preserve">E-Law</w:t>
        </w:r>
      </w:hyperlink>
      <w:r>
        <w:t xml:space="preserve">)</w:t>
      </w:r>
    </w:p>
    <w:p>
      <w:pPr>
        <w:pStyle w:val="Compact"/>
        <w:numPr>
          <w:ilvl w:val="0"/>
          <w:numId w:val="1137"/>
        </w:numPr>
      </w:pPr>
      <w:r>
        <w:t xml:space="preserve">The agency head must</w:t>
      </w:r>
      <w:r>
        <w:t xml:space="preserve"> </w:t>
      </w:r>
      <w:r>
        <w:rPr>
          <w:b/>
          <w:bCs/>
        </w:rPr>
        <w:t xml:space="preserve">publicly announce</w:t>
      </w:r>
      <w:r>
        <w:t xml:space="preserve"> </w:t>
      </w:r>
      <w:r>
        <w:t xml:space="preserve">designation/revocation</w:t>
      </w:r>
      <w:r>
        <w:t xml:space="preserve"> </w:t>
      </w:r>
      <w:r>
        <w:rPr>
          <w:b/>
          <w:bCs/>
        </w:rPr>
        <w:t xml:space="preserve">unless</w:t>
      </w:r>
      <w:r>
        <w:t xml:space="preserve"> </w:t>
      </w:r>
      <w:r>
        <w:t xml:space="preserve">the Committee deliberates that non-announcement is necessary for national security. (</w:t>
      </w:r>
      <w:hyperlink r:id="rId53">
        <w:r>
          <w:rPr>
            <w:rStyle w:val="Hyperlink"/>
          </w:rPr>
          <w:t xml:space="preserve">E-Law</w:t>
        </w:r>
      </w:hyperlink>
      <w:r>
        <w:t xml:space="preserve">)</w:t>
      </w:r>
    </w:p>
    <w:bookmarkEnd w:id="162"/>
    <w:bookmarkStart w:id="163" w:name="X71d35e1270a64cb01d003fde503b9941a792d12"/>
    <w:p>
      <w:pPr>
        <w:pStyle w:val="Heading2"/>
      </w:pPr>
      <w:r>
        <w:t xml:space="preserve">B) Decree: how “designation” is operationalized</w:t>
      </w:r>
    </w:p>
    <w:p>
      <w:pPr>
        <w:pStyle w:val="FirstParagraph"/>
      </w:pPr>
      <w:r>
        <w:t xml:space="preserve">The Decree specifies a stepwise process around a</w:t>
      </w:r>
      <w:r>
        <w:t xml:space="preserve"> </w:t>
      </w:r>
      <w:r>
        <w:rPr>
          <w:b/>
          <w:bCs/>
        </w:rPr>
        <w:t xml:space="preserve">“designation unit”</w:t>
      </w:r>
      <w:r>
        <w:t xml:space="preserve"> </w:t>
      </w:r>
      <w:r>
        <w:t xml:space="preserve">and evaluation:</w:t>
      </w:r>
    </w:p>
    <w:p>
      <w:pPr>
        <w:pStyle w:val="Compact"/>
        <w:numPr>
          <w:ilvl w:val="0"/>
          <w:numId w:val="1138"/>
        </w:numPr>
      </w:pPr>
      <w:r>
        <w:rPr>
          <w:b/>
          <w:bCs/>
        </w:rPr>
        <w:t xml:space="preserve">Selection of designation units</w:t>
      </w:r>
      <w:r>
        <w:t xml:space="preserve"> </w:t>
      </w:r>
      <w:r>
        <w:t xml:space="preserve">(Decree Art. 13): central administrative agency head requires the organization to select a “designation unit,” and may examine/adjust reasonableness. (</w:t>
      </w:r>
      <w:hyperlink r:id="rId54">
        <w:r>
          <w:rPr>
            <w:rStyle w:val="Hyperlink"/>
          </w:rPr>
          <w:t xml:space="preserve">E-Law</w:t>
        </w:r>
      </w:hyperlink>
      <w:r>
        <w:t xml:space="preserve">)</w:t>
      </w:r>
    </w:p>
    <w:p>
      <w:pPr>
        <w:pStyle w:val="Compact"/>
        <w:numPr>
          <w:ilvl w:val="0"/>
          <w:numId w:val="1138"/>
        </w:numPr>
      </w:pPr>
      <w:r>
        <w:rPr>
          <w:b/>
          <w:bCs/>
        </w:rPr>
        <w:t xml:space="preserve">Self-evaluation for designation</w:t>
      </w:r>
      <w:r>
        <w:t xml:space="preserve"> </w:t>
      </w:r>
      <w:r>
        <w:t xml:space="preserve">(Decree Art. 14): agency head may issue evaluation guidelines; organization evaluates and submits results. (</w:t>
      </w:r>
      <w:hyperlink r:id="rId54">
        <w:r>
          <w:rPr>
            <w:rStyle w:val="Hyperlink"/>
          </w:rPr>
          <w:t xml:space="preserve">E-Law</w:t>
        </w:r>
      </w:hyperlink>
      <w:r>
        <w:t xml:space="preserve">)</w:t>
      </w:r>
    </w:p>
    <w:p>
      <w:pPr>
        <w:pStyle w:val="Compact"/>
        <w:numPr>
          <w:ilvl w:val="0"/>
          <w:numId w:val="1138"/>
        </w:numPr>
      </w:pPr>
      <w:r>
        <w:rPr>
          <w:b/>
          <w:bCs/>
        </w:rPr>
        <w:t xml:space="preserve">Review of evaluation</w:t>
      </w:r>
      <w:r>
        <w:t xml:space="preserve"> </w:t>
      </w:r>
      <w:r>
        <w:t xml:space="preserve">(Decree Art. 15): agency head reviews whether self-evaluation is objective/appropriate with reference to Act Art. 8(1) factors; may require re-evaluation in specified circumstances. (</w:t>
      </w:r>
      <w:hyperlink r:id="rId54">
        <w:r>
          <w:rPr>
            <w:rStyle w:val="Hyperlink"/>
          </w:rPr>
          <w:t xml:space="preserve">E-Law</w:t>
        </w:r>
      </w:hyperlink>
      <w:r>
        <w:t xml:space="preserve">)</w:t>
      </w:r>
    </w:p>
    <w:p>
      <w:pPr>
        <w:pStyle w:val="Compact"/>
        <w:numPr>
          <w:ilvl w:val="0"/>
          <w:numId w:val="1138"/>
        </w:numPr>
      </w:pPr>
      <w:r>
        <w:rPr>
          <w:b/>
          <w:bCs/>
        </w:rPr>
        <w:t xml:space="preserve">Recommended designation decision timeline</w:t>
      </w:r>
      <w:r>
        <w:t xml:space="preserve"> </w:t>
      </w:r>
      <w:r>
        <w:t xml:space="preserve">(Decree Art. 16-2(3)): where designation is recommended under Act Art. 8-2(1), the agency head must decide whether to designate after designation-unit selection, self-evaluation, and review</w:t>
      </w:r>
      <w:r>
        <w:t xml:space="preserve"> </w:t>
      </w:r>
      <w:r>
        <w:rPr>
          <w:b/>
          <w:bCs/>
        </w:rPr>
        <w:t xml:space="preserve">within 60 days</w:t>
      </w:r>
      <w:r>
        <w:t xml:space="preserve">. (</w:t>
      </w:r>
      <w:hyperlink r:id="rId54">
        <w:r>
          <w:rPr>
            <w:rStyle w:val="Hyperlink"/>
          </w:rPr>
          <w:t xml:space="preserve">E-Law</w:t>
        </w:r>
      </w:hyperlink>
      <w:r>
        <w:t xml:space="preserve">)</w:t>
      </w:r>
    </w:p>
    <w:bookmarkEnd w:id="163"/>
    <w:bookmarkStart w:id="164" w:name="X822c1b1870810f7b9930d14a88bb1dfe204fef7"/>
    <w:p>
      <w:pPr>
        <w:pStyle w:val="Heading2"/>
      </w:pPr>
      <w:r>
        <w:t xml:space="preserve">C) Public notice / publication requirements (Act + Decree)</w:t>
      </w:r>
    </w:p>
    <w:p>
      <w:pPr>
        <w:pStyle w:val="Compact"/>
        <w:numPr>
          <w:ilvl w:val="0"/>
          <w:numId w:val="1139"/>
        </w:numPr>
      </w:pPr>
      <w:r>
        <w:t xml:space="preserve">Act: designation/revocation must be</w:t>
      </w:r>
      <w:r>
        <w:t xml:space="preserve"> </w:t>
      </w:r>
      <w:r>
        <w:rPr>
          <w:b/>
          <w:bCs/>
        </w:rPr>
        <w:t xml:space="preserve">publicly announced</w:t>
      </w:r>
      <w:r>
        <w:t xml:space="preserve">, with a national-security exception after Committee deliberation. (</w:t>
      </w:r>
      <w:hyperlink r:id="rId53">
        <w:r>
          <w:rPr>
            <w:rStyle w:val="Hyperlink"/>
          </w:rPr>
          <w:t xml:space="preserve">E-Law</w:t>
        </w:r>
      </w:hyperlink>
      <w:r>
        <w:t xml:space="preserve">)</w:t>
      </w:r>
    </w:p>
    <w:p>
      <w:pPr>
        <w:pStyle w:val="Compact"/>
        <w:numPr>
          <w:ilvl w:val="0"/>
          <w:numId w:val="1139"/>
        </w:numPr>
      </w:pPr>
      <w:r>
        <w:t xml:space="preserve">Decree Art. 16: when designating or revoking designation, the agency head must notify the management organization “without delay” and publish specific fields in the</w:t>
      </w:r>
      <w:r>
        <w:t xml:space="preserve"> </w:t>
      </w:r>
      <w:r>
        <w:rPr>
          <w:b/>
          <w:bCs/>
        </w:rPr>
        <w:t xml:space="preserve">Official Gazette</w:t>
      </w:r>
      <w:r>
        <w:t xml:space="preserve">:</w:t>
      </w:r>
    </w:p>
    <w:p>
      <w:pPr>
        <w:pStyle w:val="Compact"/>
        <w:numPr>
          <w:ilvl w:val="1"/>
          <w:numId w:val="1140"/>
        </w:numPr>
      </w:pPr>
      <w:r>
        <w:t xml:space="preserve">designation number</w:t>
      </w:r>
    </w:p>
    <w:p>
      <w:pPr>
        <w:pStyle w:val="Compact"/>
        <w:numPr>
          <w:ilvl w:val="1"/>
          <w:numId w:val="1140"/>
        </w:numPr>
      </w:pPr>
      <w:r>
        <w:t xml:space="preserve">name of critical information and communications infrastructure</w:t>
      </w:r>
    </w:p>
    <w:p>
      <w:pPr>
        <w:pStyle w:val="Compact"/>
        <w:numPr>
          <w:ilvl w:val="1"/>
          <w:numId w:val="1140"/>
        </w:numPr>
      </w:pPr>
      <w:r>
        <w:t xml:space="preserve">name of management organization</w:t>
      </w:r>
    </w:p>
    <w:p>
      <w:pPr>
        <w:pStyle w:val="Compact"/>
        <w:numPr>
          <w:ilvl w:val="1"/>
          <w:numId w:val="1140"/>
        </w:numPr>
      </w:pPr>
      <w:r>
        <w:t xml:space="preserve">performing duties</w:t>
      </w:r>
    </w:p>
    <w:p>
      <w:pPr>
        <w:pStyle w:val="Compact"/>
        <w:numPr>
          <w:ilvl w:val="1"/>
          <w:numId w:val="1140"/>
        </w:numPr>
      </w:pPr>
      <w:r>
        <w:t xml:space="preserve">grounds for designation/revocation (</w:t>
      </w:r>
      <w:hyperlink r:id="rId54">
        <w:r>
          <w:rPr>
            <w:rStyle w:val="Hyperlink"/>
          </w:rPr>
          <w:t xml:space="preserve">E-Law</w:t>
        </w:r>
      </w:hyperlink>
      <w:r>
        <w:t xml:space="preserve">)</w:t>
      </w:r>
    </w:p>
    <w:bookmarkEnd w:id="164"/>
    <w:bookmarkStart w:id="165" w:name="X1be6a8d9fac595233633fd65953977269d264fa"/>
    <w:p>
      <w:pPr>
        <w:pStyle w:val="Heading2"/>
      </w:pPr>
      <w:r>
        <w:t xml:space="preserve">Obligations tied to “critical” designation (Act + Decree)</w:t>
      </w:r>
    </w:p>
    <w:bookmarkEnd w:id="165"/>
    <w:bookmarkStart w:id="166" w:name="a-protection-measures-and-submission"/>
    <w:p>
      <w:pPr>
        <w:pStyle w:val="Heading2"/>
      </w:pPr>
      <w:r>
        <w:t xml:space="preserve">A) Protection measures and submission</w:t>
      </w:r>
    </w:p>
    <w:p>
      <w:pPr>
        <w:pStyle w:val="Compact"/>
        <w:numPr>
          <w:ilvl w:val="0"/>
          <w:numId w:val="1141"/>
        </w:numPr>
      </w:pPr>
      <w:r>
        <w:t xml:space="preserve">Act Art. 5(1): management organization must formulate and implement</w:t>
      </w:r>
      <w:r>
        <w:t xml:space="preserve"> </w:t>
      </w:r>
      <w:r>
        <w:rPr>
          <w:b/>
          <w:bCs/>
        </w:rPr>
        <w:t xml:space="preserve">physical and technological</w:t>
      </w:r>
      <w:r>
        <w:t xml:space="preserve"> </w:t>
      </w:r>
      <w:r>
        <w:t xml:space="preserve">protection measures, linked to vulnerability analysis results. (</w:t>
      </w:r>
      <w:hyperlink r:id="rId53">
        <w:r>
          <w:rPr>
            <w:rStyle w:val="Hyperlink"/>
          </w:rPr>
          <w:t xml:space="preserve">E-Law</w:t>
        </w:r>
      </w:hyperlink>
      <w:r>
        <w:t xml:space="preserve">)</w:t>
      </w:r>
    </w:p>
    <w:p>
      <w:pPr>
        <w:pStyle w:val="Compact"/>
        <w:numPr>
          <w:ilvl w:val="0"/>
          <w:numId w:val="1141"/>
        </w:numPr>
      </w:pPr>
      <w:r>
        <w:t xml:space="preserve">Act Art. 5(2): management organization submits details of measures to the competent central administrative agency (with stated exception). (</w:t>
      </w:r>
      <w:hyperlink r:id="rId53">
        <w:r>
          <w:rPr>
            <w:rStyle w:val="Hyperlink"/>
          </w:rPr>
          <w:t xml:space="preserve">E-Law</w:t>
        </w:r>
      </w:hyperlink>
      <w:r>
        <w:t xml:space="preserve">)</w:t>
      </w:r>
    </w:p>
    <w:p>
      <w:pPr>
        <w:pStyle w:val="Compact"/>
        <w:numPr>
          <w:ilvl w:val="0"/>
          <w:numId w:val="1141"/>
        </w:numPr>
      </w:pPr>
      <w:r>
        <w:t xml:space="preserve">Decree Art. 8: measures for the following year must be submitted</w:t>
      </w:r>
      <w:r>
        <w:t xml:space="preserve"> </w:t>
      </w:r>
      <w:r>
        <w:rPr>
          <w:b/>
          <w:bCs/>
        </w:rPr>
        <w:t xml:space="preserve">by every August 31</w:t>
      </w:r>
      <w:r>
        <w:t xml:space="preserve">. (</w:t>
      </w:r>
      <w:hyperlink r:id="rId54">
        <w:r>
          <w:rPr>
            <w:rStyle w:val="Hyperlink"/>
          </w:rPr>
          <w:t xml:space="preserve">E-Law</w:t>
        </w:r>
      </w:hyperlink>
      <w:r>
        <w:t xml:space="preserve">)</w:t>
      </w:r>
    </w:p>
    <w:bookmarkEnd w:id="166"/>
    <w:bookmarkStart w:id="167" w:name="b-vulnerability-analysis-and-timing"/>
    <w:p>
      <w:pPr>
        <w:pStyle w:val="Heading2"/>
      </w:pPr>
      <w:r>
        <w:t xml:space="preserve">B) Vulnerability analysis and timing</w:t>
      </w:r>
    </w:p>
    <w:p>
      <w:pPr>
        <w:pStyle w:val="Compact"/>
        <w:numPr>
          <w:ilvl w:val="0"/>
          <w:numId w:val="1142"/>
        </w:numPr>
      </w:pPr>
      <w:r>
        <w:t xml:space="preserve">Act Art. 9(1): management organization analyzes and evaluates vulnerabilities “on a regular basis as prescribed by Presidential Decree.” (</w:t>
      </w:r>
      <w:hyperlink r:id="rId53">
        <w:r>
          <w:rPr>
            <w:rStyle w:val="Hyperlink"/>
          </w:rPr>
          <w:t xml:space="preserve">E-Law</w:t>
        </w:r>
      </w:hyperlink>
      <w:r>
        <w:t xml:space="preserve">)</w:t>
      </w:r>
    </w:p>
    <w:p>
      <w:pPr>
        <w:pStyle w:val="Compact"/>
        <w:numPr>
          <w:ilvl w:val="0"/>
          <w:numId w:val="1142"/>
        </w:numPr>
      </w:pPr>
      <w:r>
        <w:t xml:space="preserve">Decree Art. 17(1)–(3):</w:t>
      </w:r>
    </w:p>
    <w:p>
      <w:pPr>
        <w:pStyle w:val="Compact"/>
        <w:numPr>
          <w:ilvl w:val="1"/>
          <w:numId w:val="1143"/>
        </w:numPr>
      </w:pPr>
      <w:r>
        <w:t xml:space="preserve">first analysis within</w:t>
      </w:r>
      <w:r>
        <w:t xml:space="preserve"> </w:t>
      </w:r>
      <w:r>
        <w:rPr>
          <w:b/>
          <w:bCs/>
        </w:rPr>
        <w:t xml:space="preserve">6 months</w:t>
      </w:r>
      <w:r>
        <w:t xml:space="preserve"> </w:t>
      </w:r>
      <w:r>
        <w:t xml:space="preserve">of designation (extendable to</w:t>
      </w:r>
      <w:r>
        <w:t xml:space="preserve"> </w:t>
      </w:r>
      <w:r>
        <w:rPr>
          <w:b/>
          <w:bCs/>
        </w:rPr>
        <w:t xml:space="preserve">9 months</w:t>
      </w:r>
      <w:r>
        <w:t xml:space="preserve"> </w:t>
      </w:r>
      <w:r>
        <w:t xml:space="preserve">with approval, per stated condition)</w:t>
      </w:r>
    </w:p>
    <w:p>
      <w:pPr>
        <w:pStyle w:val="Compact"/>
        <w:numPr>
          <w:ilvl w:val="1"/>
          <w:numId w:val="1143"/>
        </w:numPr>
      </w:pPr>
      <w:r>
        <w:t xml:space="preserve">thereafter</w:t>
      </w:r>
      <w:r>
        <w:t xml:space="preserve"> </w:t>
      </w:r>
      <w:r>
        <w:rPr>
          <w:b/>
          <w:bCs/>
        </w:rPr>
        <w:t xml:space="preserve">each year</w:t>
      </w:r>
      <w:r>
        <w:t xml:space="preserve"> </w:t>
      </w:r>
      <w:r>
        <w:t xml:space="preserve">(with an exception allowing earlier analysis if serious changes occur or deemed necessary)</w:t>
      </w:r>
    </w:p>
    <w:p>
      <w:pPr>
        <w:pStyle w:val="Compact"/>
        <w:numPr>
          <w:ilvl w:val="1"/>
          <w:numId w:val="1143"/>
        </w:numPr>
      </w:pPr>
      <w:r>
        <w:t xml:space="preserve">if ordered under Act Art. 9(2), analysis within</w:t>
      </w:r>
      <w:r>
        <w:t xml:space="preserve"> </w:t>
      </w:r>
      <w:r>
        <w:rPr>
          <w:b/>
          <w:bCs/>
        </w:rPr>
        <w:t xml:space="preserve">6 months</w:t>
      </w:r>
      <w:r>
        <w:t xml:space="preserve"> </w:t>
      </w:r>
      <w:r>
        <w:t xml:space="preserve">of receiving the order (</w:t>
      </w:r>
      <w:hyperlink r:id="rId54">
        <w:r>
          <w:rPr>
            <w:rStyle w:val="Hyperlink"/>
          </w:rPr>
          <w:t xml:space="preserve">E-Law</w:t>
        </w:r>
      </w:hyperlink>
      <w:r>
        <w:t xml:space="preserve">)</w:t>
      </w:r>
    </w:p>
    <w:bookmarkEnd w:id="167"/>
    <w:bookmarkStart w:id="168" w:name="c-roles-ciso-concept"/>
    <w:p>
      <w:pPr>
        <w:pStyle w:val="Heading2"/>
      </w:pPr>
      <w:r>
        <w:t xml:space="preserve">C) Roles (CISO concept)</w:t>
      </w:r>
    </w:p>
    <w:p>
      <w:pPr>
        <w:pStyle w:val="Compact"/>
        <w:numPr>
          <w:ilvl w:val="0"/>
          <w:numId w:val="1144"/>
        </w:numPr>
      </w:pPr>
      <w:r>
        <w:t xml:space="preserve">Act Art. 5(4): management organization designates a</w:t>
      </w:r>
      <w:r>
        <w:t xml:space="preserve"> </w:t>
      </w:r>
      <w:r>
        <w:rPr>
          <w:b/>
          <w:bCs/>
        </w:rPr>
        <w:t xml:space="preserve">chief information security officer</w:t>
      </w:r>
      <w:r>
        <w:t xml:space="preserve"> </w:t>
      </w:r>
      <w:r>
        <w:t xml:space="preserve">(with stated exception). (</w:t>
      </w:r>
      <w:hyperlink r:id="rId53">
        <w:r>
          <w:rPr>
            <w:rStyle w:val="Hyperlink"/>
          </w:rPr>
          <w:t xml:space="preserve">E-Law</w:t>
        </w:r>
      </w:hyperlink>
      <w:r>
        <w:t xml:space="preserve">)</w:t>
      </w:r>
    </w:p>
    <w:p>
      <w:pPr>
        <w:pStyle w:val="Compact"/>
        <w:numPr>
          <w:ilvl w:val="0"/>
          <w:numId w:val="1144"/>
        </w:numPr>
      </w:pPr>
      <w:r>
        <w:t xml:space="preserve">Decree Art. 9: specifies who may be designated and enumerates supervisory responsibilities (including measures, technical support requests, vulnerability analysis, compliance with guideline/measure orders, incident notification, and recovery measures). (</w:t>
      </w:r>
      <w:hyperlink r:id="rId54">
        <w:r>
          <w:rPr>
            <w:rStyle w:val="Hyperlink"/>
          </w:rPr>
          <w:t xml:space="preserve">E-Law</w:t>
        </w:r>
      </w:hyperlink>
      <w:r>
        <w:t xml:space="preserve">)</w:t>
      </w:r>
    </w:p>
    <w:bookmarkEnd w:id="168"/>
    <w:bookmarkStart w:id="169" w:name="d-protection-guidelines"/>
    <w:p>
      <w:pPr>
        <w:pStyle w:val="Heading2"/>
      </w:pPr>
      <w:r>
        <w:t xml:space="preserve">D) Protection guidelines</w:t>
      </w:r>
    </w:p>
    <w:p>
      <w:pPr>
        <w:pStyle w:val="Compact"/>
        <w:numPr>
          <w:ilvl w:val="0"/>
          <w:numId w:val="1145"/>
        </w:numPr>
      </w:pPr>
      <w:r>
        <w:t xml:space="preserve">Act Art. 10: central administrative agencies may establish protection guidelines and recommend management organizations follow them; guidelines must be revised/supplemented regularly considering technological advancements. (</w:t>
      </w:r>
      <w:hyperlink r:id="rId53">
        <w:r>
          <w:rPr>
            <w:rStyle w:val="Hyperlink"/>
          </w:rPr>
          <w:t xml:space="preserve">E-Law</w:t>
        </w:r>
      </w:hyperlink>
      <w:r>
        <w:t xml:space="preserve">)</w:t>
      </w:r>
    </w:p>
    <w:p>
      <w:pPr>
        <w:pStyle w:val="Compact"/>
        <w:numPr>
          <w:ilvl w:val="0"/>
          <w:numId w:val="1145"/>
        </w:numPr>
      </w:pPr>
      <w:r>
        <w:t xml:space="preserve">Decree Art. 20(1)–(2): protection guidelines include (i) management/operation of an information protection system, (ii) vulnerability analysis &amp; incident prevention, (iii) incident response &amp; recovery; and must be notified to management organizations when formulated/revised/supplemented. (</w:t>
      </w:r>
      <w:hyperlink r:id="rId54">
        <w:r>
          <w:rPr>
            <w:rStyle w:val="Hyperlink"/>
          </w:rPr>
          <w:t xml:space="preserve">E-Law</w:t>
        </w:r>
      </w:hyperlink>
      <w:r>
        <w:t xml:space="preserve">)</w:t>
      </w:r>
    </w:p>
    <w:bookmarkEnd w:id="169"/>
    <w:bookmarkStart w:id="170" w:name="Xfff44ab347fff303558d3f24db749d626e9c23a"/>
    <w:p>
      <w:pPr>
        <w:pStyle w:val="Heading2"/>
      </w:pPr>
      <w:r>
        <w:t xml:space="preserve">E) Cyber security incident notification content (Decree)</w:t>
      </w:r>
    </w:p>
    <w:p>
      <w:pPr>
        <w:pStyle w:val="Compact"/>
        <w:numPr>
          <w:ilvl w:val="0"/>
          <w:numId w:val="1146"/>
        </w:numPr>
      </w:pPr>
      <w:r>
        <w:t xml:space="preserve">Decree Art. 21(1): notification includes (1) date/time and facility, (2) details of damage, (3) other matters necessary for swift response and recovery. (</w:t>
      </w:r>
      <w:hyperlink r:id="rId54">
        <w:r>
          <w:rPr>
            <w:rStyle w:val="Hyperlink"/>
          </w:rPr>
          <w:t xml:space="preserve">E-Law</w:t>
        </w:r>
      </w:hyperlink>
      <w:r>
        <w:t xml:space="preserve">)</w:t>
      </w:r>
    </w:p>
    <w:bookmarkEnd w:id="170"/>
    <w:bookmarkStart w:id="171" w:name="grading-tiering-scheme-2"/>
    <w:p>
      <w:pPr>
        <w:pStyle w:val="Heading2"/>
      </w:pPr>
      <w:r>
        <w:t xml:space="preserve">Grading / tiering scheme</w:t>
      </w:r>
    </w:p>
    <w:p>
      <w:pPr>
        <w:pStyle w:val="FirstParagraph"/>
      </w:pPr>
      <w:r>
        <w:t xml:space="preserve">In the Act + Enforcement Decree texts cited above,</w:t>
      </w:r>
      <w:r>
        <w:t xml:space="preserve"> </w:t>
      </w:r>
      <w:r>
        <w:rPr>
          <w:b/>
          <w:bCs/>
        </w:rPr>
        <w:t xml:space="preserve">designation is a binary status</w:t>
      </w:r>
      <w:r>
        <w:t xml:space="preserve"> </w:t>
      </w:r>
      <w:r>
        <w:t xml:space="preserve">(designated or not designated as “critical information and communications infrastructure”);</w:t>
      </w:r>
      <w:r>
        <w:t xml:space="preserve"> </w:t>
      </w:r>
      <w:r>
        <w:rPr>
          <w:b/>
          <w:bCs/>
        </w:rPr>
        <w:t xml:space="preserve">no numeric or multi-tier classification scale</w:t>
      </w:r>
      <w:r>
        <w:t xml:space="preserve"> </w:t>
      </w:r>
      <w:r>
        <w:t xml:space="preserve">appears in these provisions. (</w:t>
      </w:r>
      <w:hyperlink r:id="rId53">
        <w:r>
          <w:rPr>
            <w:rStyle w:val="Hyperlink"/>
          </w:rPr>
          <w:t xml:space="preserve">E-Law</w:t>
        </w:r>
      </w:hyperlink>
      <w:r>
        <w:t xml:space="preserve">)</w:t>
      </w:r>
    </w:p>
    <w:bookmarkEnd w:id="171"/>
    <w:bookmarkStart w:id="172" w:name="what-is-public-vs-confidential-1"/>
    <w:p>
      <w:pPr>
        <w:pStyle w:val="Heading2"/>
      </w:pPr>
      <w:r>
        <w:t xml:space="preserve">What is public vs confidential</w:t>
      </w:r>
    </w:p>
    <w:p>
      <w:pPr>
        <w:pStyle w:val="Compact"/>
        <w:numPr>
          <w:ilvl w:val="0"/>
          <w:numId w:val="1147"/>
        </w:numPr>
      </w:pPr>
      <w:r>
        <w:rPr>
          <w:b/>
          <w:bCs/>
        </w:rPr>
        <w:t xml:space="preserve">Public:</w:t>
      </w:r>
      <w:r>
        <w:t xml:space="preserve"> </w:t>
      </w:r>
      <w:r>
        <w:t xml:space="preserve">the Act requires public announcement of designation/revocation (subject to the national-security exception). (</w:t>
      </w:r>
      <w:hyperlink r:id="rId53">
        <w:r>
          <w:rPr>
            <w:rStyle w:val="Hyperlink"/>
          </w:rPr>
          <w:t xml:space="preserve">E-Law</w:t>
        </w:r>
      </w:hyperlink>
      <w:r>
        <w:t xml:space="preserve">)</w:t>
      </w:r>
    </w:p>
    <w:p>
      <w:pPr>
        <w:pStyle w:val="Compact"/>
        <w:numPr>
          <w:ilvl w:val="0"/>
          <w:numId w:val="1147"/>
        </w:numPr>
      </w:pPr>
      <w:r>
        <w:rPr>
          <w:b/>
          <w:bCs/>
        </w:rPr>
        <w:t xml:space="preserve">Public:</w:t>
      </w:r>
      <w:r>
        <w:t xml:space="preserve"> </w:t>
      </w:r>
      <w:r>
        <w:t xml:space="preserve">the Decree requires Official Gazette publication of specific designation fields. (</w:t>
      </w:r>
      <w:hyperlink r:id="rId54">
        <w:r>
          <w:rPr>
            <w:rStyle w:val="Hyperlink"/>
          </w:rPr>
          <w:t xml:space="preserve">E-Law</w:t>
        </w:r>
      </w:hyperlink>
      <w:r>
        <w:t xml:space="preserve">)</w:t>
      </w:r>
    </w:p>
    <w:p>
      <w:pPr>
        <w:pStyle w:val="Compact"/>
        <w:numPr>
          <w:ilvl w:val="0"/>
          <w:numId w:val="1147"/>
        </w:numPr>
      </w:pPr>
      <w:r>
        <w:rPr>
          <w:b/>
          <w:bCs/>
        </w:rPr>
        <w:t xml:space="preserve">May be withheld (national security):</w:t>
      </w:r>
      <w:r>
        <w:t xml:space="preserve"> </w:t>
      </w:r>
      <w:r>
        <w:t xml:space="preserve">the Act permits non-public announcement after Committee deliberation when necessary for guaranteeing national security. (</w:t>
      </w:r>
      <w:hyperlink r:id="rId53">
        <w:r>
          <w:rPr>
            <w:rStyle w:val="Hyperlink"/>
          </w:rPr>
          <w:t xml:space="preserve">E-Law</w:t>
        </w:r>
      </w:hyperlink>
      <w:r>
        <w:t xml:space="preserve">)</w:t>
      </w:r>
    </w:p>
    <w:bookmarkEnd w:id="172"/>
    <w:bookmarkStart w:id="173" w:name="references-south-korea"/>
    <w:p>
      <w:pPr>
        <w:pStyle w:val="Heading2"/>
      </w:pPr>
      <w:r>
        <w:t xml:space="preserve">References (South Korea)</w:t>
      </w:r>
    </w:p>
    <w:p>
      <w:pPr>
        <w:pStyle w:val="Compact"/>
        <w:numPr>
          <w:ilvl w:val="0"/>
          <w:numId w:val="1148"/>
        </w:numPr>
      </w:pPr>
      <w:r>
        <w:rPr>
          <w:b/>
          <w:bCs/>
        </w:rPr>
        <w:t xml:space="preserve">Korea Legislation Research Institute (KLRI).</w:t>
      </w:r>
      <w:r>
        <w:t xml:space="preserve"> </w:t>
      </w:r>
      <w:r>
        <w:rPr>
          <w:b/>
          <w:bCs/>
        </w:rPr>
        <w:t xml:space="preserve">Act on the Protection of Information and Communications Infrastructure</w:t>
      </w:r>
      <w:r>
        <w:t xml:space="preserve"> </w:t>
      </w:r>
      <w:r>
        <w:t xml:space="preserve">(English translation page; includes Arts. 2, 5–13, etc.). (</w:t>
      </w:r>
      <w:hyperlink r:id="rId53">
        <w:r>
          <w:rPr>
            <w:rStyle w:val="Hyperlink"/>
          </w:rPr>
          <w:t xml:space="preserve">E-Law</w:t>
        </w:r>
      </w:hyperlink>
      <w:r>
        <w:t xml:space="preserve">)</w:t>
      </w:r>
    </w:p>
    <w:p>
      <w:pPr>
        <w:pStyle w:val="Compact"/>
        <w:numPr>
          <w:ilvl w:val="0"/>
          <w:numId w:val="1148"/>
        </w:numPr>
      </w:pPr>
      <w:r>
        <w:rPr>
          <w:b/>
          <w:bCs/>
        </w:rPr>
        <w:t xml:space="preserve">Korea Legislation Research Institute (KLRI).</w:t>
      </w:r>
      <w:r>
        <w:t xml:space="preserve"> </w:t>
      </w:r>
      <w:r>
        <w:rPr>
          <w:b/>
          <w:bCs/>
        </w:rPr>
        <w:t xml:space="preserve">Enforcement Decree of the Act on the Protection of Information and Communications Infrastructure</w:t>
      </w:r>
      <w:r>
        <w:t xml:space="preserve"> </w:t>
      </w:r>
      <w:r>
        <w:t xml:space="preserve">(English translation page; includes Arts. 8–9, 13–18, 20–22, etc.). (</w:t>
      </w:r>
      <w:hyperlink r:id="rId54">
        <w:r>
          <w:rPr>
            <w:rStyle w:val="Hyperlink"/>
          </w:rPr>
          <w:t xml:space="preserve">E-Law</w:t>
        </w:r>
      </w:hyperlink>
      <w:r>
        <w:t xml:space="preserve">)</w:t>
      </w:r>
    </w:p>
    <w:p>
      <w:pPr>
        <w:pStyle w:val="Compact"/>
        <w:numPr>
          <w:ilvl w:val="0"/>
          <w:numId w:val="1148"/>
        </w:numPr>
      </w:pPr>
      <w:r>
        <w:rPr>
          <w:b/>
          <w:bCs/>
        </w:rPr>
        <w:t xml:space="preserve">Korea Law Information Center (law.go.kr).</w:t>
      </w:r>
      <w:r>
        <w:t xml:space="preserve"> </w:t>
      </w:r>
      <w:r>
        <w:rPr>
          <w:b/>
          <w:bCs/>
        </w:rPr>
        <w:t xml:space="preserve">Act on the Protection of Information and Communications Infrastructure</w:t>
      </w:r>
      <w:r>
        <w:t xml:space="preserve"> </w:t>
      </w:r>
      <w:r>
        <w:t xml:space="preserve">(English statute page). (</w:t>
      </w:r>
      <w:hyperlink r:id="rId55">
        <w:r>
          <w:rPr>
            <w:rStyle w:val="Hyperlink"/>
          </w:rPr>
          <w:t xml:space="preserve">Korea Law Information Center</w:t>
        </w:r>
      </w:hyperlink>
      <w:r>
        <w:t xml:space="preserve">)</w:t>
      </w:r>
    </w:p>
    <w:p>
      <w:pPr>
        <w:sectPr>
          <w:footerReference w:type="first" r:id="rId13"/>
          <w:footerReference w:type="default" r:id="rId11"/>
          <w:footerReference w:type="even" r:id="rId10"/>
          <w:type w:val="nextPage"/>
        </w:sectPr>
      </w:pPr>
    </w:p>
    <w:bookmarkEnd w:id="173"/>
    <w:bookmarkEnd w:id="174"/>
    <w:bookmarkStart w:id="185" w:name="france"/>
    <w:p>
      <w:pPr>
        <w:pStyle w:val="Heading1"/>
      </w:pPr>
      <w:r>
        <w:t xml:space="preserve">FRANCE</w:t>
      </w:r>
    </w:p>
    <w:p>
      <w:pPr>
        <w:pStyle w:val="FirstParagraph"/>
      </w:pPr>
      <w:r>
        <w:rPr>
          <w:b/>
          <w:bCs/>
        </w:rPr>
        <w:t xml:space="preserve">Translation note:</w:t>
      </w:r>
      <w:r>
        <w:t xml:space="preserve"> </w:t>
      </w:r>
      <w:r>
        <w:t xml:space="preserve">English translations below are</w:t>
      </w:r>
      <w:r>
        <w:t xml:space="preserve"> </w:t>
      </w:r>
      <w:r>
        <w:rPr>
          <w:b/>
          <w:bCs/>
        </w:rPr>
        <w:t xml:space="preserve">unofficial</w:t>
      </w:r>
      <w:r>
        <w:t xml:space="preserve"> </w:t>
      </w:r>
      <w:r>
        <w:t xml:space="preserve">glosses of the cited French legal terms/phrases, provided for readability. All legal terms remain as defined in the cited French primary texts.</w:t>
      </w:r>
    </w:p>
    <w:bookmarkStart w:id="175" w:name="X0ee42c03c450570cf8a5474f0b9734fae820ae8"/>
    <w:p>
      <w:pPr>
        <w:pStyle w:val="Heading2"/>
      </w:pPr>
      <w:r>
        <w:t xml:space="preserve">Final categories (what is “highest critical / protected”)</w:t>
      </w:r>
    </w:p>
    <w:p>
      <w:pPr>
        <w:pStyle w:val="Compact"/>
        <w:numPr>
          <w:ilvl w:val="0"/>
          <w:numId w:val="1149"/>
        </w:numPr>
      </w:pPr>
      <w:r>
        <w:rPr>
          <w:b/>
          <w:bCs/>
        </w:rPr>
        <w:t xml:space="preserve">Opérateur d’importance vitale (OIV)</w:t>
      </w:r>
      <w:r>
        <w:t xml:space="preserve"> </w:t>
      </w:r>
      <w:r>
        <w:t xml:space="preserve">—</w:t>
      </w:r>
      <w:r>
        <w:t xml:space="preserve"> </w:t>
      </w:r>
      <w:r>
        <w:rPr>
          <w:i/>
          <w:iCs/>
        </w:rPr>
        <w:t xml:space="preserve">(English: “Operator of Vital Importance”)</w:t>
      </w:r>
      <w:r>
        <w:t xml:space="preserve"> </w:t>
      </w:r>
      <w:r>
        <w:t xml:space="preserve">— category defined in</w:t>
      </w:r>
      <w:r>
        <w:t xml:space="preserve"> </w:t>
      </w:r>
      <w:r>
        <w:rPr>
          <w:b/>
          <w:bCs/>
        </w:rPr>
        <w:t xml:space="preserve">Code de la défense, Article R.1332-1</w:t>
      </w:r>
      <w:r>
        <w:t xml:space="preserve">.</w:t>
      </w:r>
    </w:p>
    <w:p>
      <w:pPr>
        <w:pStyle w:val="Compact"/>
        <w:numPr>
          <w:ilvl w:val="0"/>
          <w:numId w:val="1149"/>
        </w:numPr>
      </w:pPr>
      <w:r>
        <w:rPr>
          <w:b/>
          <w:bCs/>
        </w:rPr>
        <w:t xml:space="preserve">Secteur d’activités d’importance vitale (SAIV)</w:t>
      </w:r>
      <w:r>
        <w:t xml:space="preserve"> </w:t>
      </w:r>
      <w:r>
        <w:t xml:space="preserve">—</w:t>
      </w:r>
      <w:r>
        <w:t xml:space="preserve"> </w:t>
      </w:r>
      <w:r>
        <w:rPr>
          <w:i/>
          <w:iCs/>
        </w:rPr>
        <w:t xml:space="preserve">(English: “Sector of Vital-Importance Activities”)</w:t>
      </w:r>
      <w:r>
        <w:t xml:space="preserve"> </w:t>
      </w:r>
      <w:r>
        <w:t xml:space="preserve">— criteria in</w:t>
      </w:r>
      <w:r>
        <w:t xml:space="preserve"> </w:t>
      </w:r>
      <w:r>
        <w:rPr>
          <w:b/>
          <w:bCs/>
        </w:rPr>
        <w:t xml:space="preserve">Code de la défense, Article R.1332-2</w:t>
      </w:r>
      <w:r>
        <w:t xml:space="preserve">; SAIV list fixed by</w:t>
      </w:r>
      <w:r>
        <w:t xml:space="preserve"> </w:t>
      </w:r>
      <w:r>
        <w:rPr>
          <w:b/>
          <w:bCs/>
        </w:rPr>
        <w:t xml:space="preserve">Arrêté du 2 juin 2006 modifié</w:t>
      </w:r>
      <w:r>
        <w:t xml:space="preserve">.</w:t>
      </w:r>
    </w:p>
    <w:p>
      <w:pPr>
        <w:pStyle w:val="Compact"/>
        <w:numPr>
          <w:ilvl w:val="0"/>
          <w:numId w:val="1149"/>
        </w:numPr>
      </w:pPr>
      <w:r>
        <w:rPr>
          <w:b/>
          <w:bCs/>
        </w:rPr>
        <w:t xml:space="preserve">Systèmes d’information d’importance vitale (SIIV)</w:t>
      </w:r>
      <w:r>
        <w:t xml:space="preserve"> </w:t>
      </w:r>
      <w:r>
        <w:t xml:space="preserve">—</w:t>
      </w:r>
      <w:r>
        <w:t xml:space="preserve"> </w:t>
      </w:r>
      <w:r>
        <w:rPr>
          <w:i/>
          <w:iCs/>
        </w:rPr>
        <w:t xml:space="preserve">(English: “Vital-Importance Information Systems”)</w:t>
      </w:r>
      <w:r>
        <w:t xml:space="preserve"> </w:t>
      </w:r>
      <w:r>
        <w:t xml:space="preserve">— definition + secrecy of the SIIV list in</w:t>
      </w:r>
      <w:r>
        <w:t xml:space="preserve"> </w:t>
      </w:r>
      <w:r>
        <w:rPr>
          <w:b/>
          <w:bCs/>
        </w:rPr>
        <w:t xml:space="preserve">Code de la défense, Article R.1332-41-2</w:t>
      </w:r>
      <w:r>
        <w:t xml:space="preserve">.</w:t>
      </w:r>
    </w:p>
    <w:p>
      <w:pPr>
        <w:pStyle w:val="Compact"/>
        <w:numPr>
          <w:ilvl w:val="0"/>
          <w:numId w:val="1149"/>
        </w:numPr>
      </w:pPr>
      <w:r>
        <w:rPr>
          <w:b/>
          <w:bCs/>
        </w:rPr>
        <w:t xml:space="preserve">Health SAIV sub-sectors with SIIV rules + incident modalities fixed by ministerial orders</w:t>
      </w:r>
      <w:r>
        <w:t xml:space="preserve"> </w:t>
      </w:r>
      <w:r>
        <w:t xml:space="preserve">(examples from 17 April 2023 JORF texts):</w:t>
      </w:r>
    </w:p>
    <w:p>
      <w:pPr>
        <w:pStyle w:val="Compact"/>
        <w:numPr>
          <w:ilvl w:val="1"/>
          <w:numId w:val="1150"/>
        </w:numPr>
      </w:pPr>
      <w:r>
        <w:rPr>
          <w:b/>
          <w:bCs/>
        </w:rPr>
        <w:t xml:space="preserve">« Établissements de santé »</w:t>
      </w:r>
      <w:r>
        <w:t xml:space="preserve"> </w:t>
      </w:r>
      <w:r>
        <w:t xml:space="preserve">—</w:t>
      </w:r>
      <w:r>
        <w:t xml:space="preserve"> </w:t>
      </w:r>
      <w:r>
        <w:rPr>
          <w:i/>
          <w:iCs/>
        </w:rPr>
        <w:t xml:space="preserve">(English: “Health establishments / healthcare facilities”)</w:t>
      </w:r>
      <w:r>
        <w:t xml:space="preserve"> </w:t>
      </w:r>
      <w:r>
        <w:t xml:space="preserve">(Arrêté du 17 avril 2023).</w:t>
      </w:r>
    </w:p>
    <w:p>
      <w:pPr>
        <w:pStyle w:val="Compact"/>
        <w:numPr>
          <w:ilvl w:val="1"/>
          <w:numId w:val="1150"/>
        </w:numPr>
      </w:pPr>
      <w:r>
        <w:rPr>
          <w:b/>
          <w:bCs/>
        </w:rPr>
        <w:t xml:space="preserve">« Veille et alerte sanitaires »</w:t>
      </w:r>
      <w:r>
        <w:t xml:space="preserve"> </w:t>
      </w:r>
      <w:r>
        <w:t xml:space="preserve">—</w:t>
      </w:r>
      <w:r>
        <w:t xml:space="preserve"> </w:t>
      </w:r>
      <w:r>
        <w:rPr>
          <w:i/>
          <w:iCs/>
        </w:rPr>
        <w:t xml:space="preserve">(English: “Health surveillance and health alerts”)</w:t>
      </w:r>
      <w:r>
        <w:t xml:space="preserve"> </w:t>
      </w:r>
      <w:r>
        <w:t xml:space="preserve">(Arrêté du 17 avril 2023).</w:t>
      </w:r>
    </w:p>
    <w:bookmarkEnd w:id="175"/>
    <w:bookmarkStart w:id="178" w:name="X330aafc9b2a6471c0a884d61fa307c8080b3a3c"/>
    <w:p>
      <w:pPr>
        <w:pStyle w:val="Heading2"/>
      </w:pPr>
      <w:r>
        <w:t xml:space="preserve">Exact legal / regulatory criteria (what triggers inclusion)</w:t>
      </w:r>
    </w:p>
    <w:bookmarkStart w:id="176" w:name="a-the-definition"/>
    <w:p>
      <w:pPr>
        <w:pStyle w:val="Heading3"/>
      </w:pPr>
      <w:r>
        <w:t xml:space="preserve">A) The Definition</w:t>
      </w:r>
    </w:p>
    <w:p>
      <w:pPr>
        <w:pStyle w:val="FirstParagraph"/>
      </w:pPr>
      <w:r>
        <w:rPr>
          <w:b/>
          <w:bCs/>
        </w:rPr>
        <w:t xml:space="preserve">A1. OIV (operator-level designation test) — Code de la défense, Article R.1332-1 (II)</w:t>
      </w:r>
    </w:p>
    <w:p>
      <w:pPr>
        <w:pStyle w:val="BodyText"/>
      </w:pPr>
      <w:r>
        <w:t xml:space="preserve">Key French legal phrases → English gloss:</w:t>
      </w:r>
    </w:p>
    <w:p>
      <w:pPr>
        <w:pStyle w:val="Compact"/>
        <w:numPr>
          <w:ilvl w:val="0"/>
          <w:numId w:val="1151"/>
        </w:numPr>
      </w:pPr>
      <w:r>
        <w:rPr>
          <w:b/>
          <w:bCs/>
        </w:rPr>
        <w:t xml:space="preserve">« obérer gravement »</w:t>
      </w:r>
      <w:r>
        <w:t xml:space="preserve"> </w:t>
      </w:r>
      <w:r>
        <w:t xml:space="preserve">→ “seriously impair / severely undermine”</w:t>
      </w:r>
    </w:p>
    <w:p>
      <w:pPr>
        <w:pStyle w:val="Compact"/>
        <w:numPr>
          <w:ilvl w:val="0"/>
          <w:numId w:val="1151"/>
        </w:numPr>
      </w:pPr>
      <w:r>
        <w:rPr>
          <w:b/>
          <w:bCs/>
        </w:rPr>
        <w:t xml:space="preserve">« mettre gravement en cause la santé ou la vie de la population »</w:t>
      </w:r>
      <w:r>
        <w:t xml:space="preserve"> </w:t>
      </w:r>
      <w:r>
        <w:t xml:space="preserve">→ “seriously jeopardise the health or life of the population”</w:t>
      </w:r>
    </w:p>
    <w:p>
      <w:pPr>
        <w:pStyle w:val="Compact"/>
        <w:numPr>
          <w:ilvl w:val="0"/>
          <w:numId w:val="1151"/>
        </w:numPr>
      </w:pPr>
      <w:r>
        <w:rPr>
          <w:b/>
          <w:bCs/>
        </w:rPr>
        <w:t xml:space="preserve">« malveillance, sabotage, terrorisme »</w:t>
      </w:r>
      <w:r>
        <w:t xml:space="preserve"> </w:t>
      </w:r>
      <w:r>
        <w:t xml:space="preserve">→ “malicious acts, sabotage, terrorism”</w:t>
      </w:r>
    </w:p>
    <w:p>
      <w:pPr>
        <w:pStyle w:val="FirstParagraph"/>
      </w:pPr>
      <w:r>
        <w:rPr>
          <w:b/>
          <w:bCs/>
        </w:rPr>
        <w:t xml:space="preserve">A2. SAIV (sector-level criteria) — Code de la défense, Article R.1332-2</w:t>
      </w:r>
    </w:p>
    <w:p>
      <w:pPr>
        <w:pStyle w:val="BodyText"/>
      </w:pPr>
      <w:r>
        <w:t xml:space="preserve">Key French legal phrases → English gloss:</w:t>
      </w:r>
    </w:p>
    <w:p>
      <w:pPr>
        <w:pStyle w:val="Compact"/>
        <w:numPr>
          <w:ilvl w:val="0"/>
          <w:numId w:val="1152"/>
        </w:numPr>
      </w:pPr>
      <w:r>
        <w:rPr>
          <w:b/>
          <w:bCs/>
        </w:rPr>
        <w:t xml:space="preserve">« besoins essentiels pour la vie des populations »</w:t>
      </w:r>
      <w:r>
        <w:t xml:space="preserve"> </w:t>
      </w:r>
      <w:r>
        <w:t xml:space="preserve">→ “essential needs for the life of the population(s)”</w:t>
      </w:r>
    </w:p>
    <w:p>
      <w:pPr>
        <w:pStyle w:val="Compact"/>
        <w:numPr>
          <w:ilvl w:val="0"/>
          <w:numId w:val="1152"/>
        </w:numPr>
      </w:pPr>
      <w:r>
        <w:rPr>
          <w:b/>
          <w:bCs/>
        </w:rPr>
        <w:t xml:space="preserve">« difficilement substituables ou remplaçables »</w:t>
      </w:r>
      <w:r>
        <w:t xml:space="preserve"> </w:t>
      </w:r>
      <w:r>
        <w:t xml:space="preserve">→ “difficult to substitute or replace”</w:t>
      </w:r>
    </w:p>
    <w:p>
      <w:pPr>
        <w:pStyle w:val="Compact"/>
        <w:numPr>
          <w:ilvl w:val="0"/>
          <w:numId w:val="1152"/>
        </w:numPr>
      </w:pPr>
      <w:r>
        <w:rPr>
          <w:b/>
          <w:bCs/>
        </w:rPr>
        <w:t xml:space="preserve">« danger grave pour la population »</w:t>
      </w:r>
      <w:r>
        <w:t xml:space="preserve"> </w:t>
      </w:r>
      <w:r>
        <w:t xml:space="preserve">→ “serious danger for the population”</w:t>
      </w:r>
    </w:p>
    <w:p>
      <w:pPr>
        <w:pStyle w:val="FirstParagraph"/>
      </w:pPr>
      <w:r>
        <w:rPr>
          <w:b/>
          <w:bCs/>
        </w:rPr>
        <w:t xml:space="preserve">A3. SIIV (system-level definition) — Code de la défense, Article R.1332-41-2</w:t>
      </w:r>
    </w:p>
    <w:p>
      <w:pPr>
        <w:pStyle w:val="BodyText"/>
      </w:pPr>
      <w:r>
        <w:t xml:space="preserve">Key French legal phrase → English gloss:</w:t>
      </w:r>
    </w:p>
    <w:p>
      <w:pPr>
        <w:pStyle w:val="Compact"/>
        <w:numPr>
          <w:ilvl w:val="0"/>
          <w:numId w:val="1153"/>
        </w:numPr>
      </w:pPr>
      <w:r>
        <w:rPr>
          <w:b/>
          <w:bCs/>
        </w:rPr>
        <w:t xml:space="preserve">« couverte par le secret de la défense nationale »</w:t>
      </w:r>
      <w:r>
        <w:t xml:space="preserve"> </w:t>
      </w:r>
      <w:r>
        <w:t xml:space="preserve">→ “covered by national defence secrecy”</w:t>
      </w:r>
    </w:p>
    <w:bookmarkEnd w:id="176"/>
    <w:bookmarkStart w:id="177" w:name="b-the-thresholds"/>
    <w:p>
      <w:pPr>
        <w:pStyle w:val="Heading3"/>
      </w:pPr>
      <w:r>
        <w:t xml:space="preserve">B) The Thresholds</w:t>
      </w:r>
    </w:p>
    <w:p>
      <w:pPr>
        <w:pStyle w:val="FirstParagraph"/>
      </w:pPr>
      <w:r>
        <w:rPr>
          <w:b/>
          <w:bCs/>
        </w:rPr>
        <w:t xml:space="preserve">B1. OIV impact threshold language (qualitative test)</w:t>
      </w:r>
      <w:r>
        <w:t xml:space="preserve"> </w:t>
      </w:r>
      <w:r>
        <w:t xml:space="preserve">— uses the French qualitative terms above (e.g.,</w:t>
      </w:r>
      <w:r>
        <w:t xml:space="preserve"> </w:t>
      </w:r>
      <w:r>
        <w:rPr>
          <w:b/>
          <w:bCs/>
        </w:rPr>
        <w:t xml:space="preserve">« obérer gravement »</w:t>
      </w:r>
      <w:r>
        <w:t xml:space="preserve">,</w:t>
      </w:r>
      <w:r>
        <w:t xml:space="preserve"> </w:t>
      </w:r>
      <w:r>
        <w:rPr>
          <w:b/>
          <w:bCs/>
        </w:rPr>
        <w:t xml:space="preserve">« mettre gravement en cause… »</w:t>
      </w:r>
      <w:r>
        <w:t xml:space="preserve">).</w:t>
      </w:r>
      <w:r>
        <w:t xml:space="preserve"> </w:t>
      </w:r>
      <w:r>
        <w:rPr>
          <w:b/>
          <w:bCs/>
        </w:rPr>
        <w:t xml:space="preserve">B2. SAIV substitutability + serious danger tests (qualitative tests)</w:t>
      </w:r>
      <w:r>
        <w:t xml:space="preserve"> </w:t>
      </w:r>
      <w:r>
        <w:t xml:space="preserve">— uses</w:t>
      </w:r>
      <w:r>
        <w:t xml:space="preserve"> </w:t>
      </w:r>
      <w:r>
        <w:rPr>
          <w:b/>
          <w:bCs/>
        </w:rPr>
        <w:t xml:space="preserve">« difficilement substituables ou remplaçables »</w:t>
      </w:r>
      <w:r>
        <w:t xml:space="preserve"> </w:t>
      </w:r>
      <w:r>
        <w:t xml:space="preserve">and</w:t>
      </w:r>
      <w:r>
        <w:t xml:space="preserve"> </w:t>
      </w:r>
      <w:r>
        <w:rPr>
          <w:b/>
          <w:bCs/>
        </w:rPr>
        <w:t xml:space="preserve">« danger grave pour la population »</w:t>
      </w:r>
      <w:r>
        <w:t xml:space="preserve">.</w:t>
      </w:r>
    </w:p>
    <w:bookmarkEnd w:id="177"/>
    <w:bookmarkEnd w:id="178"/>
    <w:bookmarkStart w:id="179" w:name="grading-tiering-scheme-3"/>
    <w:p>
      <w:pPr>
        <w:pStyle w:val="Heading2"/>
      </w:pPr>
      <w:r>
        <w:t xml:space="preserve">Grading / tiering scheme</w:t>
      </w:r>
    </w:p>
    <w:p>
      <w:pPr>
        <w:pStyle w:val="Compact"/>
        <w:numPr>
          <w:ilvl w:val="0"/>
          <w:numId w:val="1154"/>
        </w:numPr>
      </w:pPr>
      <w:r>
        <w:rPr>
          <w:b/>
          <w:bCs/>
        </w:rPr>
        <w:t xml:space="preserve">Binary designation</w:t>
      </w:r>
      <w:r>
        <w:t xml:space="preserve">: designated</w:t>
      </w:r>
      <w:r>
        <w:t xml:space="preserve"> </w:t>
      </w:r>
      <w:r>
        <w:rPr>
          <w:b/>
          <w:bCs/>
        </w:rPr>
        <w:t xml:space="preserve">OIV</w:t>
      </w:r>
      <w:r>
        <w:t xml:space="preserve"> </w:t>
      </w:r>
      <w:r>
        <w:t xml:space="preserve">vs non-designated.</w:t>
      </w:r>
    </w:p>
    <w:p>
      <w:pPr>
        <w:pStyle w:val="Compact"/>
        <w:numPr>
          <w:ilvl w:val="0"/>
          <w:numId w:val="1154"/>
        </w:numPr>
      </w:pPr>
      <w:r>
        <w:rPr>
          <w:b/>
          <w:bCs/>
        </w:rPr>
        <w:t xml:space="preserve">OIV designation orders</w:t>
      </w:r>
      <w:r>
        <w:t xml:space="preserve">:</w:t>
      </w:r>
      <w:r>
        <w:t xml:space="preserve"> </w:t>
      </w:r>
      <w:r>
        <w:rPr>
          <w:b/>
          <w:bCs/>
        </w:rPr>
        <w:t xml:space="preserve">« ne sont pas publiés »</w:t>
      </w:r>
      <w:r>
        <w:t xml:space="preserve"> </w:t>
      </w:r>
      <w:r>
        <w:t xml:space="preserve">→ “are not published”; and</w:t>
      </w:r>
      <w:r>
        <w:t xml:space="preserve"> </w:t>
      </w:r>
      <w:r>
        <w:rPr>
          <w:b/>
          <w:bCs/>
        </w:rPr>
        <w:t xml:space="preserve">not communicable</w:t>
      </w:r>
      <w:r>
        <w:t xml:space="preserve"> </w:t>
      </w:r>
      <w:r>
        <w:t xml:space="preserve">under the cited CRPA provisions.</w:t>
      </w:r>
    </w:p>
    <w:p>
      <w:pPr>
        <w:pStyle w:val="Compact"/>
        <w:numPr>
          <w:ilvl w:val="0"/>
          <w:numId w:val="1154"/>
        </w:numPr>
      </w:pPr>
      <w:r>
        <w:rPr>
          <w:b/>
          <w:bCs/>
        </w:rPr>
        <w:t xml:space="preserve">No public tiering scheme stated</w:t>
      </w:r>
      <w:r>
        <w:t xml:space="preserve"> </w:t>
      </w:r>
      <w:r>
        <w:t xml:space="preserve">in the cited SAIV/OIV/SIIV provisions.</w:t>
      </w:r>
    </w:p>
    <w:bookmarkEnd w:id="179"/>
    <w:bookmarkStart w:id="180" w:name="X24be4dbf0f24f7509cd4f2881a07bda4711ac1b"/>
    <w:p>
      <w:pPr>
        <w:pStyle w:val="Heading2"/>
      </w:pPr>
      <w:r>
        <w:t xml:space="preserve">Incident reporting tests and thresholds</w:t>
      </w:r>
    </w:p>
    <w:p>
      <w:pPr>
        <w:pStyle w:val="FirstParagraph"/>
      </w:pPr>
      <w:r>
        <w:rPr>
          <w:b/>
          <w:bCs/>
        </w:rPr>
        <w:t xml:space="preserve">General SIIV incident-information rule (no hour-based deadline stated here)</w:t>
      </w:r>
      <w:r>
        <w:t xml:space="preserve"> </w:t>
      </w:r>
      <w:r>
        <w:t xml:space="preserve">—</w:t>
      </w:r>
      <w:r>
        <w:t xml:space="preserve"> </w:t>
      </w:r>
      <w:r>
        <w:rPr>
          <w:b/>
          <w:bCs/>
        </w:rPr>
        <w:t xml:space="preserve">Code de la défense, Article R.1332-41-10</w:t>
      </w:r>
    </w:p>
    <w:p>
      <w:pPr>
        <w:pStyle w:val="BodyText"/>
      </w:pPr>
      <w:r>
        <w:t xml:space="preserve">Key French legal phrases → English gloss:</w:t>
      </w:r>
    </w:p>
    <w:p>
      <w:pPr>
        <w:pStyle w:val="Compact"/>
        <w:numPr>
          <w:ilvl w:val="0"/>
          <w:numId w:val="1155"/>
        </w:numPr>
      </w:pPr>
      <w:r>
        <w:rPr>
          <w:b/>
          <w:bCs/>
        </w:rPr>
        <w:t xml:space="preserve">« dès qu’ils ont connaissance »</w:t>
      </w:r>
      <w:r>
        <w:t xml:space="preserve"> </w:t>
      </w:r>
      <w:r>
        <w:t xml:space="preserve">→ “as soon as they become aware”</w:t>
      </w:r>
    </w:p>
    <w:p>
      <w:pPr>
        <w:pStyle w:val="Compact"/>
        <w:numPr>
          <w:ilvl w:val="0"/>
          <w:numId w:val="1155"/>
        </w:numPr>
      </w:pPr>
      <w:r>
        <w:rPr>
          <w:b/>
          <w:bCs/>
        </w:rPr>
        <w:t xml:space="preserve">« au fur et à mesure de l’avancement de l’analyse »</w:t>
      </w:r>
      <w:r>
        <w:t xml:space="preserve"> </w:t>
      </w:r>
      <w:r>
        <w:t xml:space="preserve">→ “as the analysis progresses”</w:t>
      </w:r>
    </w:p>
    <w:p>
      <w:pPr>
        <w:pStyle w:val="Compact"/>
        <w:numPr>
          <w:ilvl w:val="0"/>
          <w:numId w:val="1155"/>
        </w:numPr>
      </w:pPr>
      <w:r>
        <w:rPr>
          <w:b/>
          <w:bCs/>
        </w:rPr>
        <w:t xml:space="preserve">(Arrêté not published)</w:t>
      </w:r>
      <w:r>
        <w:t xml:space="preserve"> </w:t>
      </w:r>
      <w:r>
        <w:rPr>
          <w:b/>
          <w:bCs/>
        </w:rPr>
        <w:t xml:space="preserve">« n’est pas publié »</w:t>
      </w:r>
      <w:r>
        <w:t xml:space="preserve"> </w:t>
      </w:r>
      <w:r>
        <w:t xml:space="preserve">/</w:t>
      </w:r>
      <w:r>
        <w:t xml:space="preserve"> </w:t>
      </w:r>
      <w:r>
        <w:rPr>
          <w:b/>
          <w:bCs/>
        </w:rPr>
        <w:t xml:space="preserve">notification to persons with a need to know</w:t>
      </w:r>
      <w:r>
        <w:t xml:space="preserve"> </w:t>
      </w:r>
      <w:r>
        <w:t xml:space="preserve">→ “not published / notified to persons who need to know”</w:t>
      </w:r>
    </w:p>
    <w:p>
      <w:pPr>
        <w:pStyle w:val="FirstParagraph"/>
      </w:pPr>
      <w:r>
        <w:rPr>
          <w:b/>
          <w:bCs/>
        </w:rPr>
        <w:t xml:space="preserve">Health sub-sector orders (examples) — incident types specified by annexes (not published)</w:t>
      </w:r>
    </w:p>
    <w:p>
      <w:pPr>
        <w:pStyle w:val="BodyText"/>
      </w:pPr>
      <w:r>
        <w:t xml:space="preserve">Key French legal phrase → English gloss:</w:t>
      </w:r>
    </w:p>
    <w:p>
      <w:pPr>
        <w:pStyle w:val="Compact"/>
        <w:numPr>
          <w:ilvl w:val="0"/>
          <w:numId w:val="1156"/>
        </w:numPr>
      </w:pPr>
      <w:r>
        <w:rPr>
          <w:b/>
          <w:bCs/>
        </w:rPr>
        <w:t xml:space="preserve">« ne sont pas publiées »</w:t>
      </w:r>
      <w:r>
        <w:t xml:space="preserve"> </w:t>
      </w:r>
      <w:r>
        <w:t xml:space="preserve">(Annexes II–IV) → “are not published”</w:t>
      </w:r>
    </w:p>
    <w:bookmarkEnd w:id="180"/>
    <w:bookmarkStart w:id="181" w:name="Xd85c38b84372c09e867c88de3fd70b632e428f5"/>
    <w:p>
      <w:pPr>
        <w:pStyle w:val="Heading2"/>
      </w:pPr>
      <w:r>
        <w:t xml:space="preserve">Health information systems “most likely” designated</w:t>
      </w:r>
    </w:p>
    <w:p>
      <w:pPr>
        <w:pStyle w:val="Compact"/>
        <w:numPr>
          <w:ilvl w:val="0"/>
          <w:numId w:val="1157"/>
        </w:numPr>
      </w:pPr>
      <w:r>
        <w:rPr>
          <w:b/>
          <w:bCs/>
        </w:rPr>
        <w:t xml:space="preserve">OIV designation list</w:t>
      </w:r>
      <w:r>
        <w:t xml:space="preserve">: designation orders</w:t>
      </w:r>
      <w:r>
        <w:t xml:space="preserve"> </w:t>
      </w:r>
      <w:r>
        <w:rPr>
          <w:b/>
          <w:bCs/>
        </w:rPr>
        <w:t xml:space="preserve">not published</w:t>
      </w:r>
      <w:r>
        <w:t xml:space="preserve"> </w:t>
      </w:r>
      <w:r>
        <w:t xml:space="preserve">(</w:t>
      </w:r>
      <w:r>
        <w:rPr>
          <w:b/>
          <w:bCs/>
        </w:rPr>
        <w:t xml:space="preserve">« ne sont pas publiés »</w:t>
      </w:r>
      <w:r>
        <w:t xml:space="preserve">) and</w:t>
      </w:r>
      <w:r>
        <w:t xml:space="preserve"> </w:t>
      </w:r>
      <w:r>
        <w:rPr>
          <w:b/>
          <w:bCs/>
        </w:rPr>
        <w:t xml:space="preserve">not communicable</w:t>
      </w:r>
      <w:r>
        <w:t xml:space="preserve">.</w:t>
      </w:r>
    </w:p>
    <w:p>
      <w:pPr>
        <w:pStyle w:val="Compact"/>
        <w:numPr>
          <w:ilvl w:val="0"/>
          <w:numId w:val="1157"/>
        </w:numPr>
      </w:pPr>
      <w:r>
        <w:rPr>
          <w:b/>
          <w:bCs/>
        </w:rPr>
        <w:t xml:space="preserve">SIIV lists</w:t>
      </w:r>
      <w:r>
        <w:t xml:space="preserve">: covered by</w:t>
      </w:r>
      <w:r>
        <w:t xml:space="preserve"> </w:t>
      </w:r>
      <w:r>
        <w:rPr>
          <w:b/>
          <w:bCs/>
        </w:rPr>
        <w:t xml:space="preserve">national defence secrecy</w:t>
      </w:r>
      <w:r>
        <w:t xml:space="preserve"> </w:t>
      </w:r>
      <w:r>
        <w:t xml:space="preserve">(</w:t>
      </w:r>
      <w:r>
        <w:rPr>
          <w:b/>
          <w:bCs/>
        </w:rPr>
        <w:t xml:space="preserve">« secret de la défense nationale »</w:t>
      </w:r>
      <w:r>
        <w:t xml:space="preserve">).</w:t>
      </w:r>
    </w:p>
    <w:p>
      <w:pPr>
        <w:pStyle w:val="Compact"/>
        <w:numPr>
          <w:ilvl w:val="0"/>
          <w:numId w:val="1157"/>
        </w:numPr>
      </w:pPr>
      <w:r>
        <w:rPr>
          <w:b/>
          <w:bCs/>
        </w:rPr>
        <w:t xml:space="preserve">Health-related SAIV sub-sectors explicitly named</w:t>
      </w:r>
      <w:r>
        <w:t xml:space="preserve"> </w:t>
      </w:r>
      <w:r>
        <w:t xml:space="preserve">in cited JORF texts:</w:t>
      </w:r>
    </w:p>
    <w:p>
      <w:pPr>
        <w:pStyle w:val="Compact"/>
        <w:numPr>
          <w:ilvl w:val="1"/>
          <w:numId w:val="1158"/>
        </w:numPr>
      </w:pPr>
      <w:r>
        <w:rPr>
          <w:b/>
          <w:bCs/>
        </w:rPr>
        <w:t xml:space="preserve">« Établissements de santé »</w:t>
      </w:r>
      <w:r>
        <w:t xml:space="preserve"> </w:t>
      </w:r>
      <w:r>
        <w:rPr>
          <w:i/>
          <w:iCs/>
        </w:rPr>
        <w:t xml:space="preserve">(“Health establishments / healthcare facilities”)</w:t>
      </w:r>
    </w:p>
    <w:p>
      <w:pPr>
        <w:pStyle w:val="Compact"/>
        <w:numPr>
          <w:ilvl w:val="1"/>
          <w:numId w:val="1158"/>
        </w:numPr>
      </w:pPr>
      <w:r>
        <w:rPr>
          <w:b/>
          <w:bCs/>
        </w:rPr>
        <w:t xml:space="preserve">« Veille et alerte sanitaires »</w:t>
      </w:r>
      <w:r>
        <w:t xml:space="preserve"> </w:t>
      </w:r>
      <w:r>
        <w:rPr>
          <w:i/>
          <w:iCs/>
        </w:rPr>
        <w:t xml:space="preserve">(“Health surveillance and health alerts”)</w:t>
      </w:r>
    </w:p>
    <w:bookmarkEnd w:id="181"/>
    <w:bookmarkStart w:id="182" w:name="public-vs-confidential-4"/>
    <w:p>
      <w:pPr>
        <w:pStyle w:val="Heading2"/>
      </w:pPr>
      <w:r>
        <w:t xml:space="preserve">Public vs Confidential</w:t>
      </w:r>
    </w:p>
    <w:p>
      <w:pPr>
        <w:pStyle w:val="FirstParagraph"/>
      </w:pPr>
      <w:r>
        <w:rPr>
          <w:b/>
          <w:bCs/>
        </w:rPr>
        <w:t xml:space="preserve">Public</w:t>
      </w:r>
    </w:p>
    <w:p>
      <w:pPr>
        <w:pStyle w:val="Compact"/>
        <w:numPr>
          <w:ilvl w:val="0"/>
          <w:numId w:val="1159"/>
        </w:numPr>
      </w:pPr>
      <w:r>
        <w:t xml:space="preserve">Definitions and criteria in the</w:t>
      </w:r>
      <w:r>
        <w:t xml:space="preserve"> </w:t>
      </w:r>
      <w:r>
        <w:rPr>
          <w:b/>
          <w:bCs/>
        </w:rPr>
        <w:t xml:space="preserve">Code de la défense</w:t>
      </w:r>
      <w:r>
        <w:t xml:space="preserve"> </w:t>
      </w:r>
      <w:r>
        <w:t xml:space="preserve">(OIV/SAIV/SIIV; incident information rule).</w:t>
      </w:r>
    </w:p>
    <w:p>
      <w:pPr>
        <w:pStyle w:val="Compact"/>
        <w:numPr>
          <w:ilvl w:val="0"/>
          <w:numId w:val="1159"/>
        </w:numPr>
      </w:pPr>
      <w:r>
        <w:t xml:space="preserve">SAIV list in</w:t>
      </w:r>
      <w:r>
        <w:t xml:space="preserve"> </w:t>
      </w:r>
      <w:r>
        <w:rPr>
          <w:b/>
          <w:bCs/>
        </w:rPr>
        <w:t xml:space="preserve">Arrêté du 2 juin 2006 modifié</w:t>
      </w:r>
      <w:r>
        <w:t xml:space="preserve">, including</w:t>
      </w:r>
      <w:r>
        <w:t xml:space="preserve"> </w:t>
      </w:r>
      <w:r>
        <w:rPr>
          <w:b/>
          <w:bCs/>
        </w:rPr>
        <w:t xml:space="preserve">« Santé »</w:t>
      </w:r>
      <w:r>
        <w:t xml:space="preserve"> </w:t>
      </w:r>
      <w:r>
        <w:rPr>
          <w:i/>
          <w:iCs/>
        </w:rPr>
        <w:t xml:space="preserve">(“Health”)</w:t>
      </w:r>
      <w:r>
        <w:t xml:space="preserve">.</w:t>
      </w:r>
    </w:p>
    <w:p>
      <w:pPr>
        <w:pStyle w:val="Compact"/>
        <w:numPr>
          <w:ilvl w:val="0"/>
          <w:numId w:val="1159"/>
        </w:numPr>
      </w:pPr>
      <w:r>
        <w:t xml:space="preserve">Health sub-sector orders stating annex publication status and rule structure.</w:t>
      </w:r>
    </w:p>
    <w:p>
      <w:pPr>
        <w:pStyle w:val="FirstParagraph"/>
      </w:pPr>
      <w:r>
        <w:rPr>
          <w:b/>
          <w:bCs/>
        </w:rPr>
        <w:t xml:space="preserve">Confidential / not published</w:t>
      </w:r>
    </w:p>
    <w:p>
      <w:pPr>
        <w:pStyle w:val="Compact"/>
        <w:numPr>
          <w:ilvl w:val="0"/>
          <w:numId w:val="1160"/>
        </w:numPr>
      </w:pPr>
      <w:r>
        <w:rPr>
          <w:b/>
          <w:bCs/>
        </w:rPr>
        <w:t xml:space="preserve">OIV designation orders</w:t>
      </w:r>
      <w:r>
        <w:t xml:space="preserve">:</w:t>
      </w:r>
      <w:r>
        <w:t xml:space="preserve"> </w:t>
      </w:r>
      <w:r>
        <w:rPr>
          <w:b/>
          <w:bCs/>
        </w:rPr>
        <w:t xml:space="preserve">not published</w:t>
      </w:r>
      <w:r>
        <w:t xml:space="preserve"> </w:t>
      </w:r>
      <w:r>
        <w:t xml:space="preserve">/ not communicable.</w:t>
      </w:r>
    </w:p>
    <w:p>
      <w:pPr>
        <w:pStyle w:val="Compact"/>
        <w:numPr>
          <w:ilvl w:val="0"/>
          <w:numId w:val="1160"/>
        </w:numPr>
      </w:pPr>
      <w:r>
        <w:rPr>
          <w:b/>
          <w:bCs/>
        </w:rPr>
        <w:t xml:space="preserve">SIIV lists</w:t>
      </w:r>
      <w:r>
        <w:t xml:space="preserve">: covered by</w:t>
      </w:r>
      <w:r>
        <w:t xml:space="preserve"> </w:t>
      </w:r>
      <w:r>
        <w:rPr>
          <w:b/>
          <w:bCs/>
        </w:rPr>
        <w:t xml:space="preserve">national defence secrecy</w:t>
      </w:r>
      <w:r>
        <w:t xml:space="preserve">.</w:t>
      </w:r>
    </w:p>
    <w:p>
      <w:pPr>
        <w:pStyle w:val="Compact"/>
        <w:numPr>
          <w:ilvl w:val="0"/>
          <w:numId w:val="1160"/>
        </w:numPr>
      </w:pPr>
      <w:r>
        <w:rPr>
          <w:b/>
          <w:bCs/>
        </w:rPr>
        <w:t xml:space="preserve">Annexes II–IV</w:t>
      </w:r>
      <w:r>
        <w:t xml:space="preserve"> </w:t>
      </w:r>
      <w:r>
        <w:t xml:space="preserve">of cited 17 April 2023 health sub-sector orders:</w:t>
      </w:r>
      <w:r>
        <w:t xml:space="preserve"> </w:t>
      </w:r>
      <w:r>
        <w:rPr>
          <w:b/>
          <w:bCs/>
        </w:rPr>
        <w:t xml:space="preserve">not published</w:t>
      </w:r>
      <w:r>
        <w:t xml:space="preserve">.</w:t>
      </w:r>
    </w:p>
    <w:bookmarkEnd w:id="182"/>
    <w:bookmarkStart w:id="183" w:name="latest-updates-20252026"/>
    <w:p>
      <w:pPr>
        <w:pStyle w:val="Heading2"/>
      </w:pPr>
      <w:r>
        <w:t xml:space="preserve">Latest updates (2025–2026)</w:t>
      </w:r>
    </w:p>
    <w:p>
      <w:pPr>
        <w:pStyle w:val="Compact"/>
        <w:numPr>
          <w:ilvl w:val="0"/>
          <w:numId w:val="1161"/>
        </w:numPr>
      </w:pPr>
      <w:r>
        <w:rPr>
          <w:b/>
          <w:bCs/>
        </w:rPr>
        <w:t xml:space="preserve">EU NIS2 transposition status (France)</w:t>
      </w:r>
      <w:r>
        <w:t xml:space="preserve"> </w:t>
      </w:r>
      <w:r>
        <w:t xml:space="preserve">— Commission status page entries (dates shown on the cited page).</w:t>
      </w:r>
    </w:p>
    <w:p>
      <w:pPr>
        <w:pStyle w:val="Compact"/>
        <w:numPr>
          <w:ilvl w:val="0"/>
          <w:numId w:val="1161"/>
        </w:numPr>
      </w:pPr>
      <w:r>
        <w:rPr>
          <w:b/>
          <w:bCs/>
        </w:rPr>
        <w:t xml:space="preserve">Assemblée nationale dossier</w:t>
      </w:r>
      <w:r>
        <w:t xml:space="preserve"> </w:t>
      </w:r>
      <w:r>
        <w:t xml:space="preserve">— bill docket entries (dates shown on the cited page).</w:t>
      </w:r>
    </w:p>
    <w:bookmarkEnd w:id="183"/>
    <w:bookmarkStart w:id="184" w:name="references-france"/>
    <w:p>
      <w:pPr>
        <w:pStyle w:val="Heading2"/>
      </w:pPr>
      <w:r>
        <w:t xml:space="preserve">References (France)</w:t>
      </w:r>
    </w:p>
    <w:p>
      <w:pPr>
        <w:pStyle w:val="Compact"/>
        <w:numPr>
          <w:ilvl w:val="0"/>
          <w:numId w:val="1162"/>
        </w:numPr>
      </w:pPr>
      <w:r>
        <w:rPr>
          <w:b/>
          <w:bCs/>
        </w:rPr>
        <w:t xml:space="preserve">Code de la défense — Article R.1332-1</w:t>
      </w:r>
      <w:r>
        <w:t xml:space="preserve"> </w:t>
      </w:r>
      <w:r>
        <w:t xml:space="preserve">(OIV criteria). (</w:t>
      </w:r>
      <w:hyperlink r:id="rId53">
        <w:r>
          <w:rPr>
            <w:rStyle w:val="Hyperlink"/>
          </w:rPr>
          <w:t xml:space="preserve">Legifrance</w:t>
        </w:r>
      </w:hyperlink>
      <w:r>
        <w:t xml:space="preserve">)</w:t>
      </w:r>
    </w:p>
    <w:p>
      <w:pPr>
        <w:pStyle w:val="Compact"/>
        <w:numPr>
          <w:ilvl w:val="0"/>
          <w:numId w:val="1162"/>
        </w:numPr>
      </w:pPr>
      <w:r>
        <w:rPr>
          <w:b/>
          <w:bCs/>
        </w:rPr>
        <w:t xml:space="preserve">Code de la défense — Article R.1332-2</w:t>
      </w:r>
      <w:r>
        <w:t xml:space="preserve"> </w:t>
      </w:r>
      <w:r>
        <w:t xml:space="preserve">(SAIV criteria). (</w:t>
      </w:r>
      <w:hyperlink r:id="rId54">
        <w:r>
          <w:rPr>
            <w:rStyle w:val="Hyperlink"/>
          </w:rPr>
          <w:t xml:space="preserve">Legifrance</w:t>
        </w:r>
      </w:hyperlink>
      <w:r>
        <w:t xml:space="preserve">)</w:t>
      </w:r>
    </w:p>
    <w:p>
      <w:pPr>
        <w:pStyle w:val="Compact"/>
        <w:numPr>
          <w:ilvl w:val="0"/>
          <w:numId w:val="1162"/>
        </w:numPr>
      </w:pPr>
      <w:r>
        <w:rPr>
          <w:b/>
          <w:bCs/>
        </w:rPr>
        <w:t xml:space="preserve">Code de la défense — Article R.1332-3</w:t>
      </w:r>
      <w:r>
        <w:t xml:space="preserve"> </w:t>
      </w:r>
      <w:r>
        <w:t xml:space="preserve">(OIV designation secrecy). (</w:t>
      </w:r>
      <w:hyperlink r:id="rId55">
        <w:r>
          <w:rPr>
            <w:rStyle w:val="Hyperlink"/>
          </w:rPr>
          <w:t xml:space="preserve">Legifrance</w:t>
        </w:r>
      </w:hyperlink>
      <w:r>
        <w:t xml:space="preserve">)</w:t>
      </w:r>
    </w:p>
    <w:p>
      <w:pPr>
        <w:pStyle w:val="Compact"/>
        <w:numPr>
          <w:ilvl w:val="0"/>
          <w:numId w:val="1162"/>
        </w:numPr>
      </w:pPr>
      <w:r>
        <w:rPr>
          <w:b/>
          <w:bCs/>
        </w:rPr>
        <w:t xml:space="preserve">Arrêté du 2 juin 2006</w:t>
      </w:r>
      <w:r>
        <w:t xml:space="preserve"> </w:t>
      </w:r>
      <w:r>
        <w:t xml:space="preserve">(SAIV list includes « Santé »). (</w:t>
      </w:r>
      <w:hyperlink r:id="rId56">
        <w:r>
          <w:rPr>
            <w:rStyle w:val="Hyperlink"/>
          </w:rPr>
          <w:t xml:space="preserve">Legifrance</w:t>
        </w:r>
      </w:hyperlink>
      <w:r>
        <w:t xml:space="preserve">)</w:t>
      </w:r>
    </w:p>
    <w:p>
      <w:pPr>
        <w:pStyle w:val="Compact"/>
        <w:numPr>
          <w:ilvl w:val="0"/>
          <w:numId w:val="1162"/>
        </w:numPr>
      </w:pPr>
      <w:r>
        <w:rPr>
          <w:b/>
          <w:bCs/>
        </w:rPr>
        <w:t xml:space="preserve">Code de la défense — Article R.1332-41-2</w:t>
      </w:r>
      <w:r>
        <w:t xml:space="preserve"> </w:t>
      </w:r>
      <w:r>
        <w:t xml:space="preserve">(SIIV definition). (</w:t>
      </w:r>
      <w:hyperlink r:id="rId57">
        <w:r>
          <w:rPr>
            <w:rStyle w:val="Hyperlink"/>
          </w:rPr>
          <w:t xml:space="preserve">Legifrance</w:t>
        </w:r>
      </w:hyperlink>
      <w:r>
        <w:t xml:space="preserve">)</w:t>
      </w:r>
    </w:p>
    <w:p>
      <w:pPr>
        <w:pStyle w:val="Compact"/>
        <w:numPr>
          <w:ilvl w:val="0"/>
          <w:numId w:val="1162"/>
        </w:numPr>
      </w:pPr>
      <w:r>
        <w:rPr>
          <w:b/>
          <w:bCs/>
        </w:rPr>
        <w:t xml:space="preserve">Code de la défense — Article R.1332-41-10</w:t>
      </w:r>
      <w:r>
        <w:t xml:space="preserve"> </w:t>
      </w:r>
      <w:r>
        <w:t xml:space="preserve">(Incident notification). (</w:t>
      </w:r>
      <w:hyperlink r:id="rId58">
        <w:r>
          <w:rPr>
            <w:rStyle w:val="Hyperlink"/>
          </w:rPr>
          <w:t xml:space="preserve">Legifrance</w:t>
        </w:r>
      </w:hyperlink>
      <w:r>
        <w:t xml:space="preserve">)</w:t>
      </w:r>
    </w:p>
    <w:p>
      <w:pPr>
        <w:pStyle w:val="Compact"/>
        <w:numPr>
          <w:ilvl w:val="0"/>
          <w:numId w:val="1162"/>
        </w:numPr>
      </w:pPr>
      <w:r>
        <w:rPr>
          <w:b/>
          <w:bCs/>
        </w:rPr>
        <w:t xml:space="preserve">Arrêté du 17 avril 2023 — « Établissements de santé »</w:t>
      </w:r>
      <w:r>
        <w:t xml:space="preserve">. (</w:t>
      </w:r>
      <w:hyperlink r:id="rId98">
        <w:r>
          <w:rPr>
            <w:rStyle w:val="Hyperlink"/>
          </w:rPr>
          <w:t xml:space="preserve">Legifrance</w:t>
        </w:r>
      </w:hyperlink>
      <w:r>
        <w:t xml:space="preserve">)</w:t>
      </w:r>
    </w:p>
    <w:p>
      <w:pPr>
        <w:pStyle w:val="Compact"/>
        <w:numPr>
          <w:ilvl w:val="0"/>
          <w:numId w:val="1162"/>
        </w:numPr>
      </w:pPr>
      <w:r>
        <w:rPr>
          <w:b/>
          <w:bCs/>
        </w:rPr>
        <w:t xml:space="preserve">Arrêté du 17 avril 2023 — « Veille et alerte sanitaires »</w:t>
      </w:r>
      <w:r>
        <w:t xml:space="preserve">. (</w:t>
      </w:r>
      <w:hyperlink r:id="rId99">
        <w:r>
          <w:rPr>
            <w:rStyle w:val="Hyperlink"/>
          </w:rPr>
          <w:t xml:space="preserve">Legifrance</w:t>
        </w:r>
      </w:hyperlink>
      <w:r>
        <w:t xml:space="preserve">)</w:t>
      </w:r>
    </w:p>
    <w:p>
      <w:pPr>
        <w:pStyle w:val="Compact"/>
        <w:numPr>
          <w:ilvl w:val="0"/>
          <w:numId w:val="1162"/>
        </w:numPr>
      </w:pPr>
      <w:r>
        <w:rPr>
          <w:b/>
          <w:bCs/>
        </w:rPr>
        <w:t xml:space="preserve">Assemblée nationale — Dossier législatif (Cybersécurité)</w:t>
      </w:r>
      <w:r>
        <w:t xml:space="preserve">. (</w:t>
      </w:r>
      <w:hyperlink r:id="rId101">
        <w:r>
          <w:rPr>
            <w:rStyle w:val="Hyperlink"/>
          </w:rPr>
          <w:t xml:space="preserve">Link</w:t>
        </w:r>
      </w:hyperlink>
      <w:r>
        <w:t xml:space="preserve">)</w:t>
      </w:r>
    </w:p>
    <w:p>
      <w:pPr>
        <w:pStyle w:val="Compact"/>
        <w:numPr>
          <w:ilvl w:val="0"/>
          <w:numId w:val="1162"/>
        </w:numPr>
      </w:pPr>
      <w:r>
        <w:rPr>
          <w:b/>
          <w:bCs/>
        </w:rPr>
        <w:t xml:space="preserve">European Commission — NIS2 Implementation (France)</w:t>
      </w:r>
      <w:r>
        <w:t xml:space="preserve">. (</w:t>
      </w:r>
      <w:hyperlink r:id="rId121">
        <w:r>
          <w:rPr>
            <w:rStyle w:val="Hyperlink"/>
          </w:rPr>
          <w:t xml:space="preserve">Link</w:t>
        </w:r>
      </w:hyperlink>
      <w:r>
        <w:t xml:space="preserve">)</w:t>
      </w:r>
    </w:p>
    <w:p>
      <w:pPr>
        <w:sectPr>
          <w:footerReference w:type="first" r:id="rId13"/>
          <w:footerReference w:type="default" r:id="rId11"/>
          <w:footerReference w:type="even" r:id="rId10"/>
          <w:type w:val="nextPage"/>
        </w:sectPr>
      </w:pPr>
    </w:p>
    <w:bookmarkEnd w:id="184"/>
    <w:bookmarkEnd w:id="185"/>
    <w:bookmarkStart w:id="218" w:name="norway"/>
    <w:p>
      <w:pPr>
        <w:pStyle w:val="Heading1"/>
      </w:pPr>
      <w:r>
        <w:t xml:space="preserve">NORWAY</w:t>
      </w:r>
    </w:p>
    <w:p>
      <w:pPr>
        <w:pStyle w:val="BlockText"/>
      </w:pPr>
      <w:r>
        <w:rPr>
          <w:b/>
          <w:bCs/>
        </w:rPr>
        <w:t xml:space="preserve">Note:</w:t>
      </w:r>
      <w:r>
        <w:t xml:space="preserve"> </w:t>
      </w:r>
      <w:r>
        <w:t xml:space="preserve">Norway’s core legal framework for digital security is the</w:t>
      </w:r>
      <w:r>
        <w:t xml:space="preserve"> </w:t>
      </w:r>
      <w:r>
        <w:rPr>
          <w:b/>
          <w:bCs/>
        </w:rPr>
        <w:t xml:space="preserve">Digital Security Act (digitalsikkerhetsloven)</w:t>
      </w:r>
      <w:r>
        <w:t xml:space="preserve">, with implementing</w:t>
      </w:r>
      <w:r>
        <w:t xml:space="preserve"> </w:t>
      </w:r>
      <w:r>
        <w:rPr>
          <w:b/>
          <w:bCs/>
        </w:rPr>
        <w:t xml:space="preserve">Digital Security Regulations</w:t>
      </w:r>
      <w:r>
        <w:t xml:space="preserve"> </w:t>
      </w:r>
      <w:r>
        <w:t xml:space="preserve">that entered into force</w:t>
      </w:r>
      <w:r>
        <w:t xml:space="preserve"> </w:t>
      </w:r>
      <w:r>
        <w:rPr>
          <w:b/>
          <w:bCs/>
        </w:rPr>
        <w:t xml:space="preserve">1 October 2025</w:t>
      </w:r>
      <w:r>
        <w:t xml:space="preserve">.</w:t>
      </w:r>
    </w:p>
    <w:bookmarkStart w:id="186" w:name="final-categories-3"/>
    <w:p>
      <w:pPr>
        <w:pStyle w:val="Heading2"/>
      </w:pPr>
      <w:r>
        <w:t xml:space="preserve">Final Categories</w:t>
      </w:r>
    </w:p>
    <w:bookmarkEnd w:id="186"/>
    <w:bookmarkStart w:id="187" w:name="X745e3a450697f2be0cec8d2e5d2d23ca74c1895"/>
    <w:p>
      <w:pPr>
        <w:pStyle w:val="Heading2"/>
      </w:pPr>
      <w:r>
        <w:t xml:space="preserve">1)</w:t>
      </w:r>
      <w:r>
        <w:t xml:space="preserve"> </w:t>
      </w:r>
      <w:r>
        <w:rPr>
          <w:b/>
          <w:bCs/>
        </w:rPr>
        <w:t xml:space="preserve">Providers of socially important services</w:t>
      </w:r>
      <w:r>
        <w:t xml:space="preserve"> </w:t>
      </w:r>
      <w:r>
        <w:t xml:space="preserve">(tilbydere av samfunnsviktige tjenester)</w:t>
      </w:r>
    </w:p>
    <w:p>
      <w:pPr>
        <w:pStyle w:val="Compact"/>
        <w:numPr>
          <w:ilvl w:val="0"/>
          <w:numId w:val="1163"/>
        </w:numPr>
      </w:pPr>
      <w:r>
        <w:t xml:space="preserve">The Act applies to</w:t>
      </w:r>
      <w:r>
        <w:t xml:space="preserve"> </w:t>
      </w:r>
      <w:r>
        <w:rPr>
          <w:b/>
          <w:bCs/>
        </w:rPr>
        <w:t xml:space="preserve">providers of socially important services</w:t>
      </w:r>
      <w:r>
        <w:t xml:space="preserve"> </w:t>
      </w:r>
      <w:r>
        <w:t xml:space="preserve">under § 6</w:t>
      </w:r>
      <w:r>
        <w:t xml:space="preserve"> </w:t>
      </w:r>
      <w:r>
        <w:rPr>
          <w:b/>
          <w:bCs/>
        </w:rPr>
        <w:t xml:space="preserve">in the sectors</w:t>
      </w:r>
      <w:r>
        <w:t xml:space="preserve">: energy, transport,</w:t>
      </w:r>
      <w:r>
        <w:t xml:space="preserve"> </w:t>
      </w:r>
      <w:r>
        <w:rPr>
          <w:b/>
          <w:bCs/>
        </w:rPr>
        <w:t xml:space="preserve">health</w:t>
      </w:r>
      <w:r>
        <w:t xml:space="preserve">, water supply, bank, financial market infrastructure, and digital infrastructure.</w:t>
      </w:r>
    </w:p>
    <w:bookmarkEnd w:id="187"/>
    <w:bookmarkStart w:id="188" w:name="X0337d5d22ff07cbd378969f9b77dfc08a7b8070"/>
    <w:p>
      <w:pPr>
        <w:pStyle w:val="Heading2"/>
      </w:pPr>
      <w:r>
        <w:t xml:space="preserve">2)</w:t>
      </w:r>
      <w:r>
        <w:t xml:space="preserve"> </w:t>
      </w:r>
      <w:r>
        <w:rPr>
          <w:b/>
          <w:bCs/>
        </w:rPr>
        <w:t xml:space="preserve">Providers of digital services</w:t>
      </w:r>
      <w:r>
        <w:t xml:space="preserve"> </w:t>
      </w:r>
      <w:r>
        <w:t xml:space="preserve">(tilbydere av digitale tjenester)</w:t>
      </w:r>
    </w:p>
    <w:p>
      <w:pPr>
        <w:pStyle w:val="Compact"/>
        <w:numPr>
          <w:ilvl w:val="0"/>
          <w:numId w:val="1164"/>
        </w:numPr>
      </w:pPr>
      <w:r>
        <w:t xml:space="preserve">The Act applies to</w:t>
      </w:r>
      <w:r>
        <w:t xml:space="preserve"> </w:t>
      </w:r>
      <w:r>
        <w:rPr>
          <w:b/>
          <w:bCs/>
        </w:rPr>
        <w:t xml:space="preserve">providers of digital services</w:t>
      </w:r>
      <w:r>
        <w:t xml:space="preserve"> </w:t>
      </w:r>
      <w:r>
        <w:t xml:space="preserve">under § 9.</w:t>
      </w:r>
    </w:p>
    <w:p>
      <w:pPr>
        <w:pStyle w:val="Compact"/>
        <w:numPr>
          <w:ilvl w:val="0"/>
          <w:numId w:val="1164"/>
        </w:numPr>
      </w:pPr>
      <w:r>
        <w:t xml:space="preserve">§ 9 lists:</w:t>
      </w:r>
      <w:r>
        <w:t xml:space="preserve"> </w:t>
      </w:r>
      <w:r>
        <w:rPr>
          <w:b/>
          <w:bCs/>
        </w:rPr>
        <w:t xml:space="preserve">online marketplace</w:t>
      </w:r>
      <w:r>
        <w:t xml:space="preserve">,</w:t>
      </w:r>
      <w:r>
        <w:t xml:space="preserve"> </w:t>
      </w:r>
      <w:r>
        <w:rPr>
          <w:b/>
          <w:bCs/>
        </w:rPr>
        <w:t xml:space="preserve">online search engine</w:t>
      </w:r>
      <w:r>
        <w:t xml:space="preserve">, and</w:t>
      </w:r>
      <w:r>
        <w:t xml:space="preserve"> </w:t>
      </w:r>
      <w:r>
        <w:rPr>
          <w:b/>
          <w:bCs/>
        </w:rPr>
        <w:t xml:space="preserve">cloud computing service</w:t>
      </w:r>
      <w:r>
        <w:t xml:space="preserve">.</w:t>
      </w:r>
    </w:p>
    <w:bookmarkEnd w:id="188"/>
    <w:bookmarkStart w:id="189" w:name="X4e74eefa5352c763b7dbc79553d4e2a5314efa3"/>
    <w:p>
      <w:pPr>
        <w:pStyle w:val="Heading2"/>
      </w:pPr>
      <w:r>
        <w:t xml:space="preserve">3) Health sector code of conduct (sector guidance)</w:t>
      </w:r>
    </w:p>
    <w:p>
      <w:pPr>
        <w:pStyle w:val="Compact"/>
        <w:numPr>
          <w:ilvl w:val="0"/>
          <w:numId w:val="1165"/>
        </w:numPr>
      </w:pPr>
      <w:r>
        <w:rPr>
          <w:b/>
          <w:bCs/>
        </w:rPr>
        <w:t xml:space="preserve">Code of Conduct for Information Security and Data Protection in the Health Care Sector (Version 7.0)</w:t>
      </w:r>
      <w:r>
        <w:t xml:space="preserve"> </w:t>
      </w:r>
      <w:r>
        <w:t xml:space="preserve">(the “Code”), including stated version metadata and applicability date.</w:t>
      </w:r>
    </w:p>
    <w:bookmarkEnd w:id="189"/>
    <w:bookmarkStart w:id="190" w:name="Xaf6a1dc97abade5103c14dfc5e77b2aaca89aa3"/>
    <w:p>
      <w:pPr>
        <w:pStyle w:val="Heading2"/>
      </w:pPr>
      <w:r>
        <w:t xml:space="preserve">Exact Legal / Regulatory Criteria (primary texts)</w:t>
      </w:r>
    </w:p>
    <w:bookmarkEnd w:id="190"/>
    <w:bookmarkStart w:id="191" w:name="a-statutory-scope-digital-security-act"/>
    <w:p>
      <w:pPr>
        <w:pStyle w:val="Heading2"/>
      </w:pPr>
      <w:r>
        <w:t xml:space="preserve">A) Statutory scope (Digital Security Act)</w:t>
      </w:r>
    </w:p>
    <w:bookmarkEnd w:id="191"/>
    <w:bookmarkStart w:id="192" w:name="scope-sectors-include-health"/>
    <w:p>
      <w:pPr>
        <w:pStyle w:val="Heading2"/>
      </w:pPr>
      <w:r>
        <w:t xml:space="preserve">Scope: sectors include</w:t>
      </w:r>
      <w:r>
        <w:t xml:space="preserve"> </w:t>
      </w:r>
      <w:r>
        <w:rPr>
          <w:b/>
          <w:bCs/>
        </w:rPr>
        <w:t xml:space="preserve">health</w:t>
      </w:r>
    </w:p>
    <w:p>
      <w:pPr>
        <w:pStyle w:val="Compact"/>
        <w:numPr>
          <w:ilvl w:val="0"/>
          <w:numId w:val="1166"/>
        </w:numPr>
      </w:pPr>
      <w:r>
        <w:t xml:space="preserve">The Act applies to providers of socially important services under § 6 in the sectors including</w:t>
      </w:r>
      <w:r>
        <w:t xml:space="preserve"> </w:t>
      </w:r>
      <w:r>
        <w:rPr>
          <w:b/>
          <w:bCs/>
        </w:rPr>
        <w:t xml:space="preserve">health</w:t>
      </w:r>
      <w:r>
        <w:t xml:space="preserve">.</w:t>
      </w:r>
    </w:p>
    <w:bookmarkEnd w:id="192"/>
    <w:bookmarkStart w:id="193" w:name="entry-into-force"/>
    <w:p>
      <w:pPr>
        <w:pStyle w:val="Heading2"/>
      </w:pPr>
      <w:r>
        <w:t xml:space="preserve">Entry into force</w:t>
      </w:r>
    </w:p>
    <w:p>
      <w:pPr>
        <w:pStyle w:val="Compact"/>
        <w:numPr>
          <w:ilvl w:val="0"/>
          <w:numId w:val="1167"/>
        </w:numPr>
      </w:pPr>
      <w:r>
        <w:t xml:space="preserve">§ 20 states the Act enters into force at the time determined by the King; the Lovdata rendering notes “From 1 Oct 2025 …”.</w:t>
      </w:r>
    </w:p>
    <w:bookmarkEnd w:id="193"/>
    <w:bookmarkStart w:id="194" w:name="Xdf876646f2965b80309b0f13ce24f1043b3113a"/>
    <w:p>
      <w:pPr>
        <w:pStyle w:val="Heading2"/>
      </w:pPr>
      <w:r>
        <w:t xml:space="preserve">B) “Provider of a socially important service” — § 6 (Act)</w:t>
      </w:r>
    </w:p>
    <w:p>
      <w:pPr>
        <w:pStyle w:val="FirstParagraph"/>
      </w:pPr>
      <w:r>
        <w:t xml:space="preserve">A provider under § 6 is an entity that:</w:t>
      </w:r>
      <w:r>
        <w:t xml:space="preserve"> </w:t>
      </w:r>
      <w:r>
        <w:t xml:space="preserve">*</w:t>
      </w:r>
      <w:r>
        <w:t xml:space="preserve"> </w:t>
      </w:r>
      <w:r>
        <w:rPr>
          <w:b/>
          <w:bCs/>
        </w:rPr>
        <w:t xml:space="preserve">delivers a service</w:t>
      </w:r>
      <w:r>
        <w:t xml:space="preserve"> </w:t>
      </w:r>
      <w:r>
        <w:t xml:space="preserve">in one of the listed sectors (including</w:t>
      </w:r>
      <w:r>
        <w:t xml:space="preserve"> </w:t>
      </w:r>
      <w:r>
        <w:rPr>
          <w:b/>
          <w:bCs/>
        </w:rPr>
        <w:t xml:space="preserve">health</w:t>
      </w:r>
      <w:r>
        <w:t xml:space="preserve">),</w:t>
      </w:r>
      <w:r>
        <w:t xml:space="preserve"> </w:t>
      </w:r>
      <w:r>
        <w:rPr>
          <w:b/>
          <w:bCs/>
        </w:rPr>
        <w:t xml:space="preserve">and</w:t>
      </w:r>
      <w:r>
        <w:t xml:space="preserve"> </w:t>
      </w:r>
      <w:r>
        <w:t xml:space="preserve">* is</w:t>
      </w:r>
      <w:r>
        <w:t xml:space="preserve"> </w:t>
      </w:r>
      <w:r>
        <w:rPr>
          <w:b/>
          <w:bCs/>
        </w:rPr>
        <w:t xml:space="preserve">dependent on network and information systems</w:t>
      </w:r>
      <w:r>
        <w:t xml:space="preserve"> </w:t>
      </w:r>
      <w:r>
        <w:t xml:space="preserve">to deliver that service,</w:t>
      </w:r>
      <w:r>
        <w:t xml:space="preserve"> </w:t>
      </w:r>
      <w:r>
        <w:rPr>
          <w:b/>
          <w:bCs/>
        </w:rPr>
        <w:t xml:space="preserve">and</w:t>
      </w:r>
      <w:r>
        <w:t xml:space="preserve"> </w:t>
      </w:r>
      <w:r>
        <w:t xml:space="preserve">* the service is</w:t>
      </w:r>
      <w:r>
        <w:t xml:space="preserve"> </w:t>
      </w:r>
      <w:r>
        <w:rPr>
          <w:b/>
          <w:bCs/>
        </w:rPr>
        <w:t xml:space="preserve">important for maintaining fundamental societal functions or people’s basic needs</w:t>
      </w:r>
      <w:r>
        <w:t xml:space="preserve">, and an incident would have</w:t>
      </w:r>
      <w:r>
        <w:t xml:space="preserve"> </w:t>
      </w:r>
      <w:r>
        <w:rPr>
          <w:b/>
          <w:bCs/>
        </w:rPr>
        <w:t xml:space="preserve">significantly disruptive impact</w:t>
      </w:r>
      <w:r>
        <w:t xml:space="preserve"> </w:t>
      </w:r>
      <w:r>
        <w:t xml:space="preserve">on delivery of the service.</w:t>
      </w:r>
    </w:p>
    <w:bookmarkEnd w:id="194"/>
    <w:bookmarkStart w:id="195" w:name="Xcaa079ec3c079b89a96d99be24124aefcb24bf5"/>
    <w:p>
      <w:pPr>
        <w:pStyle w:val="Heading2"/>
      </w:pPr>
      <w:r>
        <w:t xml:space="preserve">C) Security requirements for providers of socially important services — § 7 (Act)</w:t>
      </w:r>
    </w:p>
    <w:p>
      <w:pPr>
        <w:pStyle w:val="FirstParagraph"/>
      </w:pPr>
      <w:r>
        <w:t xml:space="preserve">§ 7 requires</w:t>
      </w:r>
      <w:r>
        <w:t xml:space="preserve"> </w:t>
      </w:r>
      <w:r>
        <w:rPr>
          <w:b/>
          <w:bCs/>
        </w:rPr>
        <w:t xml:space="preserve">appropriate and proportionate technical and organisational measures</w:t>
      </w:r>
      <w:r>
        <w:t xml:space="preserve"> </w:t>
      </w:r>
      <w:r>
        <w:t xml:space="preserve">and lists specific risk/assurance aims, including: preventing incidents and limiting consequences; ensuring a level of security appropriate to risk; and maintaining continuity/availability elements as described in the provision (items (a)–(g)).</w:t>
      </w:r>
    </w:p>
    <w:bookmarkEnd w:id="195"/>
    <w:bookmarkStart w:id="196" w:name="Xf967e6151315709e3f8ae9d5a21625170632432"/>
    <w:p>
      <w:pPr>
        <w:pStyle w:val="Heading2"/>
      </w:pPr>
      <w:r>
        <w:t xml:space="preserve">D) Incident notification duty for providers of socially important services — § 8 (Act) + reporting timelines (Regulations)</w:t>
      </w:r>
    </w:p>
    <w:bookmarkEnd w:id="196"/>
    <w:bookmarkStart w:id="197" w:name="duty-to-notify-act-8"/>
    <w:p>
      <w:pPr>
        <w:pStyle w:val="Heading2"/>
      </w:pPr>
      <w:r>
        <w:t xml:space="preserve">Duty to notify (Act § 8)</w:t>
      </w:r>
    </w:p>
    <w:p>
      <w:pPr>
        <w:pStyle w:val="Compact"/>
        <w:numPr>
          <w:ilvl w:val="0"/>
          <w:numId w:val="1168"/>
        </w:numPr>
      </w:pPr>
      <w:r>
        <w:t xml:space="preserve">Providers must</w:t>
      </w:r>
      <w:r>
        <w:t xml:space="preserve"> </w:t>
      </w:r>
      <w:r>
        <w:rPr>
          <w:b/>
          <w:bCs/>
        </w:rPr>
        <w:t xml:space="preserve">notify</w:t>
      </w:r>
      <w:r>
        <w:t xml:space="preserve"> </w:t>
      </w:r>
      <w:r>
        <w:t xml:space="preserve">the supervisory authority</w:t>
      </w:r>
      <w:r>
        <w:t xml:space="preserve"> </w:t>
      </w:r>
      <w:r>
        <w:rPr>
          <w:b/>
          <w:bCs/>
        </w:rPr>
        <w:t xml:space="preserve">without undue delay</w:t>
      </w:r>
      <w:r>
        <w:t xml:space="preserve"> </w:t>
      </w:r>
      <w:r>
        <w:t xml:space="preserve">about incidents with</w:t>
      </w:r>
      <w:r>
        <w:t xml:space="preserve"> </w:t>
      </w:r>
      <w:r>
        <w:rPr>
          <w:b/>
          <w:bCs/>
        </w:rPr>
        <w:t xml:space="preserve">significant impact</w:t>
      </w:r>
      <w:r>
        <w:t xml:space="preserve"> </w:t>
      </w:r>
      <w:r>
        <w:t xml:space="preserve">on continuity of the service.</w:t>
      </w:r>
    </w:p>
    <w:p>
      <w:pPr>
        <w:pStyle w:val="Compact"/>
        <w:numPr>
          <w:ilvl w:val="0"/>
          <w:numId w:val="1168"/>
        </w:numPr>
      </w:pPr>
      <w:r>
        <w:t xml:space="preserve">The Act lists factors for assessing whether impact is “significant” (users affected, duration, geographic area, extent of functionality failure, and impact on economic and societal activity).</w:t>
      </w:r>
    </w:p>
    <w:bookmarkEnd w:id="197"/>
    <w:bookmarkStart w:id="198" w:name="X46351dea702ff6486afb515d06d310152878c0a"/>
    <w:p>
      <w:pPr>
        <w:pStyle w:val="Heading2"/>
      </w:pPr>
      <w:r>
        <w:t xml:space="preserve">Reporting steps and timelines (Regulations § 20)</w:t>
      </w:r>
    </w:p>
    <w:p>
      <w:pPr>
        <w:pStyle w:val="FirstParagraph"/>
      </w:pPr>
      <w:r>
        <w:t xml:space="preserve">The Regulations specify a staged reporting sequence for incidents with significant impact:</w:t>
      </w:r>
    </w:p>
    <w:p>
      <w:pPr>
        <w:pStyle w:val="Compact"/>
        <w:numPr>
          <w:ilvl w:val="0"/>
          <w:numId w:val="1169"/>
        </w:numPr>
      </w:pPr>
      <w:r>
        <w:rPr>
          <w:b/>
          <w:bCs/>
        </w:rPr>
        <w:t xml:space="preserve">Early warning</w:t>
      </w:r>
      <w:r>
        <w:t xml:space="preserve">: “as soon as possible and no later than</w:t>
      </w:r>
      <w:r>
        <w:t xml:space="preserve"> </w:t>
      </w:r>
      <w:r>
        <w:rPr>
          <w:b/>
          <w:bCs/>
        </w:rPr>
        <w:t xml:space="preserve">24 hours</w:t>
      </w:r>
      <w:r>
        <w:t xml:space="preserve"> </w:t>
      </w:r>
      <w:r>
        <w:t xml:space="preserve">after the provider becomes aware …”.</w:t>
      </w:r>
    </w:p>
    <w:p>
      <w:pPr>
        <w:pStyle w:val="Compact"/>
        <w:numPr>
          <w:ilvl w:val="0"/>
          <w:numId w:val="1169"/>
        </w:numPr>
      </w:pPr>
      <w:r>
        <w:rPr>
          <w:b/>
          <w:bCs/>
        </w:rPr>
        <w:t xml:space="preserve">Notification</w:t>
      </w:r>
      <w:r>
        <w:t xml:space="preserve">: “as soon as possible and no later than</w:t>
      </w:r>
      <w:r>
        <w:t xml:space="preserve"> </w:t>
      </w:r>
      <w:r>
        <w:rPr>
          <w:b/>
          <w:bCs/>
        </w:rPr>
        <w:t xml:space="preserve">72 hours</w:t>
      </w:r>
      <w:r>
        <w:t xml:space="preserve"> </w:t>
      </w:r>
      <w:r>
        <w:t xml:space="preserve">after the provider becomes aware …”.</w:t>
      </w:r>
    </w:p>
    <w:p>
      <w:pPr>
        <w:pStyle w:val="Compact"/>
        <w:numPr>
          <w:ilvl w:val="0"/>
          <w:numId w:val="1169"/>
        </w:numPr>
      </w:pPr>
      <w:r>
        <w:rPr>
          <w:b/>
          <w:bCs/>
        </w:rPr>
        <w:t xml:space="preserve">Final report</w:t>
      </w:r>
      <w:r>
        <w:t xml:space="preserve">: “no later than</w:t>
      </w:r>
      <w:r>
        <w:t xml:space="preserve"> </w:t>
      </w:r>
      <w:r>
        <w:rPr>
          <w:b/>
          <w:bCs/>
        </w:rPr>
        <w:t xml:space="preserve">one month</w:t>
      </w:r>
      <w:r>
        <w:t xml:space="preserve"> </w:t>
      </w:r>
      <w:r>
        <w:t xml:space="preserve">after submission of the notification …”.</w:t>
      </w:r>
    </w:p>
    <w:bookmarkEnd w:id="198"/>
    <w:bookmarkStart w:id="199" w:name="X243cdc553c10e479976d1246e79234711fdf337"/>
    <w:p>
      <w:pPr>
        <w:pStyle w:val="Heading2"/>
      </w:pPr>
      <w:r>
        <w:t xml:space="preserve">E) Providers of digital services — § 9, § 10, § 11 (Act)</w:t>
      </w:r>
    </w:p>
    <w:bookmarkEnd w:id="199"/>
    <w:bookmarkStart w:id="200" w:name="category-definition-act-9"/>
    <w:p>
      <w:pPr>
        <w:pStyle w:val="Heading2"/>
      </w:pPr>
      <w:r>
        <w:t xml:space="preserve">Category definition (Act § 9)</w:t>
      </w:r>
    </w:p>
    <w:p>
      <w:pPr>
        <w:pStyle w:val="Compact"/>
        <w:numPr>
          <w:ilvl w:val="0"/>
          <w:numId w:val="1170"/>
        </w:numPr>
      </w:pPr>
      <w:r>
        <w:t xml:space="preserve">§ 9 lists the digital services:</w:t>
      </w:r>
      <w:r>
        <w:t xml:space="preserve"> </w:t>
      </w:r>
      <w:r>
        <w:rPr>
          <w:b/>
          <w:bCs/>
        </w:rPr>
        <w:t xml:space="preserve">online marketplace</w:t>
      </w:r>
      <w:r>
        <w:t xml:space="preserve">,</w:t>
      </w:r>
      <w:r>
        <w:t xml:space="preserve"> </w:t>
      </w:r>
      <w:r>
        <w:rPr>
          <w:b/>
          <w:bCs/>
        </w:rPr>
        <w:t xml:space="preserve">online search engine</w:t>
      </w:r>
      <w:r>
        <w:t xml:space="preserve">,</w:t>
      </w:r>
      <w:r>
        <w:t xml:space="preserve"> </w:t>
      </w:r>
      <w:r>
        <w:rPr>
          <w:b/>
          <w:bCs/>
        </w:rPr>
        <w:t xml:space="preserve">cloud computing service</w:t>
      </w:r>
      <w:r>
        <w:t xml:space="preserve">.</w:t>
      </w:r>
    </w:p>
    <w:bookmarkEnd w:id="200"/>
    <w:bookmarkStart w:id="201" w:name="security-requirement-act-10"/>
    <w:p>
      <w:pPr>
        <w:pStyle w:val="Heading2"/>
      </w:pPr>
      <w:r>
        <w:t xml:space="preserve">Security requirement (Act § 10)</w:t>
      </w:r>
    </w:p>
    <w:p>
      <w:pPr>
        <w:pStyle w:val="Compact"/>
        <w:numPr>
          <w:ilvl w:val="0"/>
          <w:numId w:val="1171"/>
        </w:numPr>
      </w:pPr>
      <w:r>
        <w:t xml:space="preserve">Providers of digital services must implement</w:t>
      </w:r>
      <w:r>
        <w:t xml:space="preserve"> </w:t>
      </w:r>
      <w:r>
        <w:rPr>
          <w:b/>
          <w:bCs/>
        </w:rPr>
        <w:t xml:space="preserve">appropriate and proportionate technical and organisational measures</w:t>
      </w:r>
      <w:r>
        <w:t xml:space="preserve"> </w:t>
      </w:r>
      <w:r>
        <w:t xml:space="preserve">and lists areas to address (security of systems and facilities, incident handling, business continuity management, monitoring/auditing/testing, compliance with standards, etc.).</w:t>
      </w:r>
    </w:p>
    <w:bookmarkEnd w:id="201"/>
    <w:bookmarkStart w:id="202" w:name="incident-notification-duty-act-11"/>
    <w:p>
      <w:pPr>
        <w:pStyle w:val="Heading2"/>
      </w:pPr>
      <w:r>
        <w:t xml:space="preserve">Incident notification duty (Act § 11)</w:t>
      </w:r>
    </w:p>
    <w:p>
      <w:pPr>
        <w:pStyle w:val="Compact"/>
        <w:numPr>
          <w:ilvl w:val="0"/>
          <w:numId w:val="1172"/>
        </w:numPr>
      </w:pPr>
      <w:r>
        <w:t xml:space="preserve">Providers of digital services must</w:t>
      </w:r>
      <w:r>
        <w:t xml:space="preserve"> </w:t>
      </w:r>
      <w:r>
        <w:rPr>
          <w:b/>
          <w:bCs/>
        </w:rPr>
        <w:t xml:space="preserve">notify</w:t>
      </w:r>
      <w:r>
        <w:t xml:space="preserve"> </w:t>
      </w:r>
      <w:r>
        <w:t xml:space="preserve">the supervisory authority</w:t>
      </w:r>
      <w:r>
        <w:t xml:space="preserve"> </w:t>
      </w:r>
      <w:r>
        <w:rPr>
          <w:b/>
          <w:bCs/>
        </w:rPr>
        <w:t xml:space="preserve">without undue delay</w:t>
      </w:r>
      <w:r>
        <w:t xml:space="preserve"> </w:t>
      </w:r>
      <w:r>
        <w:t xml:space="preserve">about incidents with</w:t>
      </w:r>
      <w:r>
        <w:t xml:space="preserve"> </w:t>
      </w:r>
      <w:r>
        <w:rPr>
          <w:b/>
          <w:bCs/>
        </w:rPr>
        <w:t xml:space="preserve">substantial impact</w:t>
      </w:r>
      <w:r>
        <w:t xml:space="preserve"> </w:t>
      </w:r>
      <w:r>
        <w:t xml:space="preserve">on provision of the service, and the section lists assessment factors (users affected, duration, geographic spread, extent of disruption, impact on economic and societal activities).</w:t>
      </w:r>
    </w:p>
    <w:bookmarkEnd w:id="202"/>
    <w:bookmarkStart w:id="203" w:name="X71d69d5a925cbe49c6c3cca70f27ccfa9f41f87"/>
    <w:p>
      <w:pPr>
        <w:pStyle w:val="Heading2"/>
      </w:pPr>
      <w:r>
        <w:t xml:space="preserve">F) Supervisory and enforcement elements (Act + Regulations)</w:t>
      </w:r>
    </w:p>
    <w:bookmarkEnd w:id="203"/>
    <w:bookmarkStart w:id="204" w:name="supervisory-authority-appointment-act-13"/>
    <w:p>
      <w:pPr>
        <w:pStyle w:val="Heading2"/>
      </w:pPr>
      <w:r>
        <w:t xml:space="preserve">Supervisory authority appointment (Act § 13)</w:t>
      </w:r>
    </w:p>
    <w:p>
      <w:pPr>
        <w:pStyle w:val="Compact"/>
        <w:numPr>
          <w:ilvl w:val="0"/>
          <w:numId w:val="1173"/>
        </w:numPr>
      </w:pPr>
      <w:r>
        <w:t xml:space="preserve">“The King appoints one or more supervisory authorities …”.</w:t>
      </w:r>
    </w:p>
    <w:bookmarkEnd w:id="204"/>
    <w:bookmarkStart w:id="205" w:name="information-access-inspections-act-14"/>
    <w:p>
      <w:pPr>
        <w:pStyle w:val="Heading2"/>
      </w:pPr>
      <w:r>
        <w:t xml:space="preserve">Information access / inspections (Act § 14)</w:t>
      </w:r>
    </w:p>
    <w:p>
      <w:pPr>
        <w:pStyle w:val="Compact"/>
        <w:numPr>
          <w:ilvl w:val="0"/>
          <w:numId w:val="1174"/>
        </w:numPr>
      </w:pPr>
      <w:r>
        <w:t xml:space="preserve">Providers must provide information required by the supervisory authority and provide access to premises and equipment; this applies “without hindrance of statutory confidentiality”.</w:t>
      </w:r>
    </w:p>
    <w:bookmarkEnd w:id="205"/>
    <w:bookmarkStart w:id="206" w:name="administrative-reactions-act-1517"/>
    <w:p>
      <w:pPr>
        <w:pStyle w:val="Heading2"/>
      </w:pPr>
      <w:r>
        <w:t xml:space="preserve">Administrative reactions (Act §§ 15–17)</w:t>
      </w:r>
    </w:p>
    <w:p>
      <w:pPr>
        <w:pStyle w:val="Compact"/>
        <w:numPr>
          <w:ilvl w:val="0"/>
          <w:numId w:val="1175"/>
        </w:numPr>
      </w:pPr>
      <w:r>
        <w:t xml:space="preserve">§ 15: corrective orders (“pålegg om retting”) with deadline.</w:t>
      </w:r>
    </w:p>
    <w:p>
      <w:pPr>
        <w:pStyle w:val="Compact"/>
        <w:numPr>
          <w:ilvl w:val="0"/>
          <w:numId w:val="1175"/>
        </w:numPr>
      </w:pPr>
      <w:r>
        <w:t xml:space="preserve">§ 16: coercive fine (“tvangsmulkt”).</w:t>
      </w:r>
    </w:p>
    <w:p>
      <w:pPr>
        <w:pStyle w:val="Compact"/>
        <w:numPr>
          <w:ilvl w:val="0"/>
          <w:numId w:val="1175"/>
        </w:numPr>
      </w:pPr>
      <w:r>
        <w:t xml:space="preserve">§ 17: violation fine (“overtredelsesgebyr”) for intentional/negligent breaches of §§ 7, 8, 10, 11 or 14.</w:t>
      </w:r>
    </w:p>
    <w:bookmarkEnd w:id="206"/>
    <w:bookmarkStart w:id="207" w:name="X8703298623b5d7840e46f079a5247eee49a150c"/>
    <w:p>
      <w:pPr>
        <w:pStyle w:val="Heading2"/>
      </w:pPr>
      <w:r>
        <w:t xml:space="preserve">Maximum violation fine level (Regulations § 24)</w:t>
      </w:r>
    </w:p>
    <w:p>
      <w:pPr>
        <w:pStyle w:val="Compact"/>
        <w:numPr>
          <w:ilvl w:val="0"/>
          <w:numId w:val="1176"/>
        </w:numPr>
      </w:pPr>
      <w:r>
        <w:t xml:space="preserve">Regulations § 24 describes violation fine upper limits and states: “In any case, the fine … may not exceed</w:t>
      </w:r>
      <w:r>
        <w:t xml:space="preserve"> </w:t>
      </w:r>
      <w:r>
        <w:rPr>
          <w:b/>
          <w:bCs/>
        </w:rPr>
        <w:t xml:space="preserve">NOK 50 million</w:t>
      </w:r>
      <w:r>
        <w:t xml:space="preserve">.”</w:t>
      </w:r>
    </w:p>
    <w:bookmarkEnd w:id="207"/>
    <w:bookmarkStart w:id="208" w:name="Xaeb1c27759f81e412644559a03f534a9537c1c3"/>
    <w:p>
      <w:pPr>
        <w:pStyle w:val="Heading2"/>
      </w:pPr>
      <w:r>
        <w:t xml:space="preserve">Designation / listing mechanisms (Regulations § 1 — sector enumerations)</w:t>
      </w:r>
    </w:p>
    <w:p>
      <w:pPr>
        <w:pStyle w:val="FirstParagraph"/>
      </w:pPr>
      <w:r>
        <w:t xml:space="preserve">The Regulations define “providers of essential services” (providers of socially important services) and list multiple categories. For the</w:t>
      </w:r>
      <w:r>
        <w:t xml:space="preserve"> </w:t>
      </w:r>
      <w:r>
        <w:rPr>
          <w:b/>
          <w:bCs/>
        </w:rPr>
        <w:t xml:space="preserve">health</w:t>
      </w:r>
      <w:r>
        <w:t xml:space="preserve"> </w:t>
      </w:r>
      <w:r>
        <w:t xml:space="preserve">sector, the list includes:</w:t>
      </w:r>
    </w:p>
    <w:p>
      <w:pPr>
        <w:pStyle w:val="Compact"/>
        <w:numPr>
          <w:ilvl w:val="0"/>
          <w:numId w:val="1177"/>
        </w:numPr>
      </w:pPr>
      <w:r>
        <w:rPr>
          <w:b/>
          <w:bCs/>
        </w:rPr>
        <w:t xml:space="preserve">Regional health enterprises</w:t>
      </w:r>
      <w:r>
        <w:t xml:space="preserve"> </w:t>
      </w:r>
      <w:r>
        <w:t xml:space="preserve">(regional helseforetak) and the</w:t>
      </w:r>
      <w:r>
        <w:t xml:space="preserve"> </w:t>
      </w:r>
      <w:r>
        <w:rPr>
          <w:b/>
          <w:bCs/>
        </w:rPr>
        <w:t xml:space="preserve">Norwegian Health Network</w:t>
      </w:r>
      <w:r>
        <w:t xml:space="preserve"> </w:t>
      </w:r>
      <w:r>
        <w:t xml:space="preserve">(Norsk Helsenett SF).</w:t>
      </w:r>
    </w:p>
    <w:p>
      <w:pPr>
        <w:pStyle w:val="Compact"/>
        <w:numPr>
          <w:ilvl w:val="0"/>
          <w:numId w:val="1177"/>
        </w:numPr>
      </w:pPr>
      <w:r>
        <w:t xml:space="preserve">Providers responsible for</w:t>
      </w:r>
      <w:r>
        <w:t xml:space="preserve"> </w:t>
      </w:r>
      <w:r>
        <w:rPr>
          <w:b/>
          <w:bCs/>
        </w:rPr>
        <w:t xml:space="preserve">pre-hospital emergency medical services</w:t>
      </w:r>
      <w:r>
        <w:t xml:space="preserve"> </w:t>
      </w:r>
      <w:r>
        <w:t xml:space="preserve">under the Health and Care Services Act § 3-2(1) and the Municipal Health and Care Services Act § 3-2a.</w:t>
      </w:r>
    </w:p>
    <w:p>
      <w:pPr>
        <w:pStyle w:val="Compact"/>
        <w:numPr>
          <w:ilvl w:val="0"/>
          <w:numId w:val="1177"/>
        </w:numPr>
      </w:pPr>
      <w:r>
        <w:t xml:space="preserve">Providers responsible for</w:t>
      </w:r>
      <w:r>
        <w:t xml:space="preserve"> </w:t>
      </w:r>
      <w:r>
        <w:rPr>
          <w:b/>
          <w:bCs/>
        </w:rPr>
        <w:t xml:space="preserve">specialist medical emergency response services</w:t>
      </w:r>
      <w:r>
        <w:t xml:space="preserve"> </w:t>
      </w:r>
      <w:r>
        <w:t xml:space="preserve">under the Specialist Health Services Act § 2-2.</w:t>
      </w:r>
    </w:p>
    <w:bookmarkEnd w:id="208"/>
    <w:bookmarkStart w:id="209" w:name="Xfafb149ca0c5f7f03cde80ac3b0c9c686099d5d"/>
    <w:p>
      <w:pPr>
        <w:pStyle w:val="Heading2"/>
      </w:pPr>
      <w:r>
        <w:t xml:space="preserve">Health-specific clauses / guidance covered (only what the PDFs state)</w:t>
      </w:r>
    </w:p>
    <w:bookmarkEnd w:id="209"/>
    <w:bookmarkStart w:id="210" w:name="X1aca8d78658f5f754ec590c972141dd6901ce3a"/>
    <w:p>
      <w:pPr>
        <w:pStyle w:val="Heading2"/>
      </w:pPr>
      <w:r>
        <w:t xml:space="preserve">1) Health sector is explicitly in the Act’s sector scope</w:t>
      </w:r>
    </w:p>
    <w:p>
      <w:pPr>
        <w:pStyle w:val="Compact"/>
        <w:numPr>
          <w:ilvl w:val="0"/>
          <w:numId w:val="1178"/>
        </w:numPr>
      </w:pPr>
      <w:r>
        <w:t xml:space="preserve">“Health” is explicitly listed among the sectors for providers under § 6.</w:t>
      </w:r>
    </w:p>
    <w:bookmarkEnd w:id="210"/>
    <w:bookmarkStart w:id="211" w:name="X635416b30f0c2be289c504fa74fc52237327058"/>
    <w:p>
      <w:pPr>
        <w:pStyle w:val="Heading2"/>
      </w:pPr>
      <w:r>
        <w:t xml:space="preserve">2) Health sector provider types are explicitly listed in the Regulations</w:t>
      </w:r>
    </w:p>
    <w:p>
      <w:pPr>
        <w:pStyle w:val="Compact"/>
        <w:numPr>
          <w:ilvl w:val="0"/>
          <w:numId w:val="1179"/>
        </w:numPr>
      </w:pPr>
      <w:r>
        <w:t xml:space="preserve">The Regulations enumerate specific health-sector organisations/services as providers of essential services (examples listed above).</w:t>
      </w:r>
    </w:p>
    <w:bookmarkEnd w:id="211"/>
    <w:bookmarkStart w:id="212" w:name="Xabfc8e7b7e179dea27183a54e018aaede8c8ea1"/>
    <w:p>
      <w:pPr>
        <w:pStyle w:val="Heading2"/>
      </w:pPr>
      <w:r>
        <w:t xml:space="preserve">3) Health Care Sector Code of Conduct (Version 7.0) — what the Code states</w:t>
      </w:r>
    </w:p>
    <w:bookmarkEnd w:id="212"/>
    <w:bookmarkStart w:id="213" w:name="version-metadata-applicability"/>
    <w:p>
      <w:pPr>
        <w:pStyle w:val="Heading2"/>
      </w:pPr>
      <w:r>
        <w:t xml:space="preserve">Version metadata / applicability</w:t>
      </w:r>
    </w:p>
    <w:p>
      <w:pPr>
        <w:pStyle w:val="Compact"/>
        <w:numPr>
          <w:ilvl w:val="0"/>
          <w:numId w:val="1180"/>
        </w:numPr>
      </w:pPr>
      <w:r>
        <w:t xml:space="preserve">The Code document states “Version 7.0” and “Applicable from 01/10/2025” (and includes approval/publishing metadata in the same section).</w:t>
      </w:r>
    </w:p>
    <w:bookmarkEnd w:id="213"/>
    <w:bookmarkStart w:id="214" w:name="X8d8535efc8c054c0876891511a4af855773a037"/>
    <w:p>
      <w:pPr>
        <w:pStyle w:val="Heading2"/>
      </w:pPr>
      <w:r>
        <w:t xml:space="preserve">Scope statement: “Who does the Code apply to” (section 1.3)</w:t>
      </w:r>
    </w:p>
    <w:p>
      <w:pPr>
        <w:pStyle w:val="Compact"/>
        <w:numPr>
          <w:ilvl w:val="0"/>
          <w:numId w:val="1181"/>
        </w:numPr>
      </w:pPr>
      <w:r>
        <w:t xml:space="preserve">The Code includes a dedicated section “1.3 Who does the Code apply to” describing the health and care sector scope in the document itself.</w:t>
      </w:r>
    </w:p>
    <w:bookmarkEnd w:id="214"/>
    <w:bookmarkStart w:id="215" w:name="relationship-to-legislation-section-1.4"/>
    <w:p>
      <w:pPr>
        <w:pStyle w:val="Heading2"/>
      </w:pPr>
      <w:r>
        <w:t xml:space="preserve">Relationship to legislation (section 1.4)</w:t>
      </w:r>
    </w:p>
    <w:p>
      <w:pPr>
        <w:pStyle w:val="Compact"/>
        <w:numPr>
          <w:ilvl w:val="0"/>
          <w:numId w:val="1182"/>
        </w:numPr>
      </w:pPr>
      <w:r>
        <w:t xml:space="preserve">The Code includes a section “1.4 Relationship between the Code and applicable legislation” that describes how the Code relates to legal requirements.</w:t>
      </w:r>
    </w:p>
    <w:bookmarkEnd w:id="215"/>
    <w:bookmarkStart w:id="216" w:name="minimum-requirement-themes-section-3.2"/>
    <w:p>
      <w:pPr>
        <w:pStyle w:val="Heading2"/>
      </w:pPr>
      <w:r>
        <w:t xml:space="preserve">Minimum requirement themes (section 3.2)</w:t>
      </w:r>
    </w:p>
    <w:p>
      <w:pPr>
        <w:pStyle w:val="Compact"/>
        <w:numPr>
          <w:ilvl w:val="0"/>
          <w:numId w:val="1183"/>
        </w:numPr>
      </w:pPr>
      <w:r>
        <w:t xml:space="preserve">The Code includes section “3.2 Minimum requirements for information security and data protection” that enumerates minimum requirements (including core security properties and related operational expectations) in the text.</w:t>
      </w:r>
    </w:p>
    <w:bookmarkEnd w:id="216"/>
    <w:bookmarkStart w:id="217" w:name="references-norway"/>
    <w:p>
      <w:pPr>
        <w:pStyle w:val="Heading2"/>
      </w:pPr>
      <w:r>
        <w:t xml:space="preserve">References (Norway)</w:t>
      </w:r>
    </w:p>
    <w:p>
      <w:pPr>
        <w:pStyle w:val="Compact"/>
        <w:numPr>
          <w:ilvl w:val="0"/>
          <w:numId w:val="1184"/>
        </w:numPr>
      </w:pPr>
      <w:r>
        <w:rPr>
          <w:b/>
          <w:bCs/>
        </w:rPr>
        <w:t xml:space="preserve">Stortinget / Lovdata.</w:t>
      </w:r>
      <w:r>
        <w:t xml:space="preserve"> </w:t>
      </w:r>
      <w:r>
        <w:rPr>
          <w:i/>
          <w:iCs/>
        </w:rPr>
        <w:t xml:space="preserve">Lov om digital sikkerhet (digitalsikkerhetsloven)</w:t>
      </w:r>
      <w:r>
        <w:t xml:space="preserve"> </w:t>
      </w:r>
      <w:r>
        <w:t xml:space="preserve">(2023-12-20-108). (</w:t>
      </w:r>
      <w:hyperlink r:id="rId53">
        <w:r>
          <w:rPr>
            <w:rStyle w:val="Hyperlink"/>
          </w:rPr>
          <w:t xml:space="preserve">Lovdata</w:t>
        </w:r>
      </w:hyperlink>
      <w:r>
        <w:t xml:space="preserve">)</w:t>
      </w:r>
    </w:p>
    <w:p>
      <w:pPr>
        <w:pStyle w:val="Compact"/>
        <w:numPr>
          <w:ilvl w:val="0"/>
          <w:numId w:val="1184"/>
        </w:numPr>
      </w:pPr>
      <w:r>
        <w:rPr>
          <w:b/>
          <w:bCs/>
        </w:rPr>
        <w:t xml:space="preserve">Lovdata.</w:t>
      </w:r>
      <w:r>
        <w:t xml:space="preserve"> </w:t>
      </w:r>
      <w:r>
        <w:rPr>
          <w:i/>
          <w:iCs/>
        </w:rPr>
        <w:t xml:space="preserve">Forskrift om digital sikkerhet (digitalsikkerhetsforskriften)</w:t>
      </w:r>
      <w:r>
        <w:t xml:space="preserve"> </w:t>
      </w:r>
      <w:r>
        <w:t xml:space="preserve">(FOR-2025-06-20-1131). (</w:t>
      </w:r>
      <w:hyperlink r:id="rId54">
        <w:r>
          <w:rPr>
            <w:rStyle w:val="Hyperlink"/>
          </w:rPr>
          <w:t xml:space="preserve">Lovdata</w:t>
        </w:r>
      </w:hyperlink>
      <w:r>
        <w:t xml:space="preserve">)</w:t>
      </w:r>
    </w:p>
    <w:p>
      <w:pPr>
        <w:pStyle w:val="Compact"/>
        <w:numPr>
          <w:ilvl w:val="0"/>
          <w:numId w:val="1184"/>
        </w:numPr>
      </w:pPr>
      <w:r>
        <w:rPr>
          <w:b/>
          <w:bCs/>
        </w:rPr>
        <w:t xml:space="preserve">Norwegian Directorate of Health (Helsedirektoratet).</w:t>
      </w:r>
      <w:r>
        <w:t xml:space="preserve"> </w:t>
      </w:r>
      <w:r>
        <w:rPr>
          <w:i/>
          <w:iCs/>
        </w:rPr>
        <w:t xml:space="preserve">Code of Conduct for Information Security and Data Protection in the Health Care Sector (Normen) — Version 7.0</w:t>
      </w:r>
      <w:r>
        <w:t xml:space="preserve">. (</w:t>
      </w:r>
      <w:hyperlink r:id="rId55">
        <w:r>
          <w:rPr>
            <w:rStyle w:val="Hyperlink"/>
          </w:rPr>
          <w:t xml:space="preserve">Link</w:t>
        </w:r>
      </w:hyperlink>
      <w:r>
        <w:t xml:space="preserve">)</w:t>
      </w:r>
    </w:p>
    <w:p>
      <w:pPr>
        <w:sectPr>
          <w:footerReference w:type="first" r:id="rId13"/>
          <w:footerReference w:type="default" r:id="rId11"/>
          <w:footerReference w:type="even" r:id="rId10"/>
          <w:type w:val="nextPage"/>
        </w:sectPr>
      </w:pPr>
    </w:p>
    <w:bookmarkEnd w:id="217"/>
    <w:bookmarkEnd w:id="218"/>
    <w:bookmarkStart w:id="230" w:name="switzerland"/>
    <w:p>
      <w:pPr>
        <w:pStyle w:val="Heading1"/>
      </w:pPr>
      <w:r>
        <w:t xml:space="preserve">SWITZERLAND</w:t>
      </w:r>
    </w:p>
    <w:bookmarkStart w:id="219" w:name="X820d4e58b77b9a20136d2a5ee4f3e84332ce1a9"/>
    <w:p>
      <w:pPr>
        <w:pStyle w:val="Heading2"/>
      </w:pPr>
      <w:r>
        <w:t xml:space="preserve">Final categories (what is “highest critical / protected”)</w:t>
      </w:r>
    </w:p>
    <w:p>
      <w:pPr>
        <w:pStyle w:val="Compact"/>
        <w:numPr>
          <w:ilvl w:val="0"/>
          <w:numId w:val="1185"/>
        </w:numPr>
      </w:pPr>
      <w:r>
        <w:rPr>
          <w:b/>
          <w:bCs/>
        </w:rPr>
        <w:t xml:space="preserve">Betreiberinnen von kritischen Infrastrukturen</w:t>
      </w:r>
      <w:r>
        <w:t xml:space="preserve"> </w:t>
      </w:r>
      <w:r>
        <w:t xml:space="preserve">(operators of critical infrastructures) subject to the</w:t>
      </w:r>
      <w:r>
        <w:t xml:space="preserve"> </w:t>
      </w:r>
      <w:r>
        <w:rPr>
          <w:b/>
          <w:bCs/>
        </w:rPr>
        <w:t xml:space="preserve">Pflicht zur Meldung von Cyberangriffen</w:t>
      </w:r>
      <w:r>
        <w:t xml:space="preserve"> </w:t>
      </w:r>
      <w:r>
        <w:t xml:space="preserve">(duty to report cyberattacks).</w:t>
      </w:r>
      <w:r>
        <w:t xml:space="preserve"> </w:t>
      </w:r>
      <w:r>
        <w:rPr>
          <w:b/>
          <w:bCs/>
        </w:rPr>
        <w:t xml:space="preserve">Primary basis:</w:t>
      </w:r>
      <w:r>
        <w:t xml:space="preserve"> </w:t>
      </w:r>
      <w:r>
        <w:rPr>
          <w:i/>
          <w:iCs/>
        </w:rPr>
        <w:t xml:space="preserve">Informationssicherheitsgesetz (ISG)</w:t>
      </w:r>
      <w:r>
        <w:t xml:space="preserve">,</w:t>
      </w:r>
      <w:r>
        <w:t xml:space="preserve"> </w:t>
      </w:r>
      <w:r>
        <w:rPr>
          <w:b/>
          <w:bCs/>
        </w:rPr>
        <w:t xml:space="preserve">Art. 74a–74i</w:t>
      </w:r>
      <w:r>
        <w:t xml:space="preserve">. (</w:t>
      </w:r>
      <w:hyperlink r:id="rId53">
        <w:r>
          <w:rPr>
            <w:rStyle w:val="Hyperlink"/>
          </w:rPr>
          <w:t xml:space="preserve">Newsd</w:t>
        </w:r>
      </w:hyperlink>
      <w:r>
        <w:t xml:space="preserve">)</w:t>
      </w:r>
    </w:p>
    <w:p>
      <w:pPr>
        <w:pStyle w:val="Compact"/>
        <w:numPr>
          <w:ilvl w:val="0"/>
          <w:numId w:val="1185"/>
        </w:numPr>
      </w:pPr>
      <w:r>
        <w:rPr>
          <w:b/>
          <w:bCs/>
        </w:rPr>
        <w:t xml:space="preserve">Meldepflicht (cyberattack reporting duty) implementing ordinance</w:t>
      </w:r>
      <w:r>
        <w:t xml:space="preserve">.</w:t>
      </w:r>
      <w:r>
        <w:t xml:space="preserve"> </w:t>
      </w:r>
      <w:r>
        <w:rPr>
          <w:b/>
          <w:bCs/>
        </w:rPr>
        <w:t xml:space="preserve">Primary basis:</w:t>
      </w:r>
      <w:r>
        <w:t xml:space="preserve"> </w:t>
      </w:r>
      <w:r>
        <w:rPr>
          <w:i/>
          <w:iCs/>
        </w:rPr>
        <w:t xml:space="preserve">Cybersicherheitsverordnung (CSV)</w:t>
      </w:r>
      <w:r>
        <w:t xml:space="preserve"> </w:t>
      </w:r>
      <w:r>
        <w:t xml:space="preserve">(ordinance), incl. </w:t>
      </w:r>
      <w:r>
        <w:rPr>
          <w:b/>
          <w:bCs/>
        </w:rPr>
        <w:t xml:space="preserve">Art. 12–19</w:t>
      </w:r>
      <w:r>
        <w:t xml:space="preserve">.</w:t>
      </w:r>
    </w:p>
    <w:bookmarkEnd w:id="219"/>
    <w:bookmarkStart w:id="220" w:name="X9192f1c0ddd3b9046118f428db01bbfbaa116ed"/>
    <w:p>
      <w:pPr>
        <w:pStyle w:val="Heading2"/>
      </w:pPr>
      <w:r>
        <w:t xml:space="preserve">Exact legal / regulatory criteria (what triggers inclusion)</w:t>
      </w:r>
    </w:p>
    <w:bookmarkEnd w:id="220"/>
    <w:bookmarkStart w:id="221" w:name="Xc5a673f4a3b1017bbed3ce808b0b51e34c36812"/>
    <w:p>
      <w:pPr>
        <w:pStyle w:val="Heading2"/>
      </w:pPr>
      <w:r>
        <w:t xml:space="preserve">Subsection A (The Definition): the specific text defining the scope</w:t>
      </w:r>
    </w:p>
    <w:p>
      <w:pPr>
        <w:pStyle w:val="FirstParagraph"/>
      </w:pPr>
      <w:r>
        <w:rPr>
          <w:b/>
          <w:bCs/>
        </w:rPr>
        <w:t xml:space="preserve">Scope by category (ISG Art. 74b “Bereiche – Die Meldepflicht gilt für”)</w:t>
      </w:r>
      <w:r>
        <w:t xml:space="preserve"> </w:t>
      </w:r>
      <w:r>
        <w:t xml:space="preserve">includes, among other sectors, the following health-relevant categories:</w:t>
      </w:r>
    </w:p>
    <w:p>
      <w:pPr>
        <w:pStyle w:val="Compact"/>
        <w:numPr>
          <w:ilvl w:val="0"/>
          <w:numId w:val="1186"/>
        </w:numPr>
      </w:pPr>
      <w:r>
        <w:rPr>
          <w:b/>
          <w:bCs/>
        </w:rPr>
        <w:t xml:space="preserve">“Spitäler, die auf der kantonalen Spitalliste … aufgeführt sind”</w:t>
      </w:r>
      <w:r>
        <w:t xml:space="preserve"> </w:t>
      </w:r>
      <w:r>
        <w:t xml:space="preserve">(hospitals listed on a canton’s hospital list). (</w:t>
      </w:r>
      <w:hyperlink r:id="rId53">
        <w:r>
          <w:rPr>
            <w:rStyle w:val="Hyperlink"/>
          </w:rPr>
          <w:t xml:space="preserve">Newsd</w:t>
        </w:r>
      </w:hyperlink>
      <w:r>
        <w:t xml:space="preserve">)</w:t>
      </w:r>
    </w:p>
    <w:p>
      <w:pPr>
        <w:pStyle w:val="Compact"/>
        <w:numPr>
          <w:ilvl w:val="0"/>
          <w:numId w:val="1186"/>
        </w:numPr>
      </w:pPr>
      <w:r>
        <w:rPr>
          <w:b/>
          <w:bCs/>
        </w:rPr>
        <w:t xml:space="preserve">“medizinische Laboratorien mit einer Bewilligung … des Epidemiengesetzes”</w:t>
      </w:r>
      <w:r>
        <w:t xml:space="preserve"> </w:t>
      </w:r>
      <w:r>
        <w:t xml:space="preserve">(medical laboratories with a permit under the Epidemics Act). (</w:t>
      </w:r>
      <w:hyperlink r:id="rId53">
        <w:r>
          <w:rPr>
            <w:rStyle w:val="Hyperlink"/>
          </w:rPr>
          <w:t xml:space="preserve">Newsd</w:t>
        </w:r>
      </w:hyperlink>
      <w:r>
        <w:t xml:space="preserve">)</w:t>
      </w:r>
    </w:p>
    <w:p>
      <w:pPr>
        <w:pStyle w:val="Compact"/>
        <w:numPr>
          <w:ilvl w:val="0"/>
          <w:numId w:val="1186"/>
        </w:numPr>
      </w:pPr>
      <w:r>
        <w:rPr>
          <w:b/>
          <w:bCs/>
        </w:rPr>
        <w:t xml:space="preserve">“Unternehmen … [mit Bewilligung] … von Arzneimitteln … oder Medizinprodukte … herstellen oder vertreiben”</w:t>
      </w:r>
      <w:r>
        <w:t xml:space="preserve"> </w:t>
      </w:r>
      <w:r>
        <w:t xml:space="preserve">(companies authorised for medicines, and companies that manufacture or distribute medical devices as specified). (</w:t>
      </w:r>
      <w:hyperlink r:id="rId53">
        <w:r>
          <w:rPr>
            <w:rStyle w:val="Hyperlink"/>
          </w:rPr>
          <w:t xml:space="preserve">Newsd</w:t>
        </w:r>
      </w:hyperlink>
      <w:r>
        <w:t xml:space="preserve">)</w:t>
      </w:r>
    </w:p>
    <w:p>
      <w:pPr>
        <w:pStyle w:val="FirstParagraph"/>
      </w:pPr>
      <w:r>
        <w:rPr>
          <w:b/>
          <w:bCs/>
        </w:rPr>
        <w:t xml:space="preserve">Exclusion mechanism (ISG Art. 74c):</w:t>
      </w:r>
      <w:r>
        <w:t xml:space="preserve"> </w:t>
      </w:r>
      <w:r>
        <w:t xml:space="preserve">the Federal Council must exclude categories where cyberattack-caused outages/malfunctions are</w:t>
      </w:r>
      <w:r>
        <w:t xml:space="preserve"> </w:t>
      </w:r>
      <w:r>
        <w:rPr>
          <w:b/>
          <w:bCs/>
        </w:rPr>
        <w:t xml:space="preserve">unlikely</w:t>
      </w:r>
      <w:r>
        <w:t xml:space="preserve"> </w:t>
      </w:r>
      <w:r>
        <w:t xml:space="preserve">(e.g., low IT dependence) or would have</w:t>
      </w:r>
      <w:r>
        <w:t xml:space="preserve"> </w:t>
      </w:r>
      <w:r>
        <w:rPr>
          <w:b/>
          <w:bCs/>
        </w:rPr>
        <w:t xml:space="preserve">only minor impacts</w:t>
      </w:r>
      <w:r>
        <w:t xml:space="preserve"> </w:t>
      </w:r>
      <w:r>
        <w:t xml:space="preserve">(e.g., few persons affected; absorbed by other critical infrastructures; low macroeconomic loss potential). (</w:t>
      </w:r>
      <w:hyperlink r:id="rId53">
        <w:r>
          <w:rPr>
            <w:rStyle w:val="Hyperlink"/>
          </w:rPr>
          <w:t xml:space="preserve">Newsd</w:t>
        </w:r>
      </w:hyperlink>
      <w:r>
        <w:t xml:space="preserve">)</w:t>
      </w:r>
    </w:p>
    <w:p>
      <w:pPr>
        <w:pStyle w:val="BodyText"/>
      </w:pPr>
      <w:r>
        <w:rPr>
          <w:b/>
          <w:bCs/>
        </w:rPr>
        <w:t xml:space="preserve">Ordinance-level exclusions (CSV Art. 12):</w:t>
      </w:r>
    </w:p>
    <w:p>
      <w:pPr>
        <w:pStyle w:val="Compact"/>
        <w:numPr>
          <w:ilvl w:val="0"/>
          <w:numId w:val="1187"/>
        </w:numPr>
      </w:pPr>
      <w:r>
        <w:t xml:space="preserve">CSV specifies sectoral exclusion conditions for listed categories (e.g., higher education; energy; transport; post; civil aviation etc.).</w:t>
      </w:r>
    </w:p>
    <w:bookmarkEnd w:id="221"/>
    <w:bookmarkStart w:id="222" w:name="Xf4406b4b753800526cb9c152f76dbf802bfccfc"/>
    <w:p>
      <w:pPr>
        <w:pStyle w:val="Heading2"/>
      </w:pPr>
      <w:r>
        <w:t xml:space="preserve">Subsection B (The Thresholds): quantitative or qualitative tests</w:t>
      </w:r>
    </w:p>
    <w:p>
      <w:pPr>
        <w:pStyle w:val="FirstParagraph"/>
      </w:pPr>
      <w:r>
        <w:rPr>
          <w:b/>
          <w:bCs/>
        </w:rPr>
        <w:t xml:space="preserve">Reportable cyberattack conditions (ISG Art. 74d):</w:t>
      </w:r>
      <w:r>
        <w:t xml:space="preserve"> </w:t>
      </w:r>
      <w:r>
        <w:t xml:space="preserve">a cyberattack on a critical infrastructure must be reported if there are indications that:</w:t>
      </w:r>
    </w:p>
    <w:p>
      <w:pPr>
        <w:numPr>
          <w:ilvl w:val="0"/>
          <w:numId w:val="1188"/>
        </w:numPr>
      </w:pPr>
      <w:r>
        <w:rPr>
          <w:b/>
          <w:bCs/>
        </w:rPr>
        <w:t xml:space="preserve">functionality is endangered</w:t>
      </w:r>
      <w:r>
        <w:t xml:space="preserve"> </w:t>
      </w:r>
      <w:r>
        <w:t xml:space="preserve">(of the affected CI or another CI), or</w:t>
      </w:r>
    </w:p>
    <w:p>
      <w:pPr>
        <w:numPr>
          <w:ilvl w:val="0"/>
          <w:numId w:val="1188"/>
        </w:numPr>
      </w:pPr>
      <w:r>
        <w:rPr>
          <w:b/>
          <w:bCs/>
        </w:rPr>
        <w:t xml:space="preserve">a foreign state</w:t>
      </w:r>
      <w:r>
        <w:t xml:space="preserve"> </w:t>
      </w:r>
      <w:r>
        <w:t xml:space="preserve">executed/caused it, or</w:t>
      </w:r>
    </w:p>
    <w:p>
      <w:pPr>
        <w:numPr>
          <w:ilvl w:val="0"/>
          <w:numId w:val="1188"/>
        </w:numPr>
      </w:pPr>
      <w:r>
        <w:t xml:space="preserve">it</w:t>
      </w:r>
      <w:r>
        <w:t xml:space="preserve"> </w:t>
      </w:r>
      <w:r>
        <w:rPr>
          <w:b/>
          <w:bCs/>
        </w:rPr>
        <w:t xml:space="preserve">led to or could lead to</w:t>
      </w:r>
      <w:r>
        <w:t xml:space="preserve"> </w:t>
      </w:r>
      <w:r>
        <w:rPr>
          <w:b/>
          <w:bCs/>
        </w:rPr>
        <w:t xml:space="preserve">manipulation / outflow of information</w:t>
      </w:r>
      <w:r>
        <w:t xml:space="preserve">, or</w:t>
      </w:r>
    </w:p>
    <w:p>
      <w:pPr>
        <w:numPr>
          <w:ilvl w:val="0"/>
          <w:numId w:val="1188"/>
        </w:numPr>
      </w:pPr>
      <w:r>
        <w:t xml:space="preserve">it remained</w:t>
      </w:r>
      <w:r>
        <w:t xml:space="preserve"> </w:t>
      </w:r>
      <w:r>
        <w:rPr>
          <w:b/>
          <w:bCs/>
        </w:rPr>
        <w:t xml:space="preserve">undetected for more than 30 days</w:t>
      </w:r>
      <w:r>
        <w:t xml:space="preserve">;</w:t>
      </w:r>
    </w:p>
    <w:p>
      <w:pPr>
        <w:numPr>
          <w:ilvl w:val="0"/>
          <w:numId w:val="1000"/>
        </w:numPr>
      </w:pPr>
      <w:r>
        <w:t xml:space="preserve">and it</w:t>
      </w:r>
      <w:r>
        <w:t xml:space="preserve"> </w:t>
      </w:r>
      <w:r>
        <w:rPr>
          <w:b/>
          <w:bCs/>
        </w:rPr>
        <w:t xml:space="preserve">must always</w:t>
      </w:r>
      <w:r>
        <w:t xml:space="preserve"> </w:t>
      </w:r>
      <w:r>
        <w:t xml:space="preserve">be reported if linked to</w:t>
      </w:r>
      <w:r>
        <w:t xml:space="preserve"> </w:t>
      </w:r>
      <w:r>
        <w:rPr>
          <w:b/>
          <w:bCs/>
        </w:rPr>
        <w:t xml:space="preserve">extortion, threat, or coercion</w:t>
      </w:r>
      <w:r>
        <w:t xml:space="preserve"> </w:t>
      </w:r>
      <w:r>
        <w:t xml:space="preserve">against the operator or its employees. (</w:t>
      </w:r>
      <w:hyperlink r:id="rId53">
        <w:r>
          <w:rPr>
            <w:rStyle w:val="Hyperlink"/>
          </w:rPr>
          <w:t xml:space="preserve">Newsd</w:t>
        </w:r>
      </w:hyperlink>
      <w:r>
        <w:t xml:space="preserve">)</w:t>
      </w:r>
      <w:r>
        <w:t xml:space="preserve"> </w:t>
      </w:r>
      <w:r>
        <w:rPr>
          <w:b/>
          <w:bCs/>
        </w:rPr>
        <w:t xml:space="preserve">Ordinance definitions used for applying these tests (CSV Art. 14):</w:t>
      </w:r>
    </w:p>
    <w:p>
      <w:pPr>
        <w:numPr>
          <w:ilvl w:val="0"/>
          <w:numId w:val="1188"/>
        </w:numPr>
      </w:pPr>
      <w:r>
        <w:t xml:space="preserve">Functionality “endangered” if</w:t>
      </w:r>
      <w:r>
        <w:t xml:space="preserve"> </w:t>
      </w:r>
      <w:r>
        <w:rPr>
          <w:b/>
          <w:bCs/>
        </w:rPr>
        <w:t xml:space="preserve">employees/third parties are affected by system interruptions</w:t>
      </w:r>
      <w:r>
        <w:t xml:space="preserve"> </w:t>
      </w:r>
      <w:r>
        <w:t xml:space="preserve">or operations can be maintained</w:t>
      </w:r>
      <w:r>
        <w:t xml:space="preserve"> </w:t>
      </w:r>
      <w:r>
        <w:rPr>
          <w:b/>
          <w:bCs/>
        </w:rPr>
        <w:t xml:space="preserve">only using emergency plans</w:t>
      </w:r>
      <w:r>
        <w:t xml:space="preserve">.</w:t>
      </w:r>
    </w:p>
    <w:p>
      <w:pPr>
        <w:numPr>
          <w:ilvl w:val="0"/>
          <w:numId w:val="1188"/>
        </w:numPr>
      </w:pPr>
      <w:r>
        <w:t xml:space="preserve">“Manipulation / outflow” exists if</w:t>
      </w:r>
      <w:r>
        <w:t xml:space="preserve"> </w:t>
      </w:r>
      <w:r>
        <w:rPr>
          <w:b/>
          <w:bCs/>
        </w:rPr>
        <w:t xml:space="preserve">business-relevant information</w:t>
      </w:r>
      <w:r>
        <w:t xml:space="preserve"> </w:t>
      </w:r>
      <w:r>
        <w:t xml:space="preserve">is viewed/changed/disclosed by unauthorized persons, or a</w:t>
      </w:r>
      <w:r>
        <w:t xml:space="preserve"> </w:t>
      </w:r>
      <w:r>
        <w:rPr>
          <w:b/>
          <w:bCs/>
        </w:rPr>
        <w:t xml:space="preserve">data security breach notification under DSG Art. 24</w:t>
      </w:r>
      <w:r>
        <w:t xml:space="preserve"> </w:t>
      </w:r>
      <w:r>
        <w:t xml:space="preserve">has been made.</w:t>
      </w:r>
    </w:p>
    <w:p>
      <w:pPr>
        <w:numPr>
          <w:ilvl w:val="0"/>
          <w:numId w:val="1188"/>
        </w:numPr>
      </w:pPr>
      <w:r>
        <w:t xml:space="preserve">“Undetected for a longer period” is defined as</w:t>
      </w:r>
      <w:r>
        <w:t xml:space="preserve"> </w:t>
      </w:r>
      <w:r>
        <w:rPr>
          <w:b/>
          <w:bCs/>
        </w:rPr>
        <w:t xml:space="preserve">more than 90 days</w:t>
      </w:r>
      <w:r>
        <w:t xml:space="preserve"> </w:t>
      </w:r>
      <w:r>
        <w:t xml:space="preserve">since the incident.</w:t>
      </w:r>
    </w:p>
    <w:p>
      <w:pPr>
        <w:numPr>
          <w:ilvl w:val="0"/>
          <w:numId w:val="1188"/>
        </w:numPr>
      </w:pPr>
      <w:r>
        <w:t xml:space="preserve">“Extortion/threat/coercion” link is defined by CSV.</w:t>
      </w:r>
    </w:p>
    <w:bookmarkEnd w:id="222"/>
    <w:bookmarkStart w:id="223" w:name="grading-tiering-scheme-4"/>
    <w:p>
      <w:pPr>
        <w:pStyle w:val="Heading2"/>
      </w:pPr>
      <w:r>
        <w:t xml:space="preserve">Grading / tiering scheme</w:t>
      </w:r>
    </w:p>
    <w:p>
      <w:pPr>
        <w:pStyle w:val="Compact"/>
        <w:numPr>
          <w:ilvl w:val="0"/>
          <w:numId w:val="1189"/>
        </w:numPr>
      </w:pPr>
      <w:r>
        <w:rPr>
          <w:b/>
          <w:bCs/>
        </w:rPr>
        <w:t xml:space="preserve">Binary scheme (in-scope vs out-of-scope)</w:t>
      </w:r>
      <w:r>
        <w:t xml:space="preserve">: the reporting duty applies if the entity falls within</w:t>
      </w:r>
      <w:r>
        <w:t xml:space="preserve"> </w:t>
      </w:r>
      <w:r>
        <w:rPr>
          <w:b/>
          <w:bCs/>
        </w:rPr>
        <w:t xml:space="preserve">ISG Art. 74b</w:t>
      </w:r>
      <w:r>
        <w:t xml:space="preserve"> </w:t>
      </w:r>
      <w:r>
        <w:t xml:space="preserve">and is not excluded under</w:t>
      </w:r>
      <w:r>
        <w:t xml:space="preserve"> </w:t>
      </w:r>
      <w:r>
        <w:rPr>
          <w:b/>
          <w:bCs/>
        </w:rPr>
        <w:t xml:space="preserve">ISG Art. 74c / CSV Art. 12</w:t>
      </w:r>
      <w:r>
        <w:t xml:space="preserve">. (</w:t>
      </w:r>
      <w:hyperlink r:id="rId53">
        <w:r>
          <w:rPr>
            <w:rStyle w:val="Hyperlink"/>
          </w:rPr>
          <w:t xml:space="preserve">Newsd</w:t>
        </w:r>
      </w:hyperlink>
      <w:r>
        <w:t xml:space="preserve">)</w:t>
      </w:r>
    </w:p>
    <w:bookmarkEnd w:id="223"/>
    <w:bookmarkStart w:id="224" w:name="X84ee95802e3b7bb50ace8ce2b823cf3c9981ece"/>
    <w:p>
      <w:pPr>
        <w:pStyle w:val="Heading2"/>
      </w:pPr>
      <w:r>
        <w:t xml:space="preserve">Incident reporting tests and thresholds</w:t>
      </w:r>
    </w:p>
    <w:p>
      <w:pPr>
        <w:pStyle w:val="FirstParagraph"/>
      </w:pPr>
      <w:r>
        <w:rPr>
          <w:b/>
          <w:bCs/>
        </w:rPr>
        <w:t xml:space="preserve">Deadlines (primary text):</w:t>
      </w:r>
    </w:p>
    <w:p>
      <w:pPr>
        <w:pStyle w:val="Compact"/>
        <w:numPr>
          <w:ilvl w:val="0"/>
          <w:numId w:val="1190"/>
        </w:numPr>
      </w:pPr>
      <w:r>
        <w:rPr>
          <w:b/>
          <w:bCs/>
        </w:rPr>
        <w:t xml:space="preserve">24-hour reporting period:</w:t>
      </w:r>
      <w:r>
        <w:t xml:space="preserve"> </w:t>
      </w:r>
      <w:r>
        <w:t xml:space="preserve">CSV refers to a</w:t>
      </w:r>
      <w:r>
        <w:t xml:space="preserve"> </w:t>
      </w:r>
      <w:r>
        <w:rPr>
          <w:b/>
          <w:bCs/>
        </w:rPr>
        <w:t xml:space="preserve">“Meldefrist von 24 Stunden nach der Entdeckung des Cyberangriffs”</w:t>
      </w:r>
      <w:r>
        <w:t xml:space="preserve"> </w:t>
      </w:r>
      <w:r>
        <w:t xml:space="preserve">(reporting period of 24 hours after discovery).</w:t>
      </w:r>
    </w:p>
    <w:p>
      <w:pPr>
        <w:pStyle w:val="Compact"/>
        <w:numPr>
          <w:ilvl w:val="0"/>
          <w:numId w:val="1190"/>
        </w:numPr>
      </w:pPr>
      <w:r>
        <w:rPr>
          <w:b/>
          <w:bCs/>
        </w:rPr>
        <w:t xml:space="preserve">Completion window (if information is missing):</w:t>
      </w:r>
      <w:r>
        <w:t xml:space="preserve"> </w:t>
      </w:r>
      <w:r>
        <w:t xml:space="preserve">if not all required information is known within the 24-hour period, BACS grants</w:t>
      </w:r>
      <w:r>
        <w:t xml:space="preserve"> </w:t>
      </w:r>
      <w:r>
        <w:rPr>
          <w:b/>
          <w:bCs/>
        </w:rPr>
        <w:t xml:space="preserve">14 days</w:t>
      </w:r>
      <w:r>
        <w:t xml:space="preserve"> </w:t>
      </w:r>
      <w:r>
        <w:t xml:space="preserve">to supplement the report.</w:t>
      </w:r>
    </w:p>
    <w:p>
      <w:pPr>
        <w:pStyle w:val="FirstParagraph"/>
      </w:pPr>
      <w:r>
        <w:rPr>
          <w:b/>
          <w:bCs/>
        </w:rPr>
        <w:t xml:space="preserve">Triggers (primary text):</w:t>
      </w:r>
    </w:p>
    <w:p>
      <w:pPr>
        <w:pStyle w:val="Compact"/>
        <w:numPr>
          <w:ilvl w:val="0"/>
          <w:numId w:val="1191"/>
        </w:numPr>
      </w:pPr>
      <w:r>
        <w:rPr>
          <w:b/>
          <w:bCs/>
        </w:rPr>
        <w:t xml:space="preserve">ISG Art. 74d</w:t>
      </w:r>
      <w:r>
        <w:t xml:space="preserve"> </w:t>
      </w:r>
      <w:r>
        <w:t xml:space="preserve">conditions (functionality endangered; foreign state; manipulation/outflow; undetected &gt;30 days; always if extortion/threat/coercion). (</w:t>
      </w:r>
      <w:hyperlink r:id="rId53">
        <w:r>
          <w:rPr>
            <w:rStyle w:val="Hyperlink"/>
          </w:rPr>
          <w:t xml:space="preserve">Newsd</w:t>
        </w:r>
      </w:hyperlink>
      <w:r>
        <w:t xml:space="preserve">)</w:t>
      </w:r>
    </w:p>
    <w:p>
      <w:pPr>
        <w:pStyle w:val="Compact"/>
        <w:numPr>
          <w:ilvl w:val="0"/>
          <w:numId w:val="1191"/>
        </w:numPr>
      </w:pPr>
      <w:r>
        <w:rPr>
          <w:b/>
          <w:bCs/>
        </w:rPr>
        <w:t xml:space="preserve">CSV Art. 14</w:t>
      </w:r>
      <w:r>
        <w:t xml:space="preserve"> </w:t>
      </w:r>
      <w:r>
        <w:t xml:space="preserve">definitions for applying “functionality endangered”, “manipulation/outflow”, “undetected”, and “extortion/threat/coercion”.</w:t>
      </w:r>
    </w:p>
    <w:bookmarkEnd w:id="224"/>
    <w:bookmarkStart w:id="225" w:name="X37af2cb95591fbac49055e47026741fd9e5b364"/>
    <w:p>
      <w:pPr>
        <w:pStyle w:val="Heading2"/>
      </w:pPr>
      <w:r>
        <w:t xml:space="preserve">Health information systems “most likely” designated</w:t>
      </w:r>
    </w:p>
    <w:bookmarkEnd w:id="225"/>
    <w:bookmarkStart w:id="226" w:name="explicit-in-law"/>
    <w:p>
      <w:pPr>
        <w:pStyle w:val="Heading2"/>
      </w:pPr>
      <w:r>
        <w:t xml:space="preserve">Explicit in law</w:t>
      </w:r>
    </w:p>
    <w:p>
      <w:pPr>
        <w:pStyle w:val="Compact"/>
        <w:numPr>
          <w:ilvl w:val="0"/>
          <w:numId w:val="1192"/>
        </w:numPr>
      </w:pPr>
      <w:r>
        <w:t xml:space="preserve">The primary instruments define</w:t>
      </w:r>
      <w:r>
        <w:t xml:space="preserve"> </w:t>
      </w:r>
      <w:r>
        <w:rPr>
          <w:b/>
          <w:bCs/>
        </w:rPr>
        <w:t xml:space="preserve">entity categories</w:t>
      </w:r>
      <w:r>
        <w:t xml:space="preserve"> </w:t>
      </w:r>
      <w:r>
        <w:t xml:space="preserve">(e.g., hospitals on cantonal hospital lists; permitted medical laboratories; authorised medicines/medical-device businesses). They do</w:t>
      </w:r>
      <w:r>
        <w:t xml:space="preserve"> </w:t>
      </w:r>
      <w:r>
        <w:rPr>
          <w:b/>
          <w:bCs/>
        </w:rPr>
        <w:t xml:space="preserve">not</w:t>
      </w:r>
      <w:r>
        <w:t xml:space="preserve"> </w:t>
      </w:r>
      <w:r>
        <w:t xml:space="preserve">list specific health</w:t>
      </w:r>
      <w:r>
        <w:t xml:space="preserve"> </w:t>
      </w:r>
      <w:r>
        <w:rPr>
          <w:b/>
          <w:bCs/>
        </w:rPr>
        <w:t xml:space="preserve">information system types</w:t>
      </w:r>
      <w:r>
        <w:t xml:space="preserve"> </w:t>
      </w:r>
      <w:r>
        <w:t xml:space="preserve">(e.g., EHR, PACS) as named items. (</w:t>
      </w:r>
      <w:hyperlink r:id="rId53">
        <w:r>
          <w:rPr>
            <w:rStyle w:val="Hyperlink"/>
          </w:rPr>
          <w:t xml:space="preserve">Newsd</w:t>
        </w:r>
      </w:hyperlink>
      <w:r>
        <w:t xml:space="preserve">)</w:t>
      </w:r>
    </w:p>
    <w:bookmarkEnd w:id="226"/>
    <w:bookmarkStart w:id="227" w:name="public-vs-confidential-5"/>
    <w:p>
      <w:pPr>
        <w:pStyle w:val="Heading2"/>
      </w:pPr>
      <w:r>
        <w:t xml:space="preserve">Public vs Confidential</w:t>
      </w:r>
    </w:p>
    <w:p>
      <w:pPr>
        <w:pStyle w:val="Compact"/>
        <w:numPr>
          <w:ilvl w:val="0"/>
          <w:numId w:val="1193"/>
        </w:numPr>
      </w:pPr>
      <w:r>
        <w:rPr>
          <w:b/>
          <w:bCs/>
        </w:rPr>
        <w:t xml:space="preserve">Public:</w:t>
      </w:r>
      <w:r>
        <w:t xml:space="preserve"> </w:t>
      </w:r>
      <w:r>
        <w:t xml:space="preserve">ISG and CSV texts (scope categories; exclusions; reportable-incident tests; deadlines; ordinance entry-into-force). (</w:t>
      </w:r>
      <w:hyperlink r:id="rId53">
        <w:r>
          <w:rPr>
            <w:rStyle w:val="Hyperlink"/>
          </w:rPr>
          <w:t xml:space="preserve">Newsd</w:t>
        </w:r>
      </w:hyperlink>
      <w:r>
        <w:t xml:space="preserve">)</w:t>
      </w:r>
    </w:p>
    <w:p>
      <w:pPr>
        <w:pStyle w:val="Compact"/>
        <w:numPr>
          <w:ilvl w:val="0"/>
          <w:numId w:val="1193"/>
        </w:numPr>
      </w:pPr>
      <w:r>
        <w:rPr>
          <w:b/>
          <w:bCs/>
        </w:rPr>
        <w:t xml:space="preserve">Confidential / not in these primary texts:</w:t>
      </w:r>
      <w:r>
        <w:t xml:space="preserve"> </w:t>
      </w:r>
      <w:r>
        <w:t xml:space="preserve">no consolidated list of specific obligated entities is provided in ISG/CSV; certain categories reference external legal lists/permits (e.g., “kantonale Spitalliste”; Epidemics Act permits). (</w:t>
      </w:r>
      <w:hyperlink r:id="rId53">
        <w:r>
          <w:rPr>
            <w:rStyle w:val="Hyperlink"/>
          </w:rPr>
          <w:t xml:space="preserve">Newsd</w:t>
        </w:r>
      </w:hyperlink>
      <w:r>
        <w:t xml:space="preserve">)</w:t>
      </w:r>
    </w:p>
    <w:bookmarkEnd w:id="227"/>
    <w:bookmarkStart w:id="228" w:name="latest-updates-20252026-1"/>
    <w:p>
      <w:pPr>
        <w:pStyle w:val="Heading2"/>
      </w:pPr>
      <w:r>
        <w:t xml:space="preserve">Latest updates (2025–2026)</w:t>
      </w:r>
    </w:p>
    <w:p>
      <w:pPr>
        <w:pStyle w:val="Compact"/>
        <w:numPr>
          <w:ilvl w:val="0"/>
          <w:numId w:val="1194"/>
        </w:numPr>
      </w:pPr>
      <w:r>
        <w:rPr>
          <w:b/>
          <w:bCs/>
        </w:rPr>
        <w:t xml:space="preserve">CSV entry into force:</w:t>
      </w:r>
      <w:r>
        <w:t xml:space="preserve"> </w:t>
      </w:r>
      <w:r>
        <w:t xml:space="preserve">“Diese Verordnung tritt am</w:t>
      </w:r>
      <w:r>
        <w:t xml:space="preserve"> </w:t>
      </w:r>
      <w:r>
        <w:rPr>
          <w:b/>
          <w:bCs/>
        </w:rPr>
        <w:t xml:space="preserve">1. April 2025</w:t>
      </w:r>
      <w:r>
        <w:t xml:space="preserve"> </w:t>
      </w:r>
      <w:r>
        <w:t xml:space="preserve">in Kraft.” (CSV Art. 19).</w:t>
      </w:r>
    </w:p>
    <w:p>
      <w:pPr>
        <w:pStyle w:val="Compact"/>
        <w:numPr>
          <w:ilvl w:val="0"/>
          <w:numId w:val="1194"/>
        </w:numPr>
      </w:pPr>
      <w:r>
        <w:rPr>
          <w:b/>
          <w:bCs/>
        </w:rPr>
        <w:t xml:space="preserve">No additional 2025–2026 amendments</w:t>
      </w:r>
      <w:r>
        <w:t xml:space="preserve"> </w:t>
      </w:r>
      <w:r>
        <w:t xml:space="preserve">are stated in the accessed primary texts beyond the above entry-into-force provision.</w:t>
      </w:r>
    </w:p>
    <w:bookmarkEnd w:id="228"/>
    <w:bookmarkStart w:id="229" w:name="references-switzerland"/>
    <w:p>
      <w:pPr>
        <w:pStyle w:val="Heading2"/>
      </w:pPr>
      <w:r>
        <w:t xml:space="preserve">References (Switzerland)</w:t>
      </w:r>
    </w:p>
    <w:p>
      <w:pPr>
        <w:pStyle w:val="Compact"/>
        <w:numPr>
          <w:ilvl w:val="0"/>
          <w:numId w:val="1195"/>
        </w:numPr>
      </w:pPr>
      <w:r>
        <w:rPr>
          <w:b/>
          <w:bCs/>
        </w:rPr>
        <w:t xml:space="preserve">Federal Council (Bund).</w:t>
      </w:r>
      <w:r>
        <w:t xml:space="preserve"> </w:t>
      </w:r>
      <w:r>
        <w:rPr>
          <w:i/>
          <w:iCs/>
        </w:rPr>
        <w:t xml:space="preserve">Informationssicherheitsgesetz (ISG)</w:t>
      </w:r>
      <w:r>
        <w:t xml:space="preserve">. (</w:t>
      </w:r>
      <w:hyperlink r:id="rId53">
        <w:r>
          <w:rPr>
            <w:rStyle w:val="Hyperlink"/>
          </w:rPr>
          <w:t xml:space="preserve">pdf</w:t>
        </w:r>
      </w:hyperlink>
      <w:r>
        <w:t xml:space="preserve">)</w:t>
      </w:r>
    </w:p>
    <w:p>
      <w:pPr>
        <w:pStyle w:val="Compact"/>
        <w:numPr>
          <w:ilvl w:val="0"/>
          <w:numId w:val="1195"/>
        </w:numPr>
      </w:pPr>
      <w:r>
        <w:rPr>
          <w:b/>
          <w:bCs/>
        </w:rPr>
        <w:t xml:space="preserve">Federal Council (Bund).</w:t>
      </w:r>
      <w:r>
        <w:t xml:space="preserve"> </w:t>
      </w:r>
      <w:r>
        <w:rPr>
          <w:i/>
          <w:iCs/>
        </w:rPr>
        <w:t xml:space="preserve">Cybersicherheitsverordnung (CSV)</w:t>
      </w:r>
      <w:r>
        <w:t xml:space="preserve">. (</w:t>
      </w:r>
      <w:hyperlink r:id="rId54">
        <w:r>
          <w:rPr>
            <w:rStyle w:val="Hyperlink"/>
          </w:rPr>
          <w:t xml:space="preserve">Fedlex</w:t>
        </w:r>
      </w:hyperlink>
      <w:r>
        <w:t xml:space="preserve">)</w:t>
      </w:r>
    </w:p>
    <w:p>
      <w:pPr>
        <w:sectPr>
          <w:footerReference w:type="first" r:id="rId13"/>
          <w:footerReference w:type="default" r:id="rId11"/>
          <w:footerReference w:type="even" r:id="rId10"/>
          <w:type w:val="nextPage"/>
        </w:sectPr>
      </w:pPr>
    </w:p>
    <w:bookmarkEnd w:id="229"/>
    <w:bookmarkEnd w:id="230"/>
    <w:bookmarkStart w:id="243" w:name="taiwan"/>
    <w:p>
      <w:pPr>
        <w:pStyle w:val="Heading1"/>
      </w:pPr>
      <w:r>
        <w:t xml:space="preserve">TAIWAN</w:t>
      </w:r>
    </w:p>
    <w:bookmarkStart w:id="231" w:name="Xd6f37437305552367f46666da8d137e6ed65d6d"/>
    <w:p>
      <w:pPr>
        <w:pStyle w:val="Heading2"/>
      </w:pPr>
      <w:r>
        <w:t xml:space="preserve">Final categories (what is “highest critical / protected”)</w:t>
      </w:r>
    </w:p>
    <w:p>
      <w:pPr>
        <w:numPr>
          <w:ilvl w:val="0"/>
          <w:numId w:val="1196"/>
        </w:numPr>
      </w:pPr>
      <w:r>
        <w:rPr>
          <w:b/>
          <w:bCs/>
        </w:rPr>
        <w:t xml:space="preserve">Critical infrastructure providers</w:t>
      </w:r>
    </w:p>
    <w:p>
      <w:pPr>
        <w:numPr>
          <w:ilvl w:val="0"/>
          <w:numId w:val="1000"/>
        </w:numPr>
      </w:pPr>
      <w:r>
        <w:rPr>
          <w:b/>
          <w:bCs/>
        </w:rPr>
        <w:t xml:space="preserve">Primary basis:</w:t>
      </w:r>
      <w:r>
        <w:t xml:space="preserve"> </w:t>
      </w:r>
      <w:r>
        <w:rPr>
          <w:b/>
          <w:bCs/>
        </w:rPr>
        <w:t xml:space="preserve">Cyber Security Management Act (CSMA)</w:t>
      </w:r>
      <w:r>
        <w:t xml:space="preserve"> </w:t>
      </w:r>
      <w:r>
        <w:t xml:space="preserve">— Chapter III,</w:t>
      </w:r>
      <w:r>
        <w:t xml:space="preserve"> </w:t>
      </w:r>
      <w:r>
        <w:rPr>
          <w:b/>
          <w:bCs/>
        </w:rPr>
        <w:t xml:space="preserve">Article 20</w:t>
      </w:r>
      <w:r>
        <w:t xml:space="preserve"> </w:t>
      </w:r>
      <w:r>
        <w:t xml:space="preserve">(designation + obligations for “critical infrastructure providers”). (</w:t>
      </w:r>
      <w:hyperlink r:id="rId53">
        <w:r>
          <w:rPr>
            <w:rStyle w:val="Hyperlink"/>
          </w:rPr>
          <w:t xml:space="preserve">Law Moda</w:t>
        </w:r>
      </w:hyperlink>
      <w:r>
        <w:t xml:space="preserve">)</w:t>
      </w:r>
    </w:p>
    <w:p>
      <w:pPr>
        <w:numPr>
          <w:ilvl w:val="0"/>
          <w:numId w:val="1196"/>
        </w:numPr>
      </w:pPr>
      <w:r>
        <w:rPr>
          <w:b/>
          <w:bCs/>
        </w:rPr>
        <w:t xml:space="preserve">Specific non-government agencies</w:t>
      </w:r>
      <w:r>
        <w:t xml:space="preserve"> </w:t>
      </w:r>
      <w:r>
        <w:t xml:space="preserve">(regulated non-government entities, including CI providers and others covered by the Act)</w:t>
      </w:r>
    </w:p>
    <w:p>
      <w:pPr>
        <w:numPr>
          <w:ilvl w:val="0"/>
          <w:numId w:val="1000"/>
        </w:numPr>
      </w:pPr>
      <w:r>
        <w:rPr>
          <w:b/>
          <w:bCs/>
        </w:rPr>
        <w:t xml:space="preserve">Primary basis:</w:t>
      </w:r>
      <w:r>
        <w:t xml:space="preserve"> </w:t>
      </w:r>
      <w:r>
        <w:rPr>
          <w:b/>
          <w:bCs/>
        </w:rPr>
        <w:t xml:space="preserve">CSMA</w:t>
      </w:r>
      <w:r>
        <w:t xml:space="preserve"> </w:t>
      </w:r>
      <w:r>
        <w:t xml:space="preserve">— Chapter III (e.g.,</w:t>
      </w:r>
      <w:r>
        <w:t xml:space="preserve"> </w:t>
      </w:r>
      <w:r>
        <w:rPr>
          <w:b/>
          <w:bCs/>
        </w:rPr>
        <w:t xml:space="preserve">Articles 21–24</w:t>
      </w:r>
      <w:r>
        <w:t xml:space="preserve"> </w:t>
      </w:r>
      <w:r>
        <w:t xml:space="preserve">set obligations for “specific non-government agencies,” including incident notification/reporting mechanisms). (</w:t>
      </w:r>
      <w:hyperlink r:id="rId53">
        <w:r>
          <w:rPr>
            <w:rStyle w:val="Hyperlink"/>
          </w:rPr>
          <w:t xml:space="preserve">Law Moda</w:t>
        </w:r>
      </w:hyperlink>
      <w:r>
        <w:t xml:space="preserve">)</w:t>
      </w:r>
    </w:p>
    <w:p>
      <w:pPr>
        <w:numPr>
          <w:ilvl w:val="0"/>
          <w:numId w:val="1196"/>
        </w:numPr>
      </w:pPr>
      <w:r>
        <w:rPr>
          <w:b/>
          <w:bCs/>
        </w:rPr>
        <w:t xml:space="preserve">Critical Information Infrastructure (CII)</w:t>
      </w:r>
      <w:r>
        <w:t xml:space="preserve"> </w:t>
      </w:r>
      <w:r>
        <w:t xml:space="preserve">(defined within Taiwan’s national CI protection guidance)</w:t>
      </w:r>
    </w:p>
    <w:p>
      <w:pPr>
        <w:numPr>
          <w:ilvl w:val="0"/>
          <w:numId w:val="1000"/>
        </w:numPr>
      </w:pPr>
      <w:r>
        <w:rPr>
          <w:b/>
          <w:bCs/>
        </w:rPr>
        <w:t xml:space="preserve">Primary basis:</w:t>
      </w:r>
      <w:r>
        <w:t xml:space="preserve"> </w:t>
      </w:r>
      <w:r>
        <w:rPr>
          <w:b/>
          <w:bCs/>
        </w:rPr>
        <w:t xml:space="preserve">Executive Yuan Office of Homeland Security (OHS)</w:t>
      </w:r>
      <w:r>
        <w:t xml:space="preserve"> </w:t>
      </w:r>
      <w:r>
        <w:t xml:space="preserve">—</w:t>
      </w:r>
      <w:r>
        <w:t xml:space="preserve"> </w:t>
      </w:r>
      <w:r>
        <w:rPr>
          <w:i/>
          <w:iCs/>
        </w:rPr>
        <w:t xml:space="preserve">Guidelines for National Critical Infrastructure Protection</w:t>
      </w:r>
      <w:r>
        <w:t xml:space="preserve"> </w:t>
      </w:r>
      <w:r>
        <w:t xml:space="preserve">(definition of</w:t>
      </w:r>
      <w:r>
        <w:t xml:space="preserve"> </w:t>
      </w:r>
      <w:r>
        <w:rPr>
          <w:b/>
          <w:bCs/>
        </w:rPr>
        <w:t xml:space="preserve">CII</w:t>
      </w:r>
      <w:r>
        <w:t xml:space="preserve"> </w:t>
      </w:r>
      <w:r>
        <w:t xml:space="preserve">as systems/SCADA supporting continuous operation of national critical infrastructures).</w:t>
      </w:r>
    </w:p>
    <w:bookmarkEnd w:id="231"/>
    <w:bookmarkStart w:id="232" w:name="Xf534ffba79262348bacd2456b776b95df175674"/>
    <w:p>
      <w:pPr>
        <w:pStyle w:val="Heading2"/>
      </w:pPr>
      <w:r>
        <w:t xml:space="preserve">Exact legal / regulatory criteria (what triggers inclusion)</w:t>
      </w:r>
    </w:p>
    <w:bookmarkEnd w:id="232"/>
    <w:bookmarkStart w:id="233" w:name="a-the-definition-scope-text-1"/>
    <w:p>
      <w:pPr>
        <w:pStyle w:val="Heading2"/>
      </w:pPr>
      <w:r>
        <w:t xml:space="preserve">A) The Definition (scope text)</w:t>
      </w:r>
    </w:p>
    <w:p>
      <w:pPr>
        <w:pStyle w:val="Compact"/>
        <w:numPr>
          <w:ilvl w:val="0"/>
          <w:numId w:val="1197"/>
        </w:numPr>
      </w:pPr>
      <w:r>
        <w:rPr>
          <w:b/>
          <w:bCs/>
        </w:rPr>
        <w:t xml:space="preserve">National Critical Infrastructure (CI)</w:t>
      </w:r>
      <w:r>
        <w:t xml:space="preserve"> </w:t>
      </w:r>
      <w:r>
        <w:t xml:space="preserve">definition (OHS Guidelines): assets/systems/networks (public/private; physical/virtual) whose disruption may negatively impact government/society, cause casualties, losses, economic downturn, environmental changes, or damage national security/interests.</w:t>
      </w:r>
    </w:p>
    <w:p>
      <w:pPr>
        <w:pStyle w:val="Compact"/>
        <w:numPr>
          <w:ilvl w:val="0"/>
          <w:numId w:val="1197"/>
        </w:numPr>
      </w:pPr>
      <w:r>
        <w:rPr>
          <w:b/>
          <w:bCs/>
        </w:rPr>
        <w:t xml:space="preserve">Critical Information Infrastructure (CII)</w:t>
      </w:r>
      <w:r>
        <w:t xml:space="preserve"> </w:t>
      </w:r>
      <w:r>
        <w:t xml:space="preserve">definition (OHS Guidelines): “vital information and communication systems or SCADA” dealing with core task functions and supporting continuous operation of national CI; managed under a single authority according to the CI sector it belongs to.</w:t>
      </w:r>
    </w:p>
    <w:p>
      <w:pPr>
        <w:pStyle w:val="Compact"/>
        <w:numPr>
          <w:ilvl w:val="0"/>
          <w:numId w:val="1197"/>
        </w:numPr>
      </w:pPr>
      <w:r>
        <w:rPr>
          <w:b/>
          <w:bCs/>
        </w:rPr>
        <w:t xml:space="preserve">Critical infrastructure providers</w:t>
      </w:r>
      <w:r>
        <w:t xml:space="preserve"> </w:t>
      </w:r>
      <w:r>
        <w:t xml:space="preserve">designation construct (CSMA Article 20): the central competent authority for the relevant sector</w:t>
      </w:r>
      <w:r>
        <w:t xml:space="preserve"> </w:t>
      </w:r>
      <w:r>
        <w:rPr>
          <w:b/>
          <w:bCs/>
        </w:rPr>
        <w:t xml:space="preserve">designates critical infrastructure providers</w:t>
      </w:r>
      <w:r>
        <w:t xml:space="preserve">, submits the designation</w:t>
      </w:r>
      <w:r>
        <w:t xml:space="preserve"> </w:t>
      </w:r>
      <w:r>
        <w:rPr>
          <w:b/>
          <w:bCs/>
        </w:rPr>
        <w:t xml:space="preserve">for approval by the Executive Yuan</w:t>
      </w:r>
      <w:r>
        <w:t xml:space="preserve">, and notifies approved entities in writing. (</w:t>
      </w:r>
      <w:hyperlink r:id="rId53">
        <w:r>
          <w:rPr>
            <w:rStyle w:val="Hyperlink"/>
          </w:rPr>
          <w:t xml:space="preserve">Law Moda</w:t>
        </w:r>
      </w:hyperlink>
      <w:r>
        <w:t xml:space="preserve">)</w:t>
      </w:r>
    </w:p>
    <w:bookmarkEnd w:id="233"/>
    <w:bookmarkStart w:id="234" w:name="X603ad0a19d80b4491746bc9c7688f809cf66fe6"/>
    <w:p>
      <w:pPr>
        <w:pStyle w:val="Heading2"/>
      </w:pPr>
      <w:r>
        <w:t xml:space="preserve">B) The Thresholds (quantitative / qualitative tests)</w:t>
      </w:r>
    </w:p>
    <w:p>
      <w:pPr>
        <w:pStyle w:val="Compact"/>
        <w:numPr>
          <w:ilvl w:val="0"/>
          <w:numId w:val="1198"/>
        </w:numPr>
      </w:pPr>
      <w:r>
        <w:rPr>
          <w:b/>
          <w:bCs/>
        </w:rPr>
        <w:t xml:space="preserve">No numeric thresholds are stated</w:t>
      </w:r>
      <w:r>
        <w:t xml:space="preserve"> </w:t>
      </w:r>
      <w:r>
        <w:t xml:space="preserve">in the cited legal text for when an entity becomes a “critical infrastructure provider.” The designation mechanism is described as an administrative designation/approval process (CSMA Article 20). (</w:t>
      </w:r>
      <w:hyperlink r:id="rId53">
        <w:r>
          <w:rPr>
            <w:rStyle w:val="Hyperlink"/>
          </w:rPr>
          <w:t xml:space="preserve">Law Moda</w:t>
        </w:r>
      </w:hyperlink>
      <w:r>
        <w:t xml:space="preserve">)</w:t>
      </w:r>
    </w:p>
    <w:bookmarkEnd w:id="234"/>
    <w:bookmarkStart w:id="235" w:name="grading-tiering-scheme-5"/>
    <w:p>
      <w:pPr>
        <w:pStyle w:val="Heading2"/>
      </w:pPr>
      <w:r>
        <w:t xml:space="preserve">Grading / tiering scheme</w:t>
      </w:r>
    </w:p>
    <w:p>
      <w:pPr>
        <w:numPr>
          <w:ilvl w:val="0"/>
          <w:numId w:val="1199"/>
        </w:numPr>
      </w:pPr>
      <w:r>
        <w:rPr>
          <w:b/>
          <w:bCs/>
        </w:rPr>
        <w:t xml:space="preserve">Cyber security responsibility levels (A–E)</w:t>
      </w:r>
      <w:r>
        <w:t xml:space="preserve"> </w:t>
      </w:r>
      <w:r>
        <w:t xml:space="preserve">(classified</w:t>
      </w:r>
      <w:r>
        <w:t xml:space="preserve"> </w:t>
      </w:r>
      <w:r>
        <w:rPr>
          <w:b/>
          <w:bCs/>
        </w:rPr>
        <w:t xml:space="preserve">from high to low</w:t>
      </w:r>
      <w:r>
        <w:t xml:space="preserve">):</w:t>
      </w:r>
      <w:r>
        <w:t xml:space="preserve"> </w:t>
      </w:r>
      <w:r>
        <w:rPr>
          <w:b/>
          <w:bCs/>
        </w:rPr>
        <w:t xml:space="preserve">Level-A, Level-B, Level-C, Level-D, Level-E</w:t>
      </w:r>
      <w:r>
        <w:t xml:space="preserve">.</w:t>
      </w:r>
    </w:p>
    <w:p>
      <w:pPr>
        <w:numPr>
          <w:ilvl w:val="0"/>
          <w:numId w:val="1000"/>
        </w:numPr>
      </w:pPr>
      <w:r>
        <w:rPr>
          <w:b/>
          <w:bCs/>
        </w:rPr>
        <w:t xml:space="preserve">Primary basis:</w:t>
      </w:r>
      <w:r>
        <w:t xml:space="preserve"> </w:t>
      </w:r>
      <w:r>
        <w:rPr>
          <w:i/>
          <w:iCs/>
        </w:rPr>
        <w:t xml:space="preserve">Regulations on Classification of Cyber Security Responsibility Levels</w:t>
      </w:r>
      <w:r>
        <w:t xml:space="preserve">,</w:t>
      </w:r>
      <w:r>
        <w:t xml:space="preserve"> </w:t>
      </w:r>
      <w:r>
        <w:rPr>
          <w:b/>
          <w:bCs/>
        </w:rPr>
        <w:t xml:space="preserve">Article 2</w:t>
      </w:r>
      <w:r>
        <w:t xml:space="preserve"> </w:t>
      </w:r>
      <w:r>
        <w:t xml:space="preserve">(as published in MODA’s CSMA-related regulations compilation). (</w:t>
      </w:r>
      <w:hyperlink r:id="rId54">
        <w:r>
          <w:rPr>
            <w:rStyle w:val="Hyperlink"/>
          </w:rPr>
          <w:t xml:space="preserve">Ministry of Digital Affairs</w:t>
        </w:r>
      </w:hyperlink>
      <w:r>
        <w:t xml:space="preserve">)</w:t>
      </w:r>
    </w:p>
    <w:p>
      <w:pPr>
        <w:numPr>
          <w:ilvl w:val="0"/>
          <w:numId w:val="1199"/>
        </w:numPr>
      </w:pPr>
      <w:r>
        <w:rPr>
          <w:b/>
          <w:bCs/>
        </w:rPr>
        <w:t xml:space="preserve">Incident severity levels (Level-1 to Level-4)</w:t>
      </w:r>
      <w:r>
        <w:t xml:space="preserve"> </w:t>
      </w:r>
      <w:r>
        <w:t xml:space="preserve">used for response requirements:</w:t>
      </w:r>
    </w:p>
    <w:p>
      <w:pPr>
        <w:numPr>
          <w:ilvl w:val="0"/>
          <w:numId w:val="1000"/>
        </w:numPr>
      </w:pPr>
      <w:r>
        <w:t xml:space="preserve">The</w:t>
      </w:r>
      <w:r>
        <w:t xml:space="preserve"> </w:t>
      </w:r>
      <w:r>
        <w:rPr>
          <w:i/>
          <w:iCs/>
        </w:rPr>
        <w:t xml:space="preserve">Regulations on the Notification and Response of Cyber Security Incident</w:t>
      </w:r>
      <w:r>
        <w:t xml:space="preserve"> </w:t>
      </w:r>
      <w:r>
        <w:t xml:space="preserve">define</w:t>
      </w:r>
      <w:r>
        <w:t xml:space="preserve"> </w:t>
      </w:r>
      <w:r>
        <w:rPr>
          <w:b/>
          <w:bCs/>
        </w:rPr>
        <w:t xml:space="preserve">level-1, level-2, level-3, level-4</w:t>
      </w:r>
      <w:r>
        <w:t xml:space="preserve"> </w:t>
      </w:r>
      <w:r>
        <w:t xml:space="preserve">cyber security incidents (including distinctions involving</w:t>
      </w:r>
      <w:r>
        <w:t xml:space="preserve"> </w:t>
      </w:r>
      <w:r>
        <w:rPr>
          <w:b/>
          <w:bCs/>
        </w:rPr>
        <w:t xml:space="preserve">core business information</w:t>
      </w:r>
      <w:r>
        <w:t xml:space="preserve">,</w:t>
      </w:r>
      <w:r>
        <w:t xml:space="preserve"> </w:t>
      </w:r>
      <w:r>
        <w:rPr>
          <w:b/>
          <w:bCs/>
        </w:rPr>
        <w:t xml:space="preserve">core information and communication systems</w:t>
      </w:r>
      <w:r>
        <w:t xml:space="preserve">, scope of service interruption, and geographic/scale impact). (</w:t>
      </w:r>
      <w:hyperlink r:id="rId54">
        <w:r>
          <w:rPr>
            <w:rStyle w:val="Hyperlink"/>
          </w:rPr>
          <w:t xml:space="preserve">Ministry of Digital Affairs</w:t>
        </w:r>
      </w:hyperlink>
      <w:r>
        <w:t xml:space="preserve">)</w:t>
      </w:r>
    </w:p>
    <w:bookmarkEnd w:id="235"/>
    <w:bookmarkStart w:id="236" w:name="Xfd5d2d3b99fa43f1964121a64404090ac3438c3"/>
    <w:p>
      <w:pPr>
        <w:pStyle w:val="Heading2"/>
      </w:pPr>
      <w:r>
        <w:t xml:space="preserve">Incident reporting tests and thresholds</w:t>
      </w:r>
    </w:p>
    <w:bookmarkEnd w:id="236"/>
    <w:bookmarkStart w:id="237" w:name="deadlines"/>
    <w:p>
      <w:pPr>
        <w:pStyle w:val="Heading2"/>
      </w:pPr>
      <w:r>
        <w:t xml:space="preserve">Deadlines</w:t>
      </w:r>
    </w:p>
    <w:p>
      <w:pPr>
        <w:pStyle w:val="FirstParagraph"/>
      </w:pPr>
      <w:r>
        <w:t xml:space="preserve">From the</w:t>
      </w:r>
      <w:r>
        <w:t xml:space="preserve"> </w:t>
      </w:r>
      <w:r>
        <w:rPr>
          <w:i/>
          <w:iCs/>
        </w:rPr>
        <w:t xml:space="preserve">Regulations on the Notification and Response of Cyber Security Incident</w:t>
      </w:r>
      <w:r>
        <w:t xml:space="preserve">:</w:t>
      </w:r>
    </w:p>
    <w:p>
      <w:pPr>
        <w:pStyle w:val="Compact"/>
        <w:numPr>
          <w:ilvl w:val="0"/>
          <w:numId w:val="1200"/>
        </w:numPr>
      </w:pPr>
      <w:r>
        <w:rPr>
          <w:b/>
          <w:bCs/>
        </w:rPr>
        <w:t xml:space="preserve">Government agencies</w:t>
      </w:r>
      <w:r>
        <w:t xml:space="preserve">:</w:t>
      </w:r>
    </w:p>
    <w:p>
      <w:pPr>
        <w:pStyle w:val="Compact"/>
        <w:numPr>
          <w:ilvl w:val="1"/>
          <w:numId w:val="1201"/>
        </w:numPr>
      </w:pPr>
      <w:r>
        <w:t xml:space="preserve">Must</w:t>
      </w:r>
      <w:r>
        <w:t xml:space="preserve"> </w:t>
      </w:r>
      <w:r>
        <w:rPr>
          <w:b/>
          <w:bCs/>
        </w:rPr>
        <w:t xml:space="preserve">complete verification</w:t>
      </w:r>
      <w:r>
        <w:t xml:space="preserve"> </w:t>
      </w:r>
      <w:r>
        <w:t xml:space="preserve">within</w:t>
      </w:r>
      <w:r>
        <w:t xml:space="preserve"> </w:t>
      </w:r>
      <w:r>
        <w:rPr>
          <w:b/>
          <w:bCs/>
        </w:rPr>
        <w:t xml:space="preserve">8 hours</w:t>
      </w:r>
      <w:r>
        <w:t xml:space="preserve"> </w:t>
      </w:r>
      <w:r>
        <w:t xml:space="preserve">for</w:t>
      </w:r>
      <w:r>
        <w:t xml:space="preserve"> </w:t>
      </w:r>
      <w:r>
        <w:rPr>
          <w:b/>
          <w:bCs/>
        </w:rPr>
        <w:t xml:space="preserve">level-1/2</w:t>
      </w:r>
      <w:r>
        <w:t xml:space="preserve"> </w:t>
      </w:r>
      <w:r>
        <w:t xml:space="preserve">incidents and within</w:t>
      </w:r>
      <w:r>
        <w:t xml:space="preserve"> </w:t>
      </w:r>
      <w:r>
        <w:rPr>
          <w:b/>
          <w:bCs/>
        </w:rPr>
        <w:t xml:space="preserve">2 hours</w:t>
      </w:r>
      <w:r>
        <w:t xml:space="preserve"> </w:t>
      </w:r>
      <w:r>
        <w:t xml:space="preserve">for</w:t>
      </w:r>
      <w:r>
        <w:t xml:space="preserve"> </w:t>
      </w:r>
      <w:r>
        <w:rPr>
          <w:b/>
          <w:bCs/>
        </w:rPr>
        <w:t xml:space="preserve">level-3/4</w:t>
      </w:r>
      <w:r>
        <w:t xml:space="preserve"> </w:t>
      </w:r>
      <w:r>
        <w:t xml:space="preserve">incidents (Article 5). (</w:t>
      </w:r>
      <w:hyperlink r:id="rId54">
        <w:r>
          <w:rPr>
            <w:rStyle w:val="Hyperlink"/>
          </w:rPr>
          <w:t xml:space="preserve">Ministry of Digital Affairs</w:t>
        </w:r>
      </w:hyperlink>
      <w:r>
        <w:t xml:space="preserve">)</w:t>
      </w:r>
    </w:p>
    <w:p>
      <w:pPr>
        <w:pStyle w:val="Compact"/>
        <w:numPr>
          <w:ilvl w:val="1"/>
          <w:numId w:val="1201"/>
        </w:numPr>
      </w:pPr>
      <w:r>
        <w:t xml:space="preserve">Must</w:t>
      </w:r>
      <w:r>
        <w:t xml:space="preserve"> </w:t>
      </w:r>
      <w:r>
        <w:rPr>
          <w:b/>
          <w:bCs/>
        </w:rPr>
        <w:t xml:space="preserve">complete damage control or recovery</w:t>
      </w:r>
      <w:r>
        <w:t xml:space="preserve"> </w:t>
      </w:r>
      <w:r>
        <w:t xml:space="preserve">within</w:t>
      </w:r>
      <w:r>
        <w:t xml:space="preserve"> </w:t>
      </w:r>
      <w:r>
        <w:rPr>
          <w:b/>
          <w:bCs/>
        </w:rPr>
        <w:t xml:space="preserve">72 hours</w:t>
      </w:r>
      <w:r>
        <w:t xml:space="preserve"> </w:t>
      </w:r>
      <w:r>
        <w:t xml:space="preserve">for</w:t>
      </w:r>
      <w:r>
        <w:t xml:space="preserve"> </w:t>
      </w:r>
      <w:r>
        <w:rPr>
          <w:b/>
          <w:bCs/>
        </w:rPr>
        <w:t xml:space="preserve">level-1/2</w:t>
      </w:r>
      <w:r>
        <w:t xml:space="preserve"> </w:t>
      </w:r>
      <w:r>
        <w:t xml:space="preserve">and within</w:t>
      </w:r>
      <w:r>
        <w:t xml:space="preserve"> </w:t>
      </w:r>
      <w:r>
        <w:rPr>
          <w:b/>
          <w:bCs/>
        </w:rPr>
        <w:t xml:space="preserve">36 hours</w:t>
      </w:r>
      <w:r>
        <w:t xml:space="preserve"> </w:t>
      </w:r>
      <w:r>
        <w:t xml:space="preserve">for</w:t>
      </w:r>
      <w:r>
        <w:t xml:space="preserve"> </w:t>
      </w:r>
      <w:r>
        <w:rPr>
          <w:b/>
          <w:bCs/>
        </w:rPr>
        <w:t xml:space="preserve">level-3/4</w:t>
      </w:r>
      <w:r>
        <w:t xml:space="preserve"> </w:t>
      </w:r>
      <w:r>
        <w:t xml:space="preserve">(Article 6). (</w:t>
      </w:r>
      <w:hyperlink r:id="rId54">
        <w:r>
          <w:rPr>
            <w:rStyle w:val="Hyperlink"/>
          </w:rPr>
          <w:t xml:space="preserve">Ministry of Digital Affairs</w:t>
        </w:r>
      </w:hyperlink>
      <w:r>
        <w:t xml:space="preserve">)</w:t>
      </w:r>
    </w:p>
    <w:p>
      <w:pPr>
        <w:pStyle w:val="Compact"/>
        <w:numPr>
          <w:ilvl w:val="0"/>
          <w:numId w:val="1200"/>
        </w:numPr>
      </w:pPr>
      <w:r>
        <w:rPr>
          <w:b/>
          <w:bCs/>
        </w:rPr>
        <w:t xml:space="preserve">Specific non-government agencies</w:t>
      </w:r>
      <w:r>
        <w:t xml:space="preserve"> </w:t>
      </w:r>
      <w:r>
        <w:t xml:space="preserve">(including those designated):</w:t>
      </w:r>
    </w:p>
    <w:p>
      <w:pPr>
        <w:pStyle w:val="Compact"/>
        <w:numPr>
          <w:ilvl w:val="1"/>
          <w:numId w:val="1202"/>
        </w:numPr>
      </w:pPr>
      <w:r>
        <w:t xml:space="preserve">When aware of a cyber security incident, must</w:t>
      </w:r>
      <w:r>
        <w:t xml:space="preserve"> </w:t>
      </w:r>
      <w:r>
        <w:rPr>
          <w:b/>
          <w:bCs/>
        </w:rPr>
        <w:t xml:space="preserve">notify</w:t>
      </w:r>
      <w:r>
        <w:t xml:space="preserve"> </w:t>
      </w:r>
      <w:r>
        <w:t xml:space="preserve">the central competent authority for the relevant sector; for</w:t>
      </w:r>
      <w:r>
        <w:t xml:space="preserve"> </w:t>
      </w:r>
      <w:r>
        <w:rPr>
          <w:b/>
          <w:bCs/>
        </w:rPr>
        <w:t xml:space="preserve">level-3/4</w:t>
      </w:r>
      <w:r>
        <w:t xml:space="preserve">, notification must be</w:t>
      </w:r>
      <w:r>
        <w:t xml:space="preserve"> </w:t>
      </w:r>
      <w:r>
        <w:rPr>
          <w:b/>
          <w:bCs/>
        </w:rPr>
        <w:t xml:space="preserve">within 1 hour</w:t>
      </w:r>
      <w:r>
        <w:t xml:space="preserve"> </w:t>
      </w:r>
      <w:r>
        <w:t xml:space="preserve">(Regulations, Article 11). (</w:t>
      </w:r>
      <w:hyperlink r:id="rId54">
        <w:r>
          <w:rPr>
            <w:rStyle w:val="Hyperlink"/>
          </w:rPr>
          <w:t xml:space="preserve">Ministry of Digital Affairs</w:t>
        </w:r>
      </w:hyperlink>
      <w:r>
        <w:t xml:space="preserve">)</w:t>
      </w:r>
    </w:p>
    <w:p>
      <w:pPr>
        <w:pStyle w:val="Compact"/>
        <w:numPr>
          <w:ilvl w:val="1"/>
          <w:numId w:val="1202"/>
        </w:numPr>
      </w:pPr>
      <w:r>
        <w:t xml:space="preserve">After completing damage control or recovery, must submit an</w:t>
      </w:r>
      <w:r>
        <w:t xml:space="preserve"> </w:t>
      </w:r>
      <w:r>
        <w:rPr>
          <w:b/>
          <w:bCs/>
        </w:rPr>
        <w:t xml:space="preserve">investigation/handling report</w:t>
      </w:r>
      <w:r>
        <w:t xml:space="preserve">, and then submit a</w:t>
      </w:r>
      <w:r>
        <w:t xml:space="preserve"> </w:t>
      </w:r>
      <w:r>
        <w:rPr>
          <w:b/>
          <w:bCs/>
        </w:rPr>
        <w:t xml:space="preserve">corrective action report</w:t>
      </w:r>
      <w:r>
        <w:t xml:space="preserve"> </w:t>
      </w:r>
      <w:r>
        <w:t xml:space="preserve">(Articles 11–12). (</w:t>
      </w:r>
      <w:hyperlink r:id="rId54">
        <w:r>
          <w:rPr>
            <w:rStyle w:val="Hyperlink"/>
          </w:rPr>
          <w:t xml:space="preserve">Ministry of Digital Affairs</w:t>
        </w:r>
      </w:hyperlink>
      <w:r>
        <w:t xml:space="preserve">)</w:t>
      </w:r>
    </w:p>
    <w:bookmarkEnd w:id="237"/>
    <w:bookmarkStart w:id="238" w:name="triggers-what-counts-as-reportable"/>
    <w:p>
      <w:pPr>
        <w:pStyle w:val="Heading2"/>
      </w:pPr>
      <w:r>
        <w:t xml:space="preserve">Triggers (what counts as reportable)</w:t>
      </w:r>
    </w:p>
    <w:p>
      <w:pPr>
        <w:pStyle w:val="Compact"/>
        <w:numPr>
          <w:ilvl w:val="0"/>
          <w:numId w:val="1203"/>
        </w:numPr>
      </w:pPr>
      <w:r>
        <w:t xml:space="preserve">The same regulation defines incident</w:t>
      </w:r>
      <w:r>
        <w:t xml:space="preserve"> </w:t>
      </w:r>
      <w:r>
        <w:rPr>
          <w:b/>
          <w:bCs/>
        </w:rPr>
        <w:t xml:space="preserve">levels 1–4</w:t>
      </w:r>
      <w:r>
        <w:t xml:space="preserve">; the level definitions reference (among other factors) whether the event affects</w:t>
      </w:r>
      <w:r>
        <w:t xml:space="preserve"> </w:t>
      </w:r>
      <w:r>
        <w:rPr>
          <w:b/>
          <w:bCs/>
        </w:rPr>
        <w:t xml:space="preserve">core business information</w:t>
      </w:r>
      <w:r>
        <w:t xml:space="preserve"> </w:t>
      </w:r>
      <w:r>
        <w:t xml:space="preserve">and/or a</w:t>
      </w:r>
      <w:r>
        <w:t xml:space="preserve"> </w:t>
      </w:r>
      <w:r>
        <w:rPr>
          <w:b/>
          <w:bCs/>
        </w:rPr>
        <w:t xml:space="preserve">core information and communication system</w:t>
      </w:r>
      <w:r>
        <w:t xml:space="preserve">, and the scope/duration/extent of disruption (Article 2). (</w:t>
      </w:r>
      <w:hyperlink r:id="rId54">
        <w:r>
          <w:rPr>
            <w:rStyle w:val="Hyperlink"/>
          </w:rPr>
          <w:t xml:space="preserve">Ministry of Digital Affairs</w:t>
        </w:r>
      </w:hyperlink>
      <w:r>
        <w:t xml:space="preserve">)</w:t>
      </w:r>
    </w:p>
    <w:bookmarkEnd w:id="238"/>
    <w:bookmarkStart w:id="239" w:name="X480f28575fd81487cbc250d233775a654d279b3"/>
    <w:p>
      <w:pPr>
        <w:pStyle w:val="Heading2"/>
      </w:pPr>
      <w:r>
        <w:t xml:space="preserve">Health information systems “most likely” designated</w:t>
      </w:r>
    </w:p>
    <w:p>
      <w:pPr>
        <w:numPr>
          <w:ilvl w:val="0"/>
          <w:numId w:val="1204"/>
        </w:numPr>
      </w:pPr>
      <w:r>
        <w:rPr>
          <w:b/>
          <w:bCs/>
        </w:rPr>
        <w:t xml:space="preserve">Not stated in cited primary texts.</w:t>
      </w:r>
    </w:p>
    <w:p>
      <w:pPr>
        <w:numPr>
          <w:ilvl w:val="0"/>
          <w:numId w:val="1000"/>
        </w:numPr>
      </w:pPr>
      <w:r>
        <w:t xml:space="preserve">The OHS Guidelines classify national CI into</w:t>
      </w:r>
      <w:r>
        <w:t xml:space="preserve"> </w:t>
      </w:r>
      <w:r>
        <w:rPr>
          <w:b/>
          <w:bCs/>
        </w:rPr>
        <w:t xml:space="preserve">eight sectors</w:t>
      </w:r>
      <w:r>
        <w:t xml:space="preserve">, one of which is</w:t>
      </w:r>
      <w:r>
        <w:t xml:space="preserve"> </w:t>
      </w:r>
      <w:r>
        <w:rPr>
          <w:b/>
          <w:bCs/>
        </w:rPr>
        <w:t xml:space="preserve">“emergency rescue and hospitals”</w:t>
      </w:r>
      <w:r>
        <w:t xml:space="preserve">. The Guidelines also define</w:t>
      </w:r>
      <w:r>
        <w:t xml:space="preserve"> </w:t>
      </w:r>
      <w:r>
        <w:rPr>
          <w:b/>
          <w:bCs/>
        </w:rPr>
        <w:t xml:space="preserve">CII</w:t>
      </w:r>
      <w:r>
        <w:t xml:space="preserve"> </w:t>
      </w:r>
      <w:r>
        <w:t xml:space="preserve">as the vital ICT/SCADA supporting continuous CI operations. However, the cited sources do</w:t>
      </w:r>
      <w:r>
        <w:t xml:space="preserve"> </w:t>
      </w:r>
      <w:r>
        <w:rPr>
          <w:b/>
          <w:bCs/>
        </w:rPr>
        <w:t xml:space="preserve">not</w:t>
      </w:r>
      <w:r>
        <w:t xml:space="preserve"> </w:t>
      </w:r>
      <w:r>
        <w:t xml:space="preserve">publish a system-by-system list for healthcare.</w:t>
      </w:r>
    </w:p>
    <w:bookmarkEnd w:id="239"/>
    <w:bookmarkStart w:id="240" w:name="public-vs-confidential-6"/>
    <w:p>
      <w:pPr>
        <w:pStyle w:val="Heading2"/>
      </w:pPr>
      <w:r>
        <w:t xml:space="preserve">Public vs Confidential</w:t>
      </w:r>
    </w:p>
    <w:p>
      <w:pPr>
        <w:pStyle w:val="FirstParagraph"/>
      </w:pPr>
      <w:r>
        <w:rPr>
          <w:b/>
          <w:bCs/>
        </w:rPr>
        <w:t xml:space="preserve">Public (in cited sources):</w:t>
      </w:r>
    </w:p>
    <w:p>
      <w:pPr>
        <w:pStyle w:val="Compact"/>
        <w:numPr>
          <w:ilvl w:val="0"/>
          <w:numId w:val="1205"/>
        </w:numPr>
      </w:pPr>
      <w:r>
        <w:t xml:space="preserve">CSMA (legal obligations and the designation mechanism for “critical infrastructure providers,” incident notification duty, etc.). (</w:t>
      </w:r>
      <w:hyperlink r:id="rId53">
        <w:r>
          <w:rPr>
            <w:rStyle w:val="Hyperlink"/>
          </w:rPr>
          <w:t xml:space="preserve">Law Moda</w:t>
        </w:r>
      </w:hyperlink>
      <w:r>
        <w:t xml:space="preserve">)</w:t>
      </w:r>
    </w:p>
    <w:p>
      <w:pPr>
        <w:pStyle w:val="Compact"/>
        <w:numPr>
          <w:ilvl w:val="0"/>
          <w:numId w:val="1205"/>
        </w:numPr>
      </w:pPr>
      <w:r>
        <w:t xml:space="preserve">OHS Guidelines (definitions of CI/CII; sector classification including hospitals).</w:t>
      </w:r>
    </w:p>
    <w:p>
      <w:pPr>
        <w:pStyle w:val="FirstParagraph"/>
      </w:pPr>
      <w:r>
        <w:rPr>
          <w:b/>
          <w:bCs/>
        </w:rPr>
        <w:t xml:space="preserve">Confidential (not evidenced here):</w:t>
      </w:r>
    </w:p>
    <w:p>
      <w:pPr>
        <w:pStyle w:val="Compact"/>
        <w:numPr>
          <w:ilvl w:val="0"/>
          <w:numId w:val="1206"/>
        </w:numPr>
      </w:pPr>
      <w:r>
        <w:rPr>
          <w:b/>
          <w:bCs/>
        </w:rPr>
        <w:t xml:space="preserve">Not stated in cited primary texts</w:t>
      </w:r>
      <w:r>
        <w:t xml:space="preserve"> </w:t>
      </w:r>
      <w:r>
        <w:t xml:space="preserve">whether the specific lists of designated providers/assets are public or confidential.</w:t>
      </w:r>
    </w:p>
    <w:p>
      <w:pPr>
        <w:pStyle w:val="Compact"/>
        <w:numPr>
          <w:ilvl w:val="0"/>
          <w:numId w:val="1206"/>
        </w:numPr>
      </w:pPr>
      <w:r>
        <w:t xml:space="preserve">The OHS Guidelines’ table of contents includes a section titled</w:t>
      </w:r>
      <w:r>
        <w:t xml:space="preserve"> </w:t>
      </w:r>
      <w:r>
        <w:rPr>
          <w:b/>
          <w:bCs/>
        </w:rPr>
        <w:t xml:space="preserve">“Classified and sensitive information/Confidentiality requirement”</w:t>
      </w:r>
      <w:r>
        <w:t xml:space="preserve"> </w:t>
      </w:r>
      <w:r>
        <w:t xml:space="preserve">(Chapter 4, Section 1), but this chapter does not claim what specific lists are or are not disclosed beyond what is explicitly shown.</w:t>
      </w:r>
    </w:p>
    <w:bookmarkEnd w:id="240"/>
    <w:bookmarkStart w:id="241" w:name="latest-updates-20252026-2"/>
    <w:p>
      <w:pPr>
        <w:pStyle w:val="Heading2"/>
      </w:pPr>
      <w:r>
        <w:t xml:space="preserve">Latest updates (2025–2026)</w:t>
      </w:r>
    </w:p>
    <w:p>
      <w:pPr>
        <w:pStyle w:val="FirstParagraph"/>
      </w:pPr>
      <w:r>
        <w:rPr>
          <w:b/>
          <w:bCs/>
        </w:rPr>
        <w:t xml:space="preserve">Cyber Security Management Act revised and promulgated:</w:t>
      </w:r>
    </w:p>
    <w:p>
      <w:pPr>
        <w:pStyle w:val="Compact"/>
        <w:numPr>
          <w:ilvl w:val="0"/>
          <w:numId w:val="1207"/>
        </w:numPr>
      </w:pPr>
      <w:r>
        <w:t xml:space="preserve">Taiwan’s official MODA law database shows the CSMA</w:t>
      </w:r>
      <w:r>
        <w:t xml:space="preserve"> </w:t>
      </w:r>
      <w:r>
        <w:rPr>
          <w:b/>
          <w:bCs/>
        </w:rPr>
        <w:t xml:space="preserve">“Date: 2025.09.24”</w:t>
      </w:r>
      <w:r>
        <w:t xml:space="preserve"> </w:t>
      </w:r>
      <w:r>
        <w:t xml:space="preserve">and notes it was</w:t>
      </w:r>
      <w:r>
        <w:t xml:space="preserve"> </w:t>
      </w:r>
      <w:r>
        <w:rPr>
          <w:b/>
          <w:bCs/>
        </w:rPr>
        <w:t xml:space="preserve">“Revised and promulgated a total of 35 articles… on September 24, 2025,”</w:t>
      </w:r>
      <w:r>
        <w:t xml:space="preserve"> </w:t>
      </w:r>
      <w:r>
        <w:t xml:space="preserve">with</w:t>
      </w:r>
      <w:r>
        <w:t xml:space="preserve"> </w:t>
      </w:r>
      <w:r>
        <w:rPr>
          <w:b/>
          <w:bCs/>
        </w:rPr>
        <w:t xml:space="preserve">“date of enforcement… determined by the Executive Yuan.”</w:t>
      </w:r>
      <w:r>
        <w:t xml:space="preserve"> </w:t>
      </w:r>
      <w:r>
        <w:t xml:space="preserve">(</w:t>
      </w:r>
      <w:hyperlink r:id="rId53">
        <w:r>
          <w:rPr>
            <w:rStyle w:val="Hyperlink"/>
          </w:rPr>
          <w:t xml:space="preserve">Law Moda</w:t>
        </w:r>
      </w:hyperlink>
      <w:r>
        <w:t xml:space="preserve">)</w:t>
      </w:r>
    </w:p>
    <w:p>
      <w:pPr>
        <w:pStyle w:val="FirstParagraph"/>
      </w:pPr>
      <w:r>
        <w:rPr>
          <w:b/>
          <w:bCs/>
        </w:rPr>
        <w:t xml:space="preserve">Competent authority (as reflected in the revised CSMA text):</w:t>
      </w:r>
    </w:p>
    <w:p>
      <w:pPr>
        <w:pStyle w:val="Compact"/>
        <w:numPr>
          <w:ilvl w:val="0"/>
          <w:numId w:val="1208"/>
        </w:numPr>
      </w:pPr>
      <w:r>
        <w:t xml:space="preserve">The same official text states</w:t>
      </w:r>
      <w:r>
        <w:t xml:space="preserve"> </w:t>
      </w:r>
      <w:r>
        <w:rPr>
          <w:b/>
          <w:bCs/>
        </w:rPr>
        <w:t xml:space="preserve">“The competent authority… is the Ministry of Digital Affairs”</w:t>
      </w:r>
      <w:r>
        <w:t xml:space="preserve"> </w:t>
      </w:r>
      <w:r>
        <w:t xml:space="preserve">(Article 2). (</w:t>
      </w:r>
      <w:hyperlink r:id="rId53">
        <w:r>
          <w:rPr>
            <w:rStyle w:val="Hyperlink"/>
          </w:rPr>
          <w:t xml:space="preserve">Law Moda</w:t>
        </w:r>
      </w:hyperlink>
      <w:r>
        <w:t xml:space="preserve">)</w:t>
      </w:r>
    </w:p>
    <w:bookmarkEnd w:id="241"/>
    <w:bookmarkStart w:id="242" w:name="references-taiwan"/>
    <w:p>
      <w:pPr>
        <w:pStyle w:val="Heading2"/>
      </w:pPr>
      <w:r>
        <w:t xml:space="preserve">References (Taiwan)</w:t>
      </w:r>
    </w:p>
    <w:p>
      <w:pPr>
        <w:pStyle w:val="Compact"/>
        <w:numPr>
          <w:ilvl w:val="0"/>
          <w:numId w:val="1209"/>
        </w:numPr>
      </w:pPr>
      <w:r>
        <w:rPr>
          <w:b/>
          <w:bCs/>
        </w:rPr>
        <w:t xml:space="preserve">Ministry of Digital Affairs (MODA).</w:t>
      </w:r>
      <w:r>
        <w:t xml:space="preserve"> </w:t>
      </w:r>
      <w:r>
        <w:rPr>
          <w:b/>
          <w:bCs/>
        </w:rPr>
        <w:t xml:space="preserve">Cyber Security Management Act</w:t>
      </w:r>
      <w:r>
        <w:t xml:space="preserve"> </w:t>
      </w:r>
      <w:r>
        <w:t xml:space="preserve">(English law database; revision dated 2025-09-24). (</w:t>
      </w:r>
      <w:hyperlink r:id="rId53">
        <w:r>
          <w:rPr>
            <w:rStyle w:val="Hyperlink"/>
          </w:rPr>
          <w:t xml:space="preserve">Law Moda</w:t>
        </w:r>
      </w:hyperlink>
      <w:r>
        <w:t xml:space="preserve">)</w:t>
      </w:r>
    </w:p>
    <w:p>
      <w:pPr>
        <w:pStyle w:val="Compact"/>
        <w:numPr>
          <w:ilvl w:val="0"/>
          <w:numId w:val="1209"/>
        </w:numPr>
      </w:pPr>
      <w:r>
        <w:rPr>
          <w:b/>
          <w:bCs/>
        </w:rPr>
        <w:t xml:space="preserve">Ministry of Digital Affairs (MODA).</w:t>
      </w:r>
      <w:r>
        <w:t xml:space="preserve"> </w:t>
      </w:r>
      <w:r>
        <w:rPr>
          <w:b/>
          <w:bCs/>
        </w:rPr>
        <w:t xml:space="preserve">Consolidated PDF of CSMA + related regulations</w:t>
      </w:r>
      <w:r>
        <w:t xml:space="preserve">. (</w:t>
      </w:r>
      <w:hyperlink r:id="rId54">
        <w:r>
          <w:rPr>
            <w:rStyle w:val="Hyperlink"/>
          </w:rPr>
          <w:t xml:space="preserve">Ministry of Digital Affairs</w:t>
        </w:r>
      </w:hyperlink>
      <w:r>
        <w:t xml:space="preserve">)</w:t>
      </w:r>
    </w:p>
    <w:p>
      <w:pPr>
        <w:pStyle w:val="Compact"/>
        <w:numPr>
          <w:ilvl w:val="0"/>
          <w:numId w:val="1209"/>
        </w:numPr>
      </w:pPr>
      <w:r>
        <w:rPr>
          <w:b/>
          <w:bCs/>
        </w:rPr>
        <w:t xml:space="preserve">Executive Yuan Office of Homeland Security.</w:t>
      </w:r>
      <w:r>
        <w:t xml:space="preserve"> </w:t>
      </w:r>
      <w:r>
        <w:rPr>
          <w:b/>
          <w:bCs/>
        </w:rPr>
        <w:t xml:space="preserve">Guidelines for National Critical Infrastructure Protection</w:t>
      </w:r>
      <w:r>
        <w:t xml:space="preserve"> </w:t>
      </w:r>
      <w:r>
        <w:t xml:space="preserve">(2018 revision).</w:t>
      </w:r>
    </w:p>
    <w:p>
      <w:pPr>
        <w:pStyle w:val="Compact"/>
        <w:numPr>
          <w:ilvl w:val="0"/>
          <w:numId w:val="1209"/>
        </w:numPr>
      </w:pPr>
      <w:r>
        <w:rPr>
          <w:b/>
          <w:bCs/>
        </w:rPr>
        <w:t xml:space="preserve">MODA / Administration for Cyber Security.</w:t>
      </w:r>
      <w:r>
        <w:t xml:space="preserve"> </w:t>
      </w:r>
      <w:r>
        <w:rPr>
          <w:b/>
          <w:bCs/>
        </w:rPr>
        <w:t xml:space="preserve">Critical Infrastructure Protection (CIIP) overview</w:t>
      </w:r>
      <w:r>
        <w:t xml:space="preserve">. (</w:t>
      </w:r>
      <w:hyperlink r:id="rId55">
        <w:r>
          <w:rPr>
            <w:rStyle w:val="Hyperlink"/>
          </w:rPr>
          <w:t xml:space="preserve">Ministry of Digital Affairs</w:t>
        </w:r>
      </w:hyperlink>
      <w:r>
        <w:t xml:space="preserve">)</w:t>
      </w:r>
    </w:p>
    <w:p>
      <w:pPr>
        <w:sectPr>
          <w:footerReference w:type="first" r:id="rId13"/>
          <w:footerReference w:type="default" r:id="rId11"/>
          <w:footerReference w:type="even" r:id="rId10"/>
          <w:type w:val="nextPage"/>
        </w:sectPr>
      </w:pPr>
    </w:p>
    <w:bookmarkEnd w:id="242"/>
    <w:bookmarkEnd w:id="243"/>
    <w:bookmarkStart w:id="257" w:name="thailand"/>
    <w:p>
      <w:pPr>
        <w:pStyle w:val="Heading1"/>
      </w:pPr>
      <w:r>
        <w:t xml:space="preserve">THAILAND</w:t>
      </w:r>
    </w:p>
    <w:bookmarkStart w:id="244" w:name="Xf93d8e13290cc31eb2d5dff8b8c66668d9ee0ae"/>
    <w:p>
      <w:pPr>
        <w:pStyle w:val="Heading2"/>
      </w:pPr>
      <w:r>
        <w:t xml:space="preserve">Final categories (what is “highest critical / protected”)</w:t>
      </w:r>
    </w:p>
    <w:p>
      <w:pPr>
        <w:pStyle w:val="Compact"/>
        <w:numPr>
          <w:ilvl w:val="0"/>
          <w:numId w:val="1210"/>
        </w:numPr>
      </w:pPr>
      <w:r>
        <w:rPr>
          <w:b/>
          <w:bCs/>
        </w:rPr>
        <w:t xml:space="preserve">“Critical Information Infrastructure” (CII)</w:t>
      </w:r>
      <w:r>
        <w:t xml:space="preserve"> </w:t>
      </w:r>
      <w:r>
        <w:t xml:space="preserve">— defined term in the</w:t>
      </w:r>
      <w:r>
        <w:t xml:space="preserve"> </w:t>
      </w:r>
      <w:r>
        <w:rPr>
          <w:b/>
          <w:bCs/>
        </w:rPr>
        <w:t xml:space="preserve">Cybersecurity Act, B.E. 2562 (2019)</w:t>
      </w:r>
      <w:r>
        <w:t xml:space="preserve"> </w:t>
      </w:r>
      <w:r>
        <w:t xml:space="preserve">(unofficial English translation in Government Gazette format).</w:t>
      </w:r>
    </w:p>
    <w:p>
      <w:pPr>
        <w:pStyle w:val="Compact"/>
        <w:numPr>
          <w:ilvl w:val="0"/>
          <w:numId w:val="1210"/>
        </w:numPr>
      </w:pPr>
      <w:r>
        <w:rPr>
          <w:b/>
          <w:bCs/>
        </w:rPr>
        <w:t xml:space="preserve">“Organization of Critical Information Infrastructure” (CII Organization)</w:t>
      </w:r>
      <w:r>
        <w:t xml:space="preserve"> </w:t>
      </w:r>
      <w:r>
        <w:t xml:space="preserve">— defined term in the</w:t>
      </w:r>
      <w:r>
        <w:t xml:space="preserve"> </w:t>
      </w:r>
      <w:r>
        <w:rPr>
          <w:b/>
          <w:bCs/>
        </w:rPr>
        <w:t xml:space="preserve">Cybersecurity Act, B.E. 2562 (2019)</w:t>
      </w:r>
      <w:r>
        <w:t xml:space="preserve">.</w:t>
      </w:r>
    </w:p>
    <w:p>
      <w:pPr>
        <w:pStyle w:val="Compact"/>
        <w:numPr>
          <w:ilvl w:val="0"/>
          <w:numId w:val="1210"/>
        </w:numPr>
      </w:pPr>
      <w:r>
        <w:rPr>
          <w:b/>
          <w:bCs/>
        </w:rPr>
        <w:t xml:space="preserve">Cyber Threat levels</w:t>
      </w:r>
      <w:r>
        <w:t xml:space="preserve"> </w:t>
      </w:r>
      <w:r>
        <w:t xml:space="preserve">—</w:t>
      </w:r>
      <w:r>
        <w:t xml:space="preserve"> </w:t>
      </w:r>
      <w:r>
        <w:rPr>
          <w:b/>
          <w:bCs/>
        </w:rPr>
        <w:t xml:space="preserve">non-critical / critical / crisis</w:t>
      </w:r>
      <w:r>
        <w:t xml:space="preserve"> </w:t>
      </w:r>
      <w:r>
        <w:t xml:space="preserve">levels defined in the</w:t>
      </w:r>
      <w:r>
        <w:t xml:space="preserve"> </w:t>
      </w:r>
      <w:r>
        <w:rPr>
          <w:b/>
          <w:bCs/>
        </w:rPr>
        <w:t xml:space="preserve">Cybersecurity Act, B.E. 2562 (2019)</w:t>
      </w:r>
      <w:r>
        <w:t xml:space="preserve">.</w:t>
      </w:r>
    </w:p>
    <w:bookmarkEnd w:id="244"/>
    <w:bookmarkStart w:id="245" w:name="Xf665c958d19c0bc0772f748c17ce89d19e75bf5"/>
    <w:p>
      <w:pPr>
        <w:pStyle w:val="Heading2"/>
      </w:pPr>
      <w:r>
        <w:t xml:space="preserve">Exact legal / regulatory criteria (what triggers inclusion)</w:t>
      </w:r>
    </w:p>
    <w:bookmarkEnd w:id="245"/>
    <w:bookmarkStart w:id="246" w:name="X0f611b3bb0728a37a9a4386cb992daf6af5d448"/>
    <w:p>
      <w:pPr>
        <w:pStyle w:val="Heading2"/>
      </w:pPr>
      <w:r>
        <w:t xml:space="preserve">Subsection A (The Definition): the specific text defining the scope</w:t>
      </w:r>
    </w:p>
    <w:p>
      <w:pPr>
        <w:pStyle w:val="Compact"/>
        <w:numPr>
          <w:ilvl w:val="0"/>
          <w:numId w:val="1211"/>
        </w:numPr>
      </w:pPr>
      <w:r>
        <w:rPr>
          <w:b/>
          <w:bCs/>
        </w:rPr>
        <w:t xml:space="preserve">“Critical Information Infrastructure”</w:t>
      </w:r>
      <w:r>
        <w:t xml:space="preserve">: “the computer or computer system” used by a Government Agency or private organization in operations relating to</w:t>
      </w:r>
      <w:r>
        <w:t xml:space="preserve"> </w:t>
      </w:r>
      <w:r>
        <w:rPr>
          <w:b/>
          <w:bCs/>
        </w:rPr>
        <w:t xml:space="preserve">maintaining national security, public security, national economic security, or infrastructures in the public interest</w:t>
      </w:r>
      <w:r>
        <w:t xml:space="preserve">.</w:t>
      </w:r>
    </w:p>
    <w:p>
      <w:pPr>
        <w:pStyle w:val="Compact"/>
        <w:numPr>
          <w:ilvl w:val="0"/>
          <w:numId w:val="1211"/>
        </w:numPr>
      </w:pPr>
      <w:r>
        <w:rPr>
          <w:b/>
          <w:bCs/>
        </w:rPr>
        <w:t xml:space="preserve">“Organization of Critical Information Infrastructure”</w:t>
      </w:r>
      <w:r>
        <w:t xml:space="preserve">: a Government Agency or private organization that</w:t>
      </w:r>
      <w:r>
        <w:t xml:space="preserve"> </w:t>
      </w:r>
      <w:r>
        <w:rPr>
          <w:b/>
          <w:bCs/>
        </w:rPr>
        <w:t xml:space="preserve">has a mission of or provides a CII service</w:t>
      </w:r>
      <w:r>
        <w:t xml:space="preserve">.</w:t>
      </w:r>
    </w:p>
    <w:p>
      <w:pPr>
        <w:pStyle w:val="Compact"/>
        <w:numPr>
          <w:ilvl w:val="0"/>
          <w:numId w:val="1211"/>
        </w:numPr>
      </w:pPr>
      <w:r>
        <w:rPr>
          <w:b/>
          <w:bCs/>
        </w:rPr>
        <w:t xml:space="preserve">Committee designation power (Section 49):</w:t>
      </w:r>
      <w:r>
        <w:t xml:space="preserve"> </w:t>
      </w:r>
      <w:r>
        <w:t xml:space="preserve">the Committee prescribes (by notification) characteristics of organizations with missions/services in specified aspects, including</w:t>
      </w:r>
      <w:r>
        <w:t xml:space="preserve"> </w:t>
      </w:r>
      <w:r>
        <w:rPr>
          <w:b/>
          <w:bCs/>
        </w:rPr>
        <w:t xml:space="preserve">“public health”</w:t>
      </w:r>
      <w:r>
        <w:t xml:space="preserve">.</w:t>
      </w:r>
    </w:p>
    <w:bookmarkEnd w:id="246"/>
    <w:bookmarkStart w:id="247" w:name="Xdb3fc9518d820d7c668c97bb8f6f58b528cd441"/>
    <w:p>
      <w:pPr>
        <w:pStyle w:val="Heading2"/>
      </w:pPr>
      <w:r>
        <w:t xml:space="preserve">Subsection B (The Thresholds): quantitative or qualitative tests</w:t>
      </w:r>
    </w:p>
    <w:p>
      <w:pPr>
        <w:pStyle w:val="Compact"/>
        <w:numPr>
          <w:ilvl w:val="0"/>
          <w:numId w:val="1212"/>
        </w:numPr>
      </w:pPr>
      <w:r>
        <w:rPr>
          <w:b/>
          <w:bCs/>
        </w:rPr>
        <w:t xml:space="preserve">Aspect-based trigger (qualitative):</w:t>
      </w:r>
      <w:r>
        <w:t xml:space="preserve"> </w:t>
      </w:r>
      <w:r>
        <w:t xml:space="preserve">Section 49 lists aspects for which organizations may be prescribed as CII Organizations;</w:t>
      </w:r>
      <w:r>
        <w:t xml:space="preserve"> </w:t>
      </w:r>
      <w:r>
        <w:rPr>
          <w:b/>
          <w:bCs/>
        </w:rPr>
        <w:t xml:space="preserve">“public health”</w:t>
      </w:r>
      <w:r>
        <w:t xml:space="preserve"> </w:t>
      </w:r>
      <w:r>
        <w:t xml:space="preserve">is one listed aspect.</w:t>
      </w:r>
    </w:p>
    <w:p>
      <w:pPr>
        <w:pStyle w:val="Compact"/>
        <w:numPr>
          <w:ilvl w:val="0"/>
          <w:numId w:val="1212"/>
        </w:numPr>
      </w:pPr>
      <w:r>
        <w:rPr>
          <w:b/>
          <w:bCs/>
        </w:rPr>
        <w:t xml:space="preserve">Case-by-case review (qualitative):</w:t>
      </w:r>
      <w:r>
        <w:t xml:space="preserve"> </w:t>
      </w:r>
      <w:r>
        <w:t xml:space="preserve">Section 49 states the Committee “shall consider and review… on a case-by-case basis.”</w:t>
      </w:r>
    </w:p>
    <w:p>
      <w:pPr>
        <w:pStyle w:val="Compact"/>
        <w:numPr>
          <w:ilvl w:val="0"/>
          <w:numId w:val="1212"/>
        </w:numPr>
      </w:pPr>
      <w:r>
        <w:rPr>
          <w:b/>
          <w:bCs/>
        </w:rPr>
        <w:t xml:space="preserve">No numeric outage/time thresholds</w:t>
      </w:r>
      <w:r>
        <w:t xml:space="preserve"> </w:t>
      </w:r>
      <w:r>
        <w:t xml:space="preserve">for CII designation appear in the provided Act text.</w:t>
      </w:r>
    </w:p>
    <w:bookmarkEnd w:id="247"/>
    <w:bookmarkStart w:id="248" w:name="grading-tiering-scheme-6"/>
    <w:p>
      <w:pPr>
        <w:pStyle w:val="Heading2"/>
      </w:pPr>
      <w:r>
        <w:t xml:space="preserve">Grading / tiering scheme</w:t>
      </w:r>
    </w:p>
    <w:p>
      <w:pPr>
        <w:pStyle w:val="Compact"/>
        <w:numPr>
          <w:ilvl w:val="0"/>
          <w:numId w:val="1213"/>
        </w:numPr>
      </w:pPr>
      <w:r>
        <w:rPr>
          <w:b/>
          <w:bCs/>
        </w:rPr>
        <w:t xml:space="preserve">Three-level Cyber Threat classification (Section 60):</w:t>
      </w:r>
      <w:r>
        <w:t xml:space="preserve"> </w:t>
      </w:r>
      <w:r>
        <w:rPr>
          <w:b/>
          <w:bCs/>
        </w:rPr>
        <w:t xml:space="preserve">non-critical level / critical level / crisis level</w:t>
      </w:r>
      <w:r>
        <w:t xml:space="preserve">.</w:t>
      </w:r>
    </w:p>
    <w:p>
      <w:pPr>
        <w:pStyle w:val="Compact"/>
        <w:numPr>
          <w:ilvl w:val="0"/>
          <w:numId w:val="1213"/>
        </w:numPr>
      </w:pPr>
      <w:r>
        <w:rPr>
          <w:b/>
          <w:bCs/>
        </w:rPr>
        <w:t xml:space="preserve">Public health referenced in threat effects (Section 60(2)):</w:t>
      </w:r>
      <w:r>
        <w:t xml:space="preserve"> </w:t>
      </w:r>
      <w:r>
        <w:t xml:space="preserve">“critical level” includes effects on “…economy,</w:t>
      </w:r>
      <w:r>
        <w:t xml:space="preserve"> </w:t>
      </w:r>
      <w:r>
        <w:rPr>
          <w:b/>
          <w:bCs/>
        </w:rPr>
        <w:t xml:space="preserve">public health</w:t>
      </w:r>
      <w:r>
        <w:t xml:space="preserve">, public safety, or the public order…” such that the CII operation could not operate or provide service.</w:t>
      </w:r>
    </w:p>
    <w:bookmarkEnd w:id="248"/>
    <w:bookmarkStart w:id="249" w:name="Xfcffe6247e89c6c3411a4018c01a413efd56906"/>
    <w:p>
      <w:pPr>
        <w:pStyle w:val="Heading2"/>
      </w:pPr>
      <w:r>
        <w:t xml:space="preserve">Incident reporting tests and thresholds</w:t>
      </w:r>
    </w:p>
    <w:bookmarkEnd w:id="249"/>
    <w:bookmarkStart w:id="250" w:name="deadlines-1"/>
    <w:p>
      <w:pPr>
        <w:pStyle w:val="Heading2"/>
      </w:pPr>
      <w:r>
        <w:t xml:space="preserve">Deadlines</w:t>
      </w:r>
    </w:p>
    <w:p>
      <w:pPr>
        <w:pStyle w:val="Compact"/>
        <w:numPr>
          <w:ilvl w:val="0"/>
          <w:numId w:val="1214"/>
        </w:numPr>
      </w:pPr>
      <w:r>
        <w:rPr>
          <w:b/>
          <w:bCs/>
        </w:rPr>
        <w:t xml:space="preserve">Section 57 (CII incident reporting):</w:t>
      </w:r>
      <w:r>
        <w:t xml:space="preserve"> </w:t>
      </w:r>
      <w:r>
        <w:t xml:space="preserve">where a Cyber Threat is “significantly occurring” to a CII Organization’s system, it “shall report” to the Office and the Supervising/Regulating Organization; the CRC “may prescribe criteria and method” of reporting.</w:t>
      </w:r>
      <w:r>
        <w:t xml:space="preserve"> </w:t>
      </w:r>
      <w:r>
        <w:rPr>
          <w:b/>
          <w:bCs/>
        </w:rPr>
        <w:t xml:space="preserve">No fixed hour/day deadline is stated in Section 57 in the provided Act text.</w:t>
      </w:r>
    </w:p>
    <w:p>
      <w:pPr>
        <w:pStyle w:val="Compact"/>
        <w:numPr>
          <w:ilvl w:val="0"/>
          <w:numId w:val="1214"/>
        </w:numPr>
      </w:pPr>
      <w:r>
        <w:rPr>
          <w:b/>
          <w:bCs/>
        </w:rPr>
        <w:t xml:space="preserve">Section 58 (“without delay”):</w:t>
      </w:r>
      <w:r>
        <w:t xml:space="preserve"> </w:t>
      </w:r>
      <w:r>
        <w:t xml:space="preserve">if examination shows there is or may be a Cyber Threat to an information system under a Government Agency or CII Organization, the organization shall notify the Office and its Supervising/Regulating Organization</w:t>
      </w:r>
      <w:r>
        <w:t xml:space="preserve"> </w:t>
      </w:r>
      <w:r>
        <w:rPr>
          <w:b/>
          <w:bCs/>
        </w:rPr>
        <w:t xml:space="preserve">“without delay.”</w:t>
      </w:r>
    </w:p>
    <w:p>
      <w:pPr>
        <w:pStyle w:val="Compact"/>
        <w:numPr>
          <w:ilvl w:val="0"/>
          <w:numId w:val="1214"/>
        </w:numPr>
      </w:pPr>
      <w:r>
        <w:rPr>
          <w:b/>
          <w:bCs/>
        </w:rPr>
        <w:t xml:space="preserve">Section 54 (annual assessment + 30-day submission):</w:t>
      </w:r>
      <w:r>
        <w:t xml:space="preserve"> </w:t>
      </w:r>
      <w:r>
        <w:t xml:space="preserve">a CII Organization must conduct risk assessment / cybersecurity examination</w:t>
      </w:r>
      <w:r>
        <w:t xml:space="preserve"> </w:t>
      </w:r>
      <w:r>
        <w:rPr>
          <w:b/>
          <w:bCs/>
        </w:rPr>
        <w:t xml:space="preserve">at least once per year</w:t>
      </w:r>
      <w:r>
        <w:t xml:space="preserve"> </w:t>
      </w:r>
      <w:r>
        <w:t xml:space="preserve">and submit a summary report to the Office</w:t>
      </w:r>
      <w:r>
        <w:t xml:space="preserve"> </w:t>
      </w:r>
      <w:r>
        <w:rPr>
          <w:b/>
          <w:bCs/>
        </w:rPr>
        <w:t xml:space="preserve">within 30 days</w:t>
      </w:r>
      <w:r>
        <w:t xml:space="preserve"> </w:t>
      </w:r>
      <w:r>
        <w:t xml:space="preserve">after completion.</w:t>
      </w:r>
    </w:p>
    <w:bookmarkEnd w:id="250"/>
    <w:bookmarkStart w:id="251" w:name="X34d94c6b6d2b7fa3f44d9c34542546a2570ed8a"/>
    <w:p>
      <w:pPr>
        <w:pStyle w:val="Heading2"/>
      </w:pPr>
      <w:r>
        <w:t xml:space="preserve">Triggers (what counts as a reportable incident)</w:t>
      </w:r>
    </w:p>
    <w:p>
      <w:pPr>
        <w:pStyle w:val="Compact"/>
        <w:numPr>
          <w:ilvl w:val="0"/>
          <w:numId w:val="1215"/>
        </w:numPr>
      </w:pPr>
      <w:r>
        <w:rPr>
          <w:b/>
          <w:bCs/>
        </w:rPr>
        <w:t xml:space="preserve">Section 57 trigger:</w:t>
      </w:r>
      <w:r>
        <w:t xml:space="preserve"> </w:t>
      </w:r>
      <w:r>
        <w:t xml:space="preserve">“Cyber Threat significantly occurring” to the system of a CII Organization.</w:t>
      </w:r>
    </w:p>
    <w:p>
      <w:pPr>
        <w:pStyle w:val="Compact"/>
        <w:numPr>
          <w:ilvl w:val="0"/>
          <w:numId w:val="1215"/>
        </w:numPr>
      </w:pPr>
      <w:r>
        <w:rPr>
          <w:b/>
          <w:bCs/>
        </w:rPr>
        <w:t xml:space="preserve">Section 58 trigger:</w:t>
      </w:r>
      <w:r>
        <w:t xml:space="preserve"> </w:t>
      </w:r>
      <w:r>
        <w:t xml:space="preserve">examination results show there “is or may be” a Cyber Threat to the relevant information system.</w:t>
      </w:r>
    </w:p>
    <w:p>
      <w:pPr>
        <w:pStyle w:val="Compact"/>
        <w:numPr>
          <w:ilvl w:val="0"/>
          <w:numId w:val="1215"/>
        </w:numPr>
      </w:pPr>
      <w:r>
        <w:rPr>
          <w:b/>
          <w:bCs/>
        </w:rPr>
        <w:t xml:space="preserve">Penalty for non-reporting (Section 73):</w:t>
      </w:r>
      <w:r>
        <w:t xml:space="preserve"> </w:t>
      </w:r>
      <w:r>
        <w:t xml:space="preserve">failure by a CII Organization to report a Cyber Threat incident under Section 57 (without reasonable cause) —</w:t>
      </w:r>
      <w:r>
        <w:t xml:space="preserve"> </w:t>
      </w:r>
      <w:r>
        <w:rPr>
          <w:b/>
          <w:bCs/>
        </w:rPr>
        <w:t xml:space="preserve">fine not exceeding Baht 200,000</w:t>
      </w:r>
      <w:r>
        <w:t xml:space="preserve">.</w:t>
      </w:r>
    </w:p>
    <w:bookmarkEnd w:id="251"/>
    <w:bookmarkStart w:id="252" w:name="X9d1bce008e1fa1dcc6214bf4bd0a1a0c27d154d"/>
    <w:p>
      <w:pPr>
        <w:pStyle w:val="Heading2"/>
      </w:pPr>
      <w:r>
        <w:t xml:space="preserve">Health information systems “most likely” designated</w:t>
      </w:r>
    </w:p>
    <w:p>
      <w:pPr>
        <w:pStyle w:val="Compact"/>
        <w:numPr>
          <w:ilvl w:val="0"/>
          <w:numId w:val="1216"/>
        </w:numPr>
      </w:pPr>
      <w:r>
        <w:rPr>
          <w:b/>
          <w:bCs/>
        </w:rPr>
        <w:t xml:space="preserve">Explicit in the provided primary text:</w:t>
      </w:r>
      <w:r>
        <w:t xml:space="preserve"> </w:t>
      </w:r>
      <w:r>
        <w:t xml:space="preserve">Section 49 includes</w:t>
      </w:r>
      <w:r>
        <w:t xml:space="preserve"> </w:t>
      </w:r>
      <w:r>
        <w:rPr>
          <w:b/>
          <w:bCs/>
        </w:rPr>
        <w:t xml:space="preserve">“public health”</w:t>
      </w:r>
      <w:r>
        <w:t xml:space="preserve"> </w:t>
      </w:r>
      <w:r>
        <w:t xml:space="preserve">as an aspect for which the Committee may prescribe organizations as CII Organizations.</w:t>
      </w:r>
    </w:p>
    <w:p>
      <w:pPr>
        <w:pStyle w:val="Compact"/>
        <w:numPr>
          <w:ilvl w:val="0"/>
          <w:numId w:val="1216"/>
        </w:numPr>
      </w:pPr>
      <w:r>
        <w:rPr>
          <w:b/>
          <w:bCs/>
        </w:rPr>
        <w:t xml:space="preserve">Not specified in the provided primary text:</w:t>
      </w:r>
      <w:r>
        <w:t xml:space="preserve"> </w:t>
      </w:r>
      <w:r>
        <w:t xml:space="preserve">the Cybersecurity Act text provided does</w:t>
      </w:r>
      <w:r>
        <w:t xml:space="preserve"> </w:t>
      </w:r>
      <w:r>
        <w:rPr>
          <w:b/>
          <w:bCs/>
        </w:rPr>
        <w:t xml:space="preserve">not</w:t>
      </w:r>
      <w:r>
        <w:t xml:space="preserve"> </w:t>
      </w:r>
      <w:r>
        <w:t xml:space="preserve">enumerate specific</w:t>
      </w:r>
      <w:r>
        <w:t xml:space="preserve"> </w:t>
      </w:r>
      <w:r>
        <w:rPr>
          <w:b/>
          <w:bCs/>
        </w:rPr>
        <w:t xml:space="preserve">health information system types</w:t>
      </w:r>
      <w:r>
        <w:t xml:space="preserve"> </w:t>
      </w:r>
      <w:r>
        <w:t xml:space="preserve">(e.g., EHR, LIS, radiology PACS) as CII, and does</w:t>
      </w:r>
      <w:r>
        <w:t xml:space="preserve"> </w:t>
      </w:r>
      <w:r>
        <w:rPr>
          <w:b/>
          <w:bCs/>
        </w:rPr>
        <w:t xml:space="preserve">not</w:t>
      </w:r>
      <w:r>
        <w:t xml:space="preserve"> </w:t>
      </w:r>
      <w:r>
        <w:t xml:space="preserve">provide a published list of designated health entities within the provided documents.</w:t>
      </w:r>
    </w:p>
    <w:p>
      <w:pPr>
        <w:pStyle w:val="Compact"/>
        <w:numPr>
          <w:ilvl w:val="0"/>
          <w:numId w:val="1216"/>
        </w:numPr>
      </w:pPr>
      <w:r>
        <w:rPr>
          <w:b/>
          <w:bCs/>
        </w:rPr>
        <w:t xml:space="preserve">Process stated in the Act:</w:t>
      </w:r>
      <w:r>
        <w:t xml:space="preserve"> </w:t>
      </w:r>
      <w:r>
        <w:t xml:space="preserve">designation occurs via</w:t>
      </w:r>
      <w:r>
        <w:t xml:space="preserve"> </w:t>
      </w:r>
      <w:r>
        <w:rPr>
          <w:b/>
          <w:bCs/>
        </w:rPr>
        <w:t xml:space="preserve">Committee notification</w:t>
      </w:r>
      <w:r>
        <w:t xml:space="preserve"> </w:t>
      </w:r>
      <w:r>
        <w:t xml:space="preserve">prescribing characteristics of organizations in the listed aspects (including public health), with consideration rules published in the Government Gazette and case-by-case review.</w:t>
      </w:r>
    </w:p>
    <w:bookmarkEnd w:id="252"/>
    <w:bookmarkStart w:id="253" w:name="public-vs-confidential-7"/>
    <w:p>
      <w:pPr>
        <w:pStyle w:val="Heading2"/>
      </w:pPr>
      <w:r>
        <w:t xml:space="preserve">Public vs Confidential</w:t>
      </w:r>
    </w:p>
    <w:bookmarkEnd w:id="253"/>
    <w:bookmarkStart w:id="254" w:name="public-in-provided-primary-text"/>
    <w:p>
      <w:pPr>
        <w:pStyle w:val="Heading2"/>
      </w:pPr>
      <w:r>
        <w:t xml:space="preserve">Public (in provided primary text)</w:t>
      </w:r>
    </w:p>
    <w:p>
      <w:pPr>
        <w:pStyle w:val="Compact"/>
        <w:numPr>
          <w:ilvl w:val="0"/>
          <w:numId w:val="1217"/>
        </w:numPr>
      </w:pPr>
      <w:r>
        <w:t xml:space="preserve">The Act states that Committee rules for consideration under Section 49 “shall be published in the Government Gazette.”</w:t>
      </w:r>
    </w:p>
    <w:p>
      <w:pPr>
        <w:pStyle w:val="FirstParagraph"/>
      </w:pPr>
      <w:r>
        <w:rPr>
          <w:b/>
          <w:bCs/>
        </w:rPr>
        <w:t xml:space="preserve">Confidentiality obligations in provided health-sector primary text (separate statute):</w:t>
      </w:r>
    </w:p>
    <w:p>
      <w:pPr>
        <w:pStyle w:val="Compact"/>
        <w:numPr>
          <w:ilvl w:val="0"/>
          <w:numId w:val="1218"/>
        </w:numPr>
      </w:pPr>
      <w:r>
        <w:rPr>
          <w:b/>
          <w:bCs/>
        </w:rPr>
        <w:t xml:space="preserve">National Health Act, B.E. 2550 (2007), Section 7:</w:t>
      </w:r>
      <w:r>
        <w:t xml:space="preserve"> </w:t>
      </w:r>
      <w:r>
        <w:t xml:space="preserve">“Personal health information shall be kept confidential,” and disclosure is restricted except by the person’s will or where required by specific law.</w:t>
      </w:r>
    </w:p>
    <w:bookmarkEnd w:id="254"/>
    <w:bookmarkStart w:id="255" w:name="latest-updates-20252026-3"/>
    <w:p>
      <w:pPr>
        <w:pStyle w:val="Heading2"/>
      </w:pPr>
      <w:r>
        <w:t xml:space="preserve">Latest updates (2025–2026)</w:t>
      </w:r>
    </w:p>
    <w:p>
      <w:pPr>
        <w:pStyle w:val="FirstParagraph"/>
      </w:pPr>
      <w:r>
        <w:rPr>
          <w:b/>
          <w:bCs/>
        </w:rPr>
        <w:t xml:space="preserve">CII List Revision (September 2025):</w:t>
      </w:r>
    </w:p>
    <w:p>
      <w:pPr>
        <w:pStyle w:val="Compact"/>
        <w:numPr>
          <w:ilvl w:val="0"/>
          <w:numId w:val="1219"/>
        </w:numPr>
      </w:pPr>
      <w:r>
        <w:t xml:space="preserve">On 16 September 2025, the NCSC published a notification in the Royal Gazette revising the official list of Critical Information Infrastructure (CII) organizations, specifically covering seven key sectors including</w:t>
      </w:r>
      <w:r>
        <w:t xml:space="preserve"> </w:t>
      </w:r>
      <w:r>
        <w:rPr>
          <w:b/>
          <w:bCs/>
        </w:rPr>
        <w:t xml:space="preserve">public health</w:t>
      </w:r>
      <w:r>
        <w:t xml:space="preserve">. This update modernizes the 2023 classifications and clarifies regulatory oversight for both public and private essential service providers.</w:t>
      </w:r>
    </w:p>
    <w:p>
      <w:pPr>
        <w:pStyle w:val="FirstParagraph"/>
      </w:pPr>
      <w:r>
        <w:rPr>
          <w:b/>
          <w:bCs/>
        </w:rPr>
        <w:t xml:space="preserve">Website Security Standard (September 2025):</w:t>
      </w:r>
    </w:p>
    <w:p>
      <w:pPr>
        <w:pStyle w:val="Compact"/>
        <w:numPr>
          <w:ilvl w:val="0"/>
          <w:numId w:val="1220"/>
        </w:numPr>
      </w:pPr>
      <w:r>
        <w:t xml:space="preserve">A new Website Security Standard was issued on 16 September 2025 under the Cybersecurity Act, establishing mandatory technical protocols (encryption, incident management, etc.) for CII operators and government agencies.</w:t>
      </w:r>
    </w:p>
    <w:bookmarkEnd w:id="255"/>
    <w:bookmarkStart w:id="256" w:name="references-thailand"/>
    <w:p>
      <w:pPr>
        <w:pStyle w:val="Heading2"/>
      </w:pPr>
      <w:r>
        <w:t xml:space="preserve">References (Thailand)</w:t>
      </w:r>
    </w:p>
    <w:p>
      <w:pPr>
        <w:pStyle w:val="Compact"/>
        <w:numPr>
          <w:ilvl w:val="0"/>
          <w:numId w:val="1221"/>
        </w:numPr>
      </w:pPr>
      <w:r>
        <w:rPr>
          <w:b/>
          <w:bCs/>
        </w:rPr>
        <w:t xml:space="preserve">Office of the National Cyber Security Committee (NCSC).</w:t>
      </w:r>
      <w:r>
        <w:t xml:space="preserve"> </w:t>
      </w:r>
      <w:r>
        <w:rPr>
          <w:b/>
          <w:bCs/>
        </w:rPr>
        <w:t xml:space="preserve">Cybersecurity Act, B.E. 2562 (2019)</w:t>
      </w:r>
      <w:r>
        <w:t xml:space="preserve">. (</w:t>
      </w:r>
      <w:hyperlink r:id="rId53">
        <w:r>
          <w:rPr>
            <w:rStyle w:val="Hyperlink"/>
          </w:rPr>
          <w:t xml:space="preserve">link</w:t>
        </w:r>
      </w:hyperlink>
      <w:r>
        <w:t xml:space="preserve">)</w:t>
      </w:r>
    </w:p>
    <w:p>
      <w:pPr>
        <w:pStyle w:val="Compact"/>
        <w:numPr>
          <w:ilvl w:val="0"/>
          <w:numId w:val="1221"/>
        </w:numPr>
      </w:pPr>
      <w:r>
        <w:rPr>
          <w:b/>
          <w:bCs/>
        </w:rPr>
        <w:t xml:space="preserve">National Health Commission Office.</w:t>
      </w:r>
      <w:r>
        <w:t xml:space="preserve"> </w:t>
      </w:r>
      <w:r>
        <w:rPr>
          <w:b/>
          <w:bCs/>
        </w:rPr>
        <w:t xml:space="preserve">National Health Act, B.E. 2550 (2007)</w:t>
      </w:r>
      <w:r>
        <w:t xml:space="preserve">. (</w:t>
      </w:r>
      <w:hyperlink r:id="rId54">
        <w:r>
          <w:rPr>
            <w:rStyle w:val="Hyperlink"/>
          </w:rPr>
          <w:t xml:space="preserve">link</w:t>
        </w:r>
      </w:hyperlink>
      <w:r>
        <w:t xml:space="preserve">)</w:t>
      </w:r>
    </w:p>
    <w:p>
      <w:pPr>
        <w:pStyle w:val="Compact"/>
        <w:numPr>
          <w:ilvl w:val="0"/>
          <w:numId w:val="1221"/>
        </w:numPr>
      </w:pPr>
      <w:r>
        <w:rPr>
          <w:b/>
          <w:bCs/>
        </w:rPr>
        <w:t xml:space="preserve">Royal Thai Government Gazette.</w:t>
      </w:r>
      <w:r>
        <w:t xml:space="preserve"> </w:t>
      </w:r>
      <w:r>
        <w:rPr>
          <w:b/>
          <w:bCs/>
        </w:rPr>
        <w:t xml:space="preserve">NCSC Notification Re: List of Critical Information Infrastructure Organizations (2025)</w:t>
      </w:r>
      <w:r>
        <w:t xml:space="preserve">. (</w:t>
      </w:r>
      <w:hyperlink r:id="rId55">
        <w:r>
          <w:rPr>
            <w:rStyle w:val="Hyperlink"/>
          </w:rPr>
          <w:t xml:space="preserve">link</w:t>
        </w:r>
      </w:hyperlink>
      <w:r>
        <w:t xml:space="preserve">)</w:t>
      </w:r>
    </w:p>
    <w:p>
      <w:pPr>
        <w:pStyle w:val="Compact"/>
        <w:numPr>
          <w:ilvl w:val="0"/>
          <w:numId w:val="1221"/>
        </w:numPr>
      </w:pPr>
      <w:r>
        <w:rPr>
          <w:b/>
          <w:bCs/>
        </w:rPr>
        <w:t xml:space="preserve">NCSC Thailand.</w:t>
      </w:r>
      <w:r>
        <w:t xml:space="preserve"> </w:t>
      </w:r>
      <w:r>
        <w:rPr>
          <w:b/>
          <w:bCs/>
        </w:rPr>
        <w:t xml:space="preserve">Notification Re: Website Security Standard for Government and CII Organizations (2025)</w:t>
      </w:r>
      <w:r>
        <w:t xml:space="preserve">.</w:t>
      </w:r>
    </w:p>
    <w:p>
      <w:pPr>
        <w:sectPr>
          <w:footerReference w:type="first" r:id="rId13"/>
          <w:footerReference w:type="default" r:id="rId11"/>
          <w:footerReference w:type="even" r:id="rId10"/>
          <w:type w:val="nextPage"/>
        </w:sectPr>
      </w:pPr>
    </w:p>
    <w:bookmarkEnd w:id="256"/>
    <w:bookmarkEnd w:id="257"/>
    <w:bookmarkStart w:id="273" w:name="hong-kong-hksar"/>
    <w:p>
      <w:pPr>
        <w:pStyle w:val="Heading1"/>
      </w:pPr>
      <w:r>
        <w:t xml:space="preserve">HONG KONG (HKSAR)</w:t>
      </w:r>
    </w:p>
    <w:bookmarkStart w:id="258" w:name="final-categories-4"/>
    <w:p>
      <w:pPr>
        <w:pStyle w:val="Heading2"/>
      </w:pPr>
      <w:r>
        <w:t xml:space="preserve">Final Categories</w:t>
      </w:r>
    </w:p>
    <w:p>
      <w:pPr>
        <w:pStyle w:val="FirstParagraph"/>
      </w:pPr>
      <w:r>
        <w:rPr>
          <w:b/>
          <w:bCs/>
        </w:rPr>
        <w:t xml:space="preserve">Protection of Critical Infrastructures (Computer Systems) Ordinance</w:t>
      </w:r>
      <w:r>
        <w:t xml:space="preserve"> </w:t>
      </w:r>
      <w:r>
        <w:t xml:space="preserve">(Ord. No. 4 of 2025; Cap. 653) creates the following legal categories:</w:t>
      </w:r>
    </w:p>
    <w:p>
      <w:pPr>
        <w:pStyle w:val="Compact"/>
        <w:numPr>
          <w:ilvl w:val="0"/>
          <w:numId w:val="1222"/>
        </w:numPr>
      </w:pPr>
      <w:r>
        <w:rPr>
          <w:b/>
          <w:bCs/>
        </w:rPr>
        <w:t xml:space="preserve">Critical infrastructure</w:t>
      </w:r>
      <w:r>
        <w:t xml:space="preserve"> </w:t>
      </w:r>
      <w:r>
        <w:t xml:space="preserve">(definition linked to</w:t>
      </w:r>
      <w:r>
        <w:t xml:space="preserve"> </w:t>
      </w:r>
      <w:r>
        <w:rPr>
          <w:b/>
          <w:bCs/>
        </w:rPr>
        <w:t xml:space="preserve">Schedule 1 sectors</w:t>
      </w:r>
      <w:r>
        <w:t xml:space="preserve">, including</w:t>
      </w:r>
      <w:r>
        <w:t xml:space="preserve"> </w:t>
      </w:r>
      <w:r>
        <w:rPr>
          <w:b/>
          <w:bCs/>
        </w:rPr>
        <w:t xml:space="preserve">Healthcare services</w:t>
      </w:r>
      <w:r>
        <w:t xml:space="preserve">) (</w:t>
      </w:r>
      <w:hyperlink r:id="rId53">
        <w:r>
          <w:rPr>
            <w:rStyle w:val="Hyperlink"/>
          </w:rPr>
          <w:t xml:space="preserve">Legislative Council of Hong Kong</w:t>
        </w:r>
      </w:hyperlink>
      <w:r>
        <w:t xml:space="preserve">)</w:t>
      </w:r>
    </w:p>
    <w:p>
      <w:pPr>
        <w:pStyle w:val="Compact"/>
        <w:numPr>
          <w:ilvl w:val="0"/>
          <w:numId w:val="1222"/>
        </w:numPr>
      </w:pPr>
      <w:r>
        <w:rPr>
          <w:b/>
          <w:bCs/>
        </w:rPr>
        <w:t xml:space="preserve">Specified critical infrastructure</w:t>
      </w:r>
      <w:r>
        <w:t xml:space="preserve"> </w:t>
      </w:r>
      <w:r>
        <w:t xml:space="preserve">(a “critical infrastructure” that is</w:t>
      </w:r>
      <w:r>
        <w:t xml:space="preserve"> </w:t>
      </w:r>
      <w:r>
        <w:rPr>
          <w:b/>
          <w:bCs/>
        </w:rPr>
        <w:t xml:space="preserve">specified for</w:t>
      </w:r>
      <w:r>
        <w:t xml:space="preserve"> </w:t>
      </w:r>
      <w:r>
        <w:t xml:space="preserve">a particular</w:t>
      </w:r>
      <w:r>
        <w:t xml:space="preserve"> </w:t>
      </w:r>
      <w:r>
        <w:rPr>
          <w:b/>
          <w:bCs/>
        </w:rPr>
        <w:t xml:space="preserve">regulating authority</w:t>
      </w:r>
      <w:r>
        <w:t xml:space="preserve">) (</w:t>
      </w:r>
      <w:hyperlink r:id="rId53">
        <w:r>
          <w:rPr>
            <w:rStyle w:val="Hyperlink"/>
          </w:rPr>
          <w:t xml:space="preserve">Legislative Council of Hong Kong</w:t>
        </w:r>
      </w:hyperlink>
      <w:r>
        <w:t xml:space="preserve">)</w:t>
      </w:r>
    </w:p>
    <w:p>
      <w:pPr>
        <w:pStyle w:val="Compact"/>
        <w:numPr>
          <w:ilvl w:val="0"/>
          <w:numId w:val="1222"/>
        </w:numPr>
      </w:pPr>
      <w:r>
        <w:rPr>
          <w:b/>
          <w:bCs/>
        </w:rPr>
        <w:t xml:space="preserve">Regulating authorities</w:t>
      </w:r>
    </w:p>
    <w:p>
      <w:pPr>
        <w:pStyle w:val="Compact"/>
        <w:numPr>
          <w:ilvl w:val="1"/>
          <w:numId w:val="1223"/>
        </w:numPr>
      </w:pPr>
      <w:r>
        <w:rPr>
          <w:b/>
          <w:bCs/>
        </w:rPr>
        <w:t xml:space="preserve">Commissioner of Critical Infrastructure (Computer-system Security)</w:t>
      </w:r>
      <w:r>
        <w:t xml:space="preserve"> </w:t>
      </w:r>
      <w:r>
        <w:t xml:space="preserve">(as regulating authority) (</w:t>
      </w:r>
      <w:hyperlink r:id="rId53">
        <w:r>
          <w:rPr>
            <w:rStyle w:val="Hyperlink"/>
          </w:rPr>
          <w:t xml:space="preserve">Legislative Council of Hong Kong</w:t>
        </w:r>
      </w:hyperlink>
      <w:r>
        <w:t xml:space="preserve">)</w:t>
      </w:r>
    </w:p>
    <w:p>
      <w:pPr>
        <w:pStyle w:val="Compact"/>
        <w:numPr>
          <w:ilvl w:val="1"/>
          <w:numId w:val="1223"/>
        </w:numPr>
      </w:pPr>
      <w:r>
        <w:rPr>
          <w:b/>
          <w:bCs/>
        </w:rPr>
        <w:t xml:space="preserve">Designated authorities</w:t>
      </w:r>
      <w:r>
        <w:t xml:space="preserve"> </w:t>
      </w:r>
      <w:r>
        <w:t xml:space="preserve">in</w:t>
      </w:r>
      <w:r>
        <w:t xml:space="preserve"> </w:t>
      </w:r>
      <w:r>
        <w:rPr>
          <w:b/>
          <w:bCs/>
        </w:rPr>
        <w:t xml:space="preserve">Schedule 2</w:t>
      </w:r>
      <w:r>
        <w:t xml:space="preserve"> </w:t>
      </w:r>
      <w:r>
        <w:t xml:space="preserve">(Monetary Authority; Communications Authority) (</w:t>
      </w:r>
      <w:hyperlink r:id="rId53">
        <w:r>
          <w:rPr>
            <w:rStyle w:val="Hyperlink"/>
          </w:rPr>
          <w:t xml:space="preserve">Legislative Council of Hong Kong</w:t>
        </w:r>
      </w:hyperlink>
      <w:r>
        <w:t xml:space="preserve">)</w:t>
      </w:r>
    </w:p>
    <w:p>
      <w:pPr>
        <w:pStyle w:val="Compact"/>
        <w:numPr>
          <w:ilvl w:val="0"/>
          <w:numId w:val="1222"/>
        </w:numPr>
      </w:pPr>
      <w:r>
        <w:rPr>
          <w:b/>
          <w:bCs/>
        </w:rPr>
        <w:t xml:space="preserve">CI operator</w:t>
      </w:r>
      <w:r>
        <w:t xml:space="preserve"> </w:t>
      </w:r>
      <w:r>
        <w:t xml:space="preserve">(organization</w:t>
      </w:r>
      <w:r>
        <w:t xml:space="preserve"> </w:t>
      </w:r>
      <w:r>
        <w:rPr>
          <w:b/>
          <w:bCs/>
        </w:rPr>
        <w:t xml:space="preserve">designated</w:t>
      </w:r>
      <w:r>
        <w:t xml:space="preserve"> </w:t>
      </w:r>
      <w:r>
        <w:t xml:space="preserve">under section 12) (</w:t>
      </w:r>
      <w:hyperlink r:id="rId53">
        <w:r>
          <w:rPr>
            <w:rStyle w:val="Hyperlink"/>
          </w:rPr>
          <w:t xml:space="preserve">Legislative Council of Hong Kong</w:t>
        </w:r>
      </w:hyperlink>
      <w:r>
        <w:t xml:space="preserve">)</w:t>
      </w:r>
    </w:p>
    <w:p>
      <w:pPr>
        <w:pStyle w:val="Compact"/>
        <w:numPr>
          <w:ilvl w:val="0"/>
          <w:numId w:val="1222"/>
        </w:numPr>
      </w:pPr>
      <w:r>
        <w:rPr>
          <w:b/>
          <w:bCs/>
        </w:rPr>
        <w:t xml:space="preserve">Critical computer system</w:t>
      </w:r>
      <w:r>
        <w:t xml:space="preserve"> </w:t>
      </w:r>
      <w:r>
        <w:t xml:space="preserve">(computer system</w:t>
      </w:r>
      <w:r>
        <w:t xml:space="preserve"> </w:t>
      </w:r>
      <w:r>
        <w:rPr>
          <w:b/>
          <w:bCs/>
        </w:rPr>
        <w:t xml:space="preserve">designated</w:t>
      </w:r>
      <w:r>
        <w:t xml:space="preserve"> </w:t>
      </w:r>
      <w:r>
        <w:t xml:space="preserve">under section 13) (</w:t>
      </w:r>
      <w:hyperlink r:id="rId53">
        <w:r>
          <w:rPr>
            <w:rStyle w:val="Hyperlink"/>
          </w:rPr>
          <w:t xml:space="preserve">Legislative Council of Hong Kong</w:t>
        </w:r>
      </w:hyperlink>
      <w:r>
        <w:t xml:space="preserve">)</w:t>
      </w:r>
    </w:p>
    <w:p>
      <w:pPr>
        <w:pStyle w:val="Compact"/>
        <w:numPr>
          <w:ilvl w:val="0"/>
          <w:numId w:val="1222"/>
        </w:numPr>
      </w:pPr>
      <w:r>
        <w:rPr>
          <w:b/>
          <w:bCs/>
        </w:rPr>
        <w:t xml:space="preserve">Category 1 / Category 2 / Category 3 obligations</w:t>
      </w:r>
      <w:r>
        <w:t xml:space="preserve"> </w:t>
      </w:r>
      <w:r>
        <w:t xml:space="preserve">(defined by reference to</w:t>
      </w:r>
      <w:r>
        <w:t xml:space="preserve"> </w:t>
      </w:r>
      <w:r>
        <w:rPr>
          <w:b/>
          <w:bCs/>
        </w:rPr>
        <w:t xml:space="preserve">Part 4</w:t>
      </w:r>
      <w:r>
        <w:t xml:space="preserve"> </w:t>
      </w:r>
      <w:r>
        <w:t xml:space="preserve">divisions) (</w:t>
      </w:r>
      <w:hyperlink r:id="rId53">
        <w:r>
          <w:rPr>
            <w:rStyle w:val="Hyperlink"/>
          </w:rPr>
          <w:t xml:space="preserve">Legislative Council of Hong Kong</w:t>
        </w:r>
      </w:hyperlink>
      <w:r>
        <w:t xml:space="preserve">)</w:t>
      </w:r>
    </w:p>
    <w:p>
      <w:pPr>
        <w:pStyle w:val="FirstParagraph"/>
      </w:pPr>
      <w:r>
        <w:rPr>
          <w:b/>
          <w:bCs/>
        </w:rPr>
        <w:t xml:space="preserve">Commencement:</w:t>
      </w:r>
      <w:r>
        <w:t xml:space="preserve"> </w:t>
      </w:r>
      <w:r>
        <w:t xml:space="preserve">a Government notice states the Ordinance</w:t>
      </w:r>
      <w:r>
        <w:t xml:space="preserve"> </w:t>
      </w:r>
      <w:r>
        <w:rPr>
          <w:b/>
          <w:bCs/>
        </w:rPr>
        <w:t xml:space="preserve">comes into operation on 1 January 2026</w:t>
      </w:r>
      <w:r>
        <w:t xml:space="preserve"> </w:t>
      </w:r>
      <w:r>
        <w:t xml:space="preserve">(with commencement notice published in the Gazette on 27 June 2025). (</w:t>
      </w:r>
      <w:hyperlink r:id="rId54">
        <w:r>
          <w:rPr>
            <w:rStyle w:val="Hyperlink"/>
          </w:rPr>
          <w:t xml:space="preserve">Communications Authority</w:t>
        </w:r>
      </w:hyperlink>
      <w:r>
        <w:t xml:space="preserve">)</w:t>
      </w:r>
    </w:p>
    <w:bookmarkEnd w:id="258"/>
    <w:bookmarkStart w:id="259" w:name="X74c54e09b689a1d133f53017bf1db024a905e4f"/>
    <w:p>
      <w:pPr>
        <w:pStyle w:val="Heading2"/>
      </w:pPr>
      <w:r>
        <w:t xml:space="preserve">Exact Legal / Regulatory Criteria (primary text)</w:t>
      </w:r>
    </w:p>
    <w:bookmarkEnd w:id="259"/>
    <w:bookmarkStart w:id="260" w:name="X024943b1a39300fb9a48fc83fcad6e6f8e0f166"/>
    <w:p>
      <w:pPr>
        <w:pStyle w:val="Heading2"/>
      </w:pPr>
      <w:r>
        <w:t xml:space="preserve">A) “Critical infrastructure” — definition + sectors</w:t>
      </w:r>
    </w:p>
    <w:p>
      <w:pPr>
        <w:pStyle w:val="FirstParagraph"/>
      </w:pPr>
      <w:r>
        <w:rPr>
          <w:b/>
          <w:bCs/>
        </w:rPr>
        <w:t xml:space="preserve">Definition (section 2):</w:t>
      </w:r>
      <w:r>
        <w:t xml:space="preserve"> </w:t>
      </w:r>
      <w:r>
        <w:t xml:space="preserve">“critical infrastructure” means an infrastructure that is:</w:t>
      </w:r>
    </w:p>
    <w:p>
      <w:pPr>
        <w:pStyle w:val="Compact"/>
        <w:numPr>
          <w:ilvl w:val="0"/>
          <w:numId w:val="1224"/>
        </w:numPr>
      </w:pPr>
      <w:r>
        <w:rPr>
          <w:b/>
          <w:bCs/>
        </w:rPr>
        <w:t xml:space="preserve">related to a sector specified in Schedule 1</w:t>
      </w:r>
      <w:r>
        <w:t xml:space="preserve">, and</w:t>
      </w:r>
    </w:p>
    <w:p>
      <w:pPr>
        <w:pStyle w:val="Compact"/>
        <w:numPr>
          <w:ilvl w:val="0"/>
          <w:numId w:val="1224"/>
        </w:numPr>
      </w:pPr>
      <w:r>
        <w:rPr>
          <w:b/>
          <w:bCs/>
        </w:rPr>
        <w:t xml:space="preserve">provides an essential service in Hong Kong</w:t>
      </w:r>
      <w:r>
        <w:t xml:space="preserve">, and</w:t>
      </w:r>
    </w:p>
    <w:p>
      <w:pPr>
        <w:pStyle w:val="Compact"/>
        <w:numPr>
          <w:ilvl w:val="0"/>
          <w:numId w:val="1224"/>
        </w:numPr>
      </w:pPr>
      <w:r>
        <w:t xml:space="preserve">the disruption/compromise described in the definition would</w:t>
      </w:r>
      <w:r>
        <w:t xml:space="preserve"> </w:t>
      </w:r>
      <w:r>
        <w:rPr>
          <w:b/>
          <w:bCs/>
        </w:rPr>
        <w:t xml:space="preserve">hinder or substantially affect</w:t>
      </w:r>
      <w:r>
        <w:t xml:space="preserve"> </w:t>
      </w:r>
      <w:r>
        <w:t xml:space="preserve">maintenance of</w:t>
      </w:r>
      <w:r>
        <w:t xml:space="preserve"> </w:t>
      </w:r>
      <w:r>
        <w:rPr>
          <w:b/>
          <w:bCs/>
        </w:rPr>
        <w:t xml:space="preserve">critical societal and economic activities in Hong Kong</w:t>
      </w:r>
      <w:r>
        <w:t xml:space="preserve">. (</w:t>
      </w:r>
      <w:hyperlink r:id="rId53">
        <w:r>
          <w:rPr>
            <w:rStyle w:val="Hyperlink"/>
          </w:rPr>
          <w:t xml:space="preserve">Legislative Council of Hong Kong</w:t>
        </w:r>
      </w:hyperlink>
      <w:r>
        <w:t xml:space="preserve">)</w:t>
      </w:r>
    </w:p>
    <w:p>
      <w:pPr>
        <w:pStyle w:val="FirstParagraph"/>
      </w:pPr>
      <w:r>
        <w:rPr>
          <w:b/>
          <w:bCs/>
        </w:rPr>
        <w:t xml:space="preserve">Schedule 1 sectors</w:t>
      </w:r>
      <w:r>
        <w:t xml:space="preserve"> </w:t>
      </w:r>
      <w:r>
        <w:t xml:space="preserve">(for the definition of “critical infrastructure”) include:</w:t>
      </w:r>
      <w:r>
        <w:t xml:space="preserve"> </w:t>
      </w:r>
      <w:r>
        <w:rPr>
          <w:b/>
          <w:bCs/>
        </w:rPr>
        <w:t xml:space="preserve">Energy; Information technology; Banking and financial services; Air transport; Land transport; Maritime transport; Healthcare services; Telecommunications and broadcasting services</w:t>
      </w:r>
      <w:r>
        <w:t xml:space="preserve">. (</w:t>
      </w:r>
      <w:hyperlink r:id="rId53">
        <w:r>
          <w:rPr>
            <w:rStyle w:val="Hyperlink"/>
          </w:rPr>
          <w:t xml:space="preserve">Legislative Council of Hong Kong</w:t>
        </w:r>
      </w:hyperlink>
      <w:r>
        <w:t xml:space="preserve">)</w:t>
      </w:r>
    </w:p>
    <w:bookmarkEnd w:id="260"/>
    <w:bookmarkStart w:id="261" w:name="X7ecd4cc2027acde7f8c146ae07a9128f72fc74e"/>
    <w:p>
      <w:pPr>
        <w:pStyle w:val="Heading2"/>
      </w:pPr>
      <w:r>
        <w:t xml:space="preserve">B) “Specified critical infrastructure” — which regulator applies</w:t>
      </w:r>
    </w:p>
    <w:p>
      <w:pPr>
        <w:pStyle w:val="FirstParagraph"/>
      </w:pPr>
      <w:r>
        <w:t xml:space="preserve">For a</w:t>
      </w:r>
      <w:r>
        <w:t xml:space="preserve"> </w:t>
      </w:r>
      <w:r>
        <w:rPr>
          <w:b/>
          <w:bCs/>
        </w:rPr>
        <w:t xml:space="preserve">critical infrastructure</w:t>
      </w:r>
      <w:r>
        <w:t xml:space="preserve"> </w:t>
      </w:r>
      <w:r>
        <w:t xml:space="preserve">to be a</w:t>
      </w:r>
      <w:r>
        <w:t xml:space="preserve"> </w:t>
      </w:r>
      <w:r>
        <w:rPr>
          <w:b/>
          <w:bCs/>
        </w:rPr>
        <w:t xml:space="preserve">specified critical infrastructure</w:t>
      </w:r>
      <w:r>
        <w:t xml:space="preserve"> </w:t>
      </w:r>
      <w:r>
        <w:t xml:space="preserve">(section 2(3)):</w:t>
      </w:r>
    </w:p>
    <w:p>
      <w:pPr>
        <w:pStyle w:val="Compact"/>
        <w:numPr>
          <w:ilvl w:val="0"/>
          <w:numId w:val="1225"/>
        </w:numPr>
      </w:pPr>
      <w:r>
        <w:t xml:space="preserve">it must be</w:t>
      </w:r>
      <w:r>
        <w:t xml:space="preserve"> </w:t>
      </w:r>
      <w:r>
        <w:rPr>
          <w:b/>
          <w:bCs/>
        </w:rPr>
        <w:t xml:space="preserve">related to</w:t>
      </w:r>
      <w:r>
        <w:t xml:space="preserve"> </w:t>
      </w:r>
      <w:r>
        <w:t xml:space="preserve">a sector in</w:t>
      </w:r>
      <w:r>
        <w:t xml:space="preserve"> </w:t>
      </w:r>
      <w:r>
        <w:rPr>
          <w:b/>
          <w:bCs/>
        </w:rPr>
        <w:t xml:space="preserve">Schedule 1</w:t>
      </w:r>
      <w:r>
        <w:t xml:space="preserve">, and</w:t>
      </w:r>
    </w:p>
    <w:p>
      <w:pPr>
        <w:pStyle w:val="Compact"/>
        <w:numPr>
          <w:ilvl w:val="0"/>
          <w:numId w:val="1225"/>
        </w:numPr>
      </w:pPr>
      <w:r>
        <w:t xml:space="preserve">it is specified</w:t>
      </w:r>
      <w:r>
        <w:t xml:space="preserve"> </w:t>
      </w:r>
      <w:r>
        <w:rPr>
          <w:b/>
          <w:bCs/>
        </w:rPr>
        <w:t xml:space="preserve">for a designated authority</w:t>
      </w:r>
      <w:r>
        <w:t xml:space="preserve"> </w:t>
      </w:r>
      <w:r>
        <w:t xml:space="preserve">if it is related to a sector in</w:t>
      </w:r>
      <w:r>
        <w:t xml:space="preserve"> </w:t>
      </w:r>
      <w:r>
        <w:rPr>
          <w:b/>
          <w:bCs/>
        </w:rPr>
        <w:t xml:space="preserve">Schedule 2</w:t>
      </w:r>
      <w:r>
        <w:t xml:space="preserve"> </w:t>
      </w:r>
      <w:r>
        <w:t xml:space="preserve">and is operated by a</w:t>
      </w:r>
      <w:r>
        <w:t xml:space="preserve"> </w:t>
      </w:r>
      <w:r>
        <w:rPr>
          <w:b/>
          <w:bCs/>
        </w:rPr>
        <w:t xml:space="preserve">regulated organization</w:t>
      </w:r>
      <w:r>
        <w:t xml:space="preserve"> </w:t>
      </w:r>
      <w:r>
        <w:t xml:space="preserve">in Schedule 2; otherwise it is specified</w:t>
      </w:r>
      <w:r>
        <w:t xml:space="preserve"> </w:t>
      </w:r>
      <w:r>
        <w:rPr>
          <w:b/>
          <w:bCs/>
        </w:rPr>
        <w:t xml:space="preserve">for the Commissioner</w:t>
      </w:r>
      <w:r>
        <w:t xml:space="preserve">. (</w:t>
      </w:r>
      <w:hyperlink r:id="rId53">
        <w:r>
          <w:rPr>
            <w:rStyle w:val="Hyperlink"/>
          </w:rPr>
          <w:t xml:space="preserve">Legislative Council of Hong Kong</w:t>
        </w:r>
      </w:hyperlink>
      <w:r>
        <w:t xml:space="preserve">)</w:t>
      </w:r>
    </w:p>
    <w:p>
      <w:pPr>
        <w:pStyle w:val="FirstParagraph"/>
      </w:pPr>
      <w:r>
        <w:rPr>
          <w:b/>
          <w:bCs/>
        </w:rPr>
        <w:t xml:space="preserve">Designated authorities in Schedule 2:</w:t>
      </w:r>
    </w:p>
    <w:p>
      <w:pPr>
        <w:pStyle w:val="Compact"/>
        <w:numPr>
          <w:ilvl w:val="0"/>
          <w:numId w:val="1226"/>
        </w:numPr>
      </w:pPr>
      <w:r>
        <w:rPr>
          <w:b/>
          <w:bCs/>
        </w:rPr>
        <w:t xml:space="preserve">Monetary Authority</w:t>
      </w:r>
      <w:r>
        <w:t xml:space="preserve"> </w:t>
      </w:r>
      <w:r>
        <w:t xml:space="preserve">(for</w:t>
      </w:r>
      <w:r>
        <w:t xml:space="preserve"> </w:t>
      </w:r>
      <w:r>
        <w:rPr>
          <w:b/>
          <w:bCs/>
        </w:rPr>
        <w:t xml:space="preserve">Banking and financial services</w:t>
      </w:r>
      <w:r>
        <w:t xml:space="preserve">)</w:t>
      </w:r>
    </w:p>
    <w:p>
      <w:pPr>
        <w:pStyle w:val="Compact"/>
        <w:numPr>
          <w:ilvl w:val="0"/>
          <w:numId w:val="1226"/>
        </w:numPr>
      </w:pPr>
      <w:r>
        <w:rPr>
          <w:b/>
          <w:bCs/>
        </w:rPr>
        <w:t xml:space="preserve">Communications Authority</w:t>
      </w:r>
      <w:r>
        <w:t xml:space="preserve"> </w:t>
      </w:r>
      <w:r>
        <w:t xml:space="preserve">(for</w:t>
      </w:r>
      <w:r>
        <w:t xml:space="preserve"> </w:t>
      </w:r>
      <w:r>
        <w:rPr>
          <w:b/>
          <w:bCs/>
        </w:rPr>
        <w:t xml:space="preserve">Telecommunications and broadcasting services</w:t>
      </w:r>
      <w:r>
        <w:t xml:space="preserve">) (</w:t>
      </w:r>
      <w:hyperlink r:id="rId53">
        <w:r>
          <w:rPr>
            <w:rStyle w:val="Hyperlink"/>
          </w:rPr>
          <w:t xml:space="preserve">Legislative Council of Hong Kong</w:t>
        </w:r>
      </w:hyperlink>
      <w:r>
        <w:t xml:space="preserve">)</w:t>
      </w:r>
    </w:p>
    <w:p>
      <w:pPr>
        <w:pStyle w:val="FirstParagraph"/>
      </w:pPr>
      <w:r>
        <w:rPr>
          <w:b/>
          <w:bCs/>
        </w:rPr>
        <w:t xml:space="preserve">Regulating authority rule (section 5):</w:t>
      </w:r>
      <w:r>
        <w:t xml:space="preserve"> </w:t>
      </w:r>
      <w:r>
        <w:t xml:space="preserve">the</w:t>
      </w:r>
      <w:r>
        <w:t xml:space="preserve"> </w:t>
      </w:r>
      <w:r>
        <w:rPr>
          <w:b/>
          <w:bCs/>
        </w:rPr>
        <w:t xml:space="preserve">Commissioner</w:t>
      </w:r>
      <w:r>
        <w:t xml:space="preserve"> </w:t>
      </w:r>
      <w:r>
        <w:t xml:space="preserve">is the regulating authority for CI operators</w:t>
      </w:r>
      <w:r>
        <w:t xml:space="preserve"> </w:t>
      </w:r>
      <w:r>
        <w:rPr>
          <w:b/>
          <w:bCs/>
        </w:rPr>
        <w:t xml:space="preserve">unless</w:t>
      </w:r>
      <w:r>
        <w:t xml:space="preserve"> </w:t>
      </w:r>
      <w:r>
        <w:t xml:space="preserve">the operator operates a specified critical infrastructure specified for a</w:t>
      </w:r>
      <w:r>
        <w:t xml:space="preserve"> </w:t>
      </w:r>
      <w:r>
        <w:rPr>
          <w:b/>
          <w:bCs/>
        </w:rPr>
        <w:t xml:space="preserve">designated authority</w:t>
      </w:r>
      <w:r>
        <w:t xml:space="preserve">, in which case the</w:t>
      </w:r>
      <w:r>
        <w:t xml:space="preserve"> </w:t>
      </w:r>
      <w:r>
        <w:rPr>
          <w:b/>
          <w:bCs/>
        </w:rPr>
        <w:t xml:space="preserve">designated authority</w:t>
      </w:r>
      <w:r>
        <w:t xml:space="preserve"> </w:t>
      </w:r>
      <w:r>
        <w:t xml:space="preserve">regulates that operator. (</w:t>
      </w:r>
      <w:hyperlink r:id="rId53">
        <w:r>
          <w:rPr>
            <w:rStyle w:val="Hyperlink"/>
          </w:rPr>
          <w:t xml:space="preserve">Legislative Council of Hong Kong</w:t>
        </w:r>
      </w:hyperlink>
      <w:r>
        <w:t xml:space="preserve">)</w:t>
      </w:r>
    </w:p>
    <w:bookmarkEnd w:id="261"/>
    <w:bookmarkStart w:id="262" w:name="X8522dd88498526baa74dccf23b30a1c827d4e6e"/>
    <w:p>
      <w:pPr>
        <w:pStyle w:val="Heading2"/>
      </w:pPr>
      <w:r>
        <w:t xml:space="preserve">C) CI operator — designation test (section 12)</w:t>
      </w:r>
    </w:p>
    <w:p>
      <w:pPr>
        <w:pStyle w:val="FirstParagraph"/>
      </w:pPr>
      <w:r>
        <w:t xml:space="preserve">A regulating authority may</w:t>
      </w:r>
      <w:r>
        <w:t xml:space="preserve"> </w:t>
      </w:r>
      <w:r>
        <w:rPr>
          <w:b/>
          <w:bCs/>
        </w:rPr>
        <w:t xml:space="preserve">designate an organization</w:t>
      </w:r>
      <w:r>
        <w:t xml:space="preserve"> </w:t>
      </w:r>
      <w:r>
        <w:t xml:space="preserve">as a</w:t>
      </w:r>
      <w:r>
        <w:t xml:space="preserve"> </w:t>
      </w:r>
      <w:r>
        <w:rPr>
          <w:b/>
          <w:bCs/>
        </w:rPr>
        <w:t xml:space="preserve">CI operator</w:t>
      </w:r>
      <w:r>
        <w:t xml:space="preserve"> </w:t>
      </w:r>
      <w:r>
        <w:t xml:space="preserve">if the authority determines the organization has</w:t>
      </w:r>
      <w:r>
        <w:t xml:space="preserve"> </w:t>
      </w:r>
      <w:r>
        <w:rPr>
          <w:b/>
          <w:bCs/>
        </w:rPr>
        <w:t xml:space="preserve">ownership or control</w:t>
      </w:r>
      <w:r>
        <w:t xml:space="preserve"> </w:t>
      </w:r>
      <w:r>
        <w:t xml:space="preserve">in relation to the</w:t>
      </w:r>
      <w:r>
        <w:t xml:space="preserve"> </w:t>
      </w:r>
      <w:r>
        <w:rPr>
          <w:b/>
          <w:bCs/>
        </w:rPr>
        <w:t xml:space="preserve">operation</w:t>
      </w:r>
      <w:r>
        <w:t xml:space="preserve"> </w:t>
      </w:r>
      <w:r>
        <w:t xml:space="preserve">of the whole or part of a specified critical infrastructure, including (examples listed in section 12(2)):</w:t>
      </w:r>
    </w:p>
    <w:p>
      <w:pPr>
        <w:pStyle w:val="Compact"/>
        <w:numPr>
          <w:ilvl w:val="0"/>
          <w:numId w:val="1227"/>
        </w:numPr>
      </w:pPr>
      <w:r>
        <w:t xml:space="preserve">ownership/control of the whole/part of the infrastructure;</w:t>
      </w:r>
    </w:p>
    <w:p>
      <w:pPr>
        <w:pStyle w:val="Compact"/>
        <w:numPr>
          <w:ilvl w:val="0"/>
          <w:numId w:val="1227"/>
        </w:numPr>
      </w:pPr>
      <w:r>
        <w:t xml:space="preserve">operation of the whole/part;</w:t>
      </w:r>
    </w:p>
    <w:p>
      <w:pPr>
        <w:pStyle w:val="Compact"/>
        <w:numPr>
          <w:ilvl w:val="0"/>
          <w:numId w:val="1227"/>
        </w:numPr>
      </w:pPr>
      <w:r>
        <w:t xml:space="preserve">ability to</w:t>
      </w:r>
      <w:r>
        <w:t xml:space="preserve"> </w:t>
      </w:r>
      <w:r>
        <w:rPr>
          <w:b/>
          <w:bCs/>
        </w:rPr>
        <w:t xml:space="preserve">direct or influence</w:t>
      </w:r>
      <w:r>
        <w:t xml:space="preserve"> </w:t>
      </w:r>
      <w:r>
        <w:t xml:space="preserve">the operation. (</w:t>
      </w:r>
      <w:hyperlink r:id="rId53">
        <w:r>
          <w:rPr>
            <w:rStyle w:val="Hyperlink"/>
          </w:rPr>
          <w:t xml:space="preserve">Legislative Council of Hong Kong</w:t>
        </w:r>
      </w:hyperlink>
      <w:r>
        <w:t xml:space="preserve">)</w:t>
      </w:r>
    </w:p>
    <w:p>
      <w:pPr>
        <w:pStyle w:val="FirstParagraph"/>
      </w:pPr>
      <w:r>
        <w:t xml:space="preserve">In deciding whether to designate, section 12(3) lists factors including:</w:t>
      </w:r>
    </w:p>
    <w:p>
      <w:pPr>
        <w:pStyle w:val="Compact"/>
        <w:numPr>
          <w:ilvl w:val="0"/>
          <w:numId w:val="1228"/>
        </w:numPr>
      </w:pPr>
      <w:r>
        <w:rPr>
          <w:b/>
          <w:bCs/>
        </w:rPr>
        <w:t xml:space="preserve">degree of ownership or control</w:t>
      </w:r>
      <w:r>
        <w:t xml:space="preserve"> </w:t>
      </w:r>
      <w:r>
        <w:t xml:space="preserve">in relation to operation;</w:t>
      </w:r>
    </w:p>
    <w:p>
      <w:pPr>
        <w:pStyle w:val="Compact"/>
        <w:numPr>
          <w:ilvl w:val="0"/>
          <w:numId w:val="1228"/>
        </w:numPr>
      </w:pPr>
      <w:r>
        <w:t xml:space="preserve">whether the organization can</w:t>
      </w:r>
      <w:r>
        <w:t xml:space="preserve"> </w:t>
      </w:r>
      <w:r>
        <w:rPr>
          <w:b/>
          <w:bCs/>
        </w:rPr>
        <w:t xml:space="preserve">direct or influence</w:t>
      </w:r>
      <w:r>
        <w:t xml:space="preserve"> </w:t>
      </w:r>
      <w:r>
        <w:t xml:space="preserve">the operation;</w:t>
      </w:r>
    </w:p>
    <w:p>
      <w:pPr>
        <w:pStyle w:val="Compact"/>
        <w:numPr>
          <w:ilvl w:val="0"/>
          <w:numId w:val="1228"/>
        </w:numPr>
      </w:pPr>
      <w:r>
        <w:t xml:space="preserve">any other factor the authority considers relevant. (</w:t>
      </w:r>
      <w:hyperlink r:id="rId53">
        <w:r>
          <w:rPr>
            <w:rStyle w:val="Hyperlink"/>
          </w:rPr>
          <w:t xml:space="preserve">Legislative Council of Hong Kong</w:t>
        </w:r>
      </w:hyperlink>
      <w:r>
        <w:t xml:space="preserve">)</w:t>
      </w:r>
    </w:p>
    <w:bookmarkEnd w:id="262"/>
    <w:bookmarkStart w:id="263" w:name="Xe59908ce1fbd31047e58cf115152314a78bd548"/>
    <w:p>
      <w:pPr>
        <w:pStyle w:val="Heading2"/>
      </w:pPr>
      <w:r>
        <w:t xml:space="preserve">D) Critical computer system — designation test (section 13)</w:t>
      </w:r>
    </w:p>
    <w:p>
      <w:pPr>
        <w:pStyle w:val="FirstParagraph"/>
      </w:pPr>
      <w:r>
        <w:t xml:space="preserve">A regulating authority may</w:t>
      </w:r>
      <w:r>
        <w:t xml:space="preserve"> </w:t>
      </w:r>
      <w:r>
        <w:rPr>
          <w:b/>
          <w:bCs/>
        </w:rPr>
        <w:t xml:space="preserve">designate a computer system</w:t>
      </w:r>
      <w:r>
        <w:t xml:space="preserve"> </w:t>
      </w:r>
      <w:r>
        <w:t xml:space="preserve">as a</w:t>
      </w:r>
      <w:r>
        <w:t xml:space="preserve"> </w:t>
      </w:r>
      <w:r>
        <w:rPr>
          <w:b/>
          <w:bCs/>
        </w:rPr>
        <w:t xml:space="preserve">critical computer system</w:t>
      </w:r>
      <w:r>
        <w:t xml:space="preserve"> </w:t>
      </w:r>
      <w:r>
        <w:t xml:space="preserve">of a specified critical infrastructure if (section 13(1)):</w:t>
      </w:r>
    </w:p>
    <w:p>
      <w:pPr>
        <w:pStyle w:val="Compact"/>
        <w:numPr>
          <w:ilvl w:val="0"/>
          <w:numId w:val="1229"/>
        </w:numPr>
      </w:pPr>
      <w:r>
        <w:t xml:space="preserve">it is a computer system</w:t>
      </w:r>
      <w:r>
        <w:t xml:space="preserve"> </w:t>
      </w:r>
      <w:r>
        <w:rPr>
          <w:b/>
          <w:bCs/>
        </w:rPr>
        <w:t xml:space="preserve">operated by</w:t>
      </w:r>
      <w:r>
        <w:t xml:space="preserve"> </w:t>
      </w:r>
      <w:r>
        <w:t xml:space="preserve">the CI operator or another person;</w:t>
      </w:r>
    </w:p>
    <w:p>
      <w:pPr>
        <w:pStyle w:val="Compact"/>
        <w:numPr>
          <w:ilvl w:val="0"/>
          <w:numId w:val="1229"/>
        </w:numPr>
      </w:pPr>
      <w:r>
        <w:t xml:space="preserve">it is</w:t>
      </w:r>
      <w:r>
        <w:t xml:space="preserve"> </w:t>
      </w:r>
      <w:r>
        <w:rPr>
          <w:b/>
          <w:bCs/>
        </w:rPr>
        <w:t xml:space="preserve">accessible by the CI operator in or from Hong Kong</w:t>
      </w:r>
      <w:r>
        <w:t xml:space="preserve">; and</w:t>
      </w:r>
    </w:p>
    <w:p>
      <w:pPr>
        <w:pStyle w:val="Compact"/>
        <w:numPr>
          <w:ilvl w:val="0"/>
          <w:numId w:val="1229"/>
        </w:numPr>
      </w:pPr>
      <w:r>
        <w:t xml:space="preserve">it is</w:t>
      </w:r>
      <w:r>
        <w:t xml:space="preserve"> </w:t>
      </w:r>
      <w:r>
        <w:rPr>
          <w:b/>
          <w:bCs/>
        </w:rPr>
        <w:t xml:space="preserve">essential to the core function</w:t>
      </w:r>
      <w:r>
        <w:t xml:space="preserve"> </w:t>
      </w:r>
      <w:r>
        <w:t xml:space="preserve">of the infrastructure. (</w:t>
      </w:r>
      <w:hyperlink r:id="rId53">
        <w:r>
          <w:rPr>
            <w:rStyle w:val="Hyperlink"/>
          </w:rPr>
          <w:t xml:space="preserve">Legislative Council of Hong Kong</w:t>
        </w:r>
      </w:hyperlink>
      <w:r>
        <w:t xml:space="preserve">)</w:t>
      </w:r>
    </w:p>
    <w:p>
      <w:pPr>
        <w:pStyle w:val="FirstParagraph"/>
      </w:pPr>
      <w:r>
        <w:t xml:space="preserve">In designating, section 13(2) lists factors including:</w:t>
      </w:r>
    </w:p>
    <w:p>
      <w:pPr>
        <w:pStyle w:val="Compact"/>
        <w:numPr>
          <w:ilvl w:val="0"/>
          <w:numId w:val="1230"/>
        </w:numPr>
      </w:pPr>
      <w:r>
        <w:t xml:space="preserve">extent to which the system is essential to the core function;</w:t>
      </w:r>
    </w:p>
    <w:p>
      <w:pPr>
        <w:pStyle w:val="Compact"/>
        <w:numPr>
          <w:ilvl w:val="0"/>
          <w:numId w:val="1230"/>
        </w:numPr>
      </w:pPr>
      <w:r>
        <w:t xml:space="preserve">whether it can be substituted;</w:t>
      </w:r>
    </w:p>
    <w:p>
      <w:pPr>
        <w:pStyle w:val="Compact"/>
        <w:numPr>
          <w:ilvl w:val="0"/>
          <w:numId w:val="1230"/>
        </w:numPr>
      </w:pPr>
      <w:r>
        <w:t xml:space="preserve">effect of compromise on operation/provision of essential service;</w:t>
      </w:r>
    </w:p>
    <w:p>
      <w:pPr>
        <w:pStyle w:val="Compact"/>
        <w:numPr>
          <w:ilvl w:val="0"/>
          <w:numId w:val="1230"/>
        </w:numPr>
      </w:pPr>
      <w:r>
        <w:t xml:space="preserve">connectivity/exposure;</w:t>
      </w:r>
    </w:p>
    <w:p>
      <w:pPr>
        <w:pStyle w:val="Compact"/>
        <w:numPr>
          <w:ilvl w:val="0"/>
          <w:numId w:val="1230"/>
        </w:numPr>
      </w:pPr>
      <w:r>
        <w:t xml:space="preserve">other factor the authority considers relevant. (</w:t>
      </w:r>
      <w:hyperlink r:id="rId53">
        <w:r>
          <w:rPr>
            <w:rStyle w:val="Hyperlink"/>
          </w:rPr>
          <w:t xml:space="preserve">Legislative Council of Hong Kong</w:t>
        </w:r>
      </w:hyperlink>
      <w:r>
        <w:t xml:space="preserve">)</w:t>
      </w:r>
    </w:p>
    <w:bookmarkEnd w:id="263"/>
    <w:bookmarkStart w:id="264" w:name="obligations-on-ci-operators-part-4"/>
    <w:p>
      <w:pPr>
        <w:pStyle w:val="Heading2"/>
      </w:pPr>
      <w:r>
        <w:t xml:space="preserve">Obligations on CI operators (Part 4)</w:t>
      </w:r>
    </w:p>
    <w:bookmarkEnd w:id="264"/>
    <w:bookmarkStart w:id="265" w:name="category-structure-definitions"/>
    <w:p>
      <w:pPr>
        <w:pStyle w:val="Heading2"/>
      </w:pPr>
      <w:r>
        <w:t xml:space="preserve">Category structure (definitions)</w:t>
      </w:r>
    </w:p>
    <w:p>
      <w:pPr>
        <w:pStyle w:val="Compact"/>
        <w:numPr>
          <w:ilvl w:val="0"/>
          <w:numId w:val="1231"/>
        </w:numPr>
      </w:pPr>
      <w:r>
        <w:rPr>
          <w:b/>
          <w:bCs/>
        </w:rPr>
        <w:t xml:space="preserve">Category 1 obligation:</w:t>
      </w:r>
      <w:r>
        <w:t xml:space="preserve"> </w:t>
      </w:r>
      <w:r>
        <w:t xml:space="preserve">an obligation in</w:t>
      </w:r>
      <w:r>
        <w:t xml:space="preserve"> </w:t>
      </w:r>
      <w:r>
        <w:rPr>
          <w:b/>
          <w:bCs/>
        </w:rPr>
        <w:t xml:space="preserve">Division 1 of Part 4</w:t>
      </w:r>
      <w:r>
        <w:t xml:space="preserve"> </w:t>
      </w:r>
      <w:r>
        <w:t xml:space="preserve">(</w:t>
      </w:r>
      <w:hyperlink r:id="rId53">
        <w:r>
          <w:rPr>
            <w:rStyle w:val="Hyperlink"/>
          </w:rPr>
          <w:t xml:space="preserve">Legislative Council of Hong Kong</w:t>
        </w:r>
      </w:hyperlink>
      <w:r>
        <w:t xml:space="preserve">)</w:t>
      </w:r>
    </w:p>
    <w:p>
      <w:pPr>
        <w:pStyle w:val="Compact"/>
        <w:numPr>
          <w:ilvl w:val="0"/>
          <w:numId w:val="1231"/>
        </w:numPr>
      </w:pPr>
      <w:r>
        <w:rPr>
          <w:b/>
          <w:bCs/>
        </w:rPr>
        <w:t xml:space="preserve">Category 2 obligation:</w:t>
      </w:r>
      <w:r>
        <w:t xml:space="preserve"> </w:t>
      </w:r>
      <w:r>
        <w:t xml:space="preserve">an obligation in</w:t>
      </w:r>
      <w:r>
        <w:t xml:space="preserve"> </w:t>
      </w:r>
      <w:r>
        <w:rPr>
          <w:b/>
          <w:bCs/>
        </w:rPr>
        <w:t xml:space="preserve">Division 2 of Part 4</w:t>
      </w:r>
      <w:r>
        <w:t xml:space="preserve"> </w:t>
      </w:r>
      <w:r>
        <w:t xml:space="preserve">(</w:t>
      </w:r>
      <w:hyperlink r:id="rId53">
        <w:r>
          <w:rPr>
            <w:rStyle w:val="Hyperlink"/>
          </w:rPr>
          <w:t xml:space="preserve">Legislative Council of Hong Kong</w:t>
        </w:r>
      </w:hyperlink>
      <w:r>
        <w:t xml:space="preserve">)</w:t>
      </w:r>
    </w:p>
    <w:p>
      <w:pPr>
        <w:pStyle w:val="Compact"/>
        <w:numPr>
          <w:ilvl w:val="0"/>
          <w:numId w:val="1231"/>
        </w:numPr>
      </w:pPr>
      <w:r>
        <w:rPr>
          <w:b/>
          <w:bCs/>
        </w:rPr>
        <w:t xml:space="preserve">Category 3 obligation:</w:t>
      </w:r>
      <w:r>
        <w:t xml:space="preserve"> </w:t>
      </w:r>
      <w:r>
        <w:t xml:space="preserve">an obligation in</w:t>
      </w:r>
      <w:r>
        <w:t xml:space="preserve"> </w:t>
      </w:r>
      <w:r>
        <w:rPr>
          <w:b/>
          <w:bCs/>
        </w:rPr>
        <w:t xml:space="preserve">Division 3 of Part 4</w:t>
      </w:r>
      <w:r>
        <w:t xml:space="preserve"> </w:t>
      </w:r>
      <w:r>
        <w:t xml:space="preserve">(</w:t>
      </w:r>
      <w:hyperlink r:id="rId53">
        <w:r>
          <w:rPr>
            <w:rStyle w:val="Hyperlink"/>
          </w:rPr>
          <w:t xml:space="preserve">Legislative Council of Hong Kong</w:t>
        </w:r>
      </w:hyperlink>
      <w:r>
        <w:t xml:space="preserve">)</w:t>
      </w:r>
    </w:p>
    <w:bookmarkEnd w:id="265"/>
    <w:bookmarkStart w:id="266" w:name="category-1-obligations-examples"/>
    <w:p>
      <w:pPr>
        <w:pStyle w:val="Heading2"/>
      </w:pPr>
      <w:r>
        <w:t xml:space="preserve">Category 1 obligations (examples)</w:t>
      </w:r>
    </w:p>
    <w:p>
      <w:pPr>
        <w:pStyle w:val="FirstParagraph"/>
      </w:pPr>
      <w:r>
        <w:rPr>
          <w:b/>
          <w:bCs/>
        </w:rPr>
        <w:t xml:space="preserve">Section 19 — Office in Hong Kong / contact means:</w:t>
      </w:r>
      <w:r>
        <w:t xml:space="preserve"> </w:t>
      </w:r>
      <w:r>
        <w:t xml:space="preserve">CI operator must</w:t>
      </w:r>
      <w:r>
        <w:t xml:space="preserve"> </w:t>
      </w:r>
      <w:r>
        <w:rPr>
          <w:b/>
          <w:bCs/>
        </w:rPr>
        <w:t xml:space="preserve">maintain an office in Hong Kong</w:t>
      </w:r>
      <w:r>
        <w:t xml:space="preserve"> </w:t>
      </w:r>
      <w:r>
        <w:t xml:space="preserve">and</w:t>
      </w:r>
      <w:r>
        <w:t xml:space="preserve"> </w:t>
      </w:r>
      <w:r>
        <w:rPr>
          <w:b/>
          <w:bCs/>
        </w:rPr>
        <w:t xml:space="preserve">provide the regulating authority</w:t>
      </w:r>
      <w:r>
        <w:t xml:space="preserve"> </w:t>
      </w:r>
      <w:r>
        <w:t xml:space="preserve">with (among other items) the</w:t>
      </w:r>
      <w:r>
        <w:t xml:space="preserve"> </w:t>
      </w:r>
      <w:r>
        <w:rPr>
          <w:b/>
          <w:bCs/>
        </w:rPr>
        <w:t xml:space="preserve">address</w:t>
      </w:r>
      <w:r>
        <w:t xml:space="preserve">, and the</w:t>
      </w:r>
      <w:r>
        <w:t xml:space="preserve"> </w:t>
      </w:r>
      <w:r>
        <w:rPr>
          <w:b/>
          <w:bCs/>
        </w:rPr>
        <w:t xml:space="preserve">means</w:t>
      </w:r>
      <w:r>
        <w:t xml:space="preserve"> </w:t>
      </w:r>
      <w:r>
        <w:t xml:space="preserve">by which the operator may be contacted. (</w:t>
      </w:r>
      <w:hyperlink r:id="rId53">
        <w:r>
          <w:rPr>
            <w:rStyle w:val="Hyperlink"/>
          </w:rPr>
          <w:t xml:space="preserve">Legislative Council of Hong Kong</w:t>
        </w:r>
      </w:hyperlink>
      <w:r>
        <w:t xml:space="preserve">)</w:t>
      </w:r>
    </w:p>
    <w:p>
      <w:pPr>
        <w:pStyle w:val="BodyText"/>
      </w:pPr>
      <w:r>
        <w:rPr>
          <w:b/>
          <w:bCs/>
        </w:rPr>
        <w:t xml:space="preserve">Section 21 — Computer-system security management unit:</w:t>
      </w:r>
      <w:r>
        <w:t xml:space="preserve"> </w:t>
      </w:r>
      <w:r>
        <w:t xml:space="preserve">CI operator must</w:t>
      </w:r>
      <w:r>
        <w:t xml:space="preserve"> </w:t>
      </w:r>
      <w:r>
        <w:rPr>
          <w:b/>
          <w:bCs/>
        </w:rPr>
        <w:t xml:space="preserve">establish a unit</w:t>
      </w:r>
      <w:r>
        <w:t xml:space="preserve"> </w:t>
      </w:r>
      <w:r>
        <w:t xml:space="preserve">(however described) responsible for computer-system security of critical computer systems and must provide specified particulars to the regulating authority. (</w:t>
      </w:r>
      <w:hyperlink r:id="rId53">
        <w:r>
          <w:rPr>
            <w:rStyle w:val="Hyperlink"/>
          </w:rPr>
          <w:t xml:space="preserve">Legislative Council of Hong Kong</w:t>
        </w:r>
      </w:hyperlink>
      <w:r>
        <w:t xml:space="preserve">)</w:t>
      </w:r>
    </w:p>
    <w:bookmarkEnd w:id="266"/>
    <w:bookmarkStart w:id="267" w:name="X0f5fb86e5521d77cb240fcaefe600ecac4fe541"/>
    <w:p>
      <w:pPr>
        <w:pStyle w:val="Heading2"/>
      </w:pPr>
      <w:r>
        <w:t xml:space="preserve">Category 2 obligations (management plan + change notification + risk assessment + audit)</w:t>
      </w:r>
    </w:p>
    <w:p>
      <w:pPr>
        <w:pStyle w:val="FirstParagraph"/>
      </w:pPr>
      <w:r>
        <w:rPr>
          <w:b/>
          <w:bCs/>
        </w:rPr>
        <w:t xml:space="preserve">Section 22 — Notify certain events within 1 month:</w:t>
      </w:r>
      <w:r>
        <w:t xml:space="preserve"> </w:t>
      </w:r>
      <w:r>
        <w:t xml:space="preserve">if events listed in section 22(2) occur (including material change to design/configuration/security/operation of a critical computer system; removal of a critical computer system; adding an accessible system essential to core function; or change making an existing accessible system essential to core function), the CI operator must</w:t>
      </w:r>
      <w:r>
        <w:t xml:space="preserve"> </w:t>
      </w:r>
      <w:r>
        <w:rPr>
          <w:b/>
          <w:bCs/>
        </w:rPr>
        <w:t xml:space="preserve">notify</w:t>
      </w:r>
      <w:r>
        <w:t xml:space="preserve"> </w:t>
      </w:r>
      <w:r>
        <w:t xml:space="preserve">the regulating authority</w:t>
      </w:r>
      <w:r>
        <w:t xml:space="preserve"> </w:t>
      </w:r>
      <w:r>
        <w:rPr>
          <w:b/>
          <w:bCs/>
        </w:rPr>
        <w:t xml:space="preserve">within 1 month</w:t>
      </w:r>
      <w:r>
        <w:t xml:space="preserve"> </w:t>
      </w:r>
      <w:r>
        <w:t xml:space="preserve">of the event. (</w:t>
      </w:r>
      <w:hyperlink r:id="rId53">
        <w:r>
          <w:rPr>
            <w:rStyle w:val="Hyperlink"/>
          </w:rPr>
          <w:t xml:space="preserve">Legislative Council of Hong Kong</w:t>
        </w:r>
      </w:hyperlink>
      <w:r>
        <w:t xml:space="preserve">)</w:t>
      </w:r>
    </w:p>
    <w:p>
      <w:pPr>
        <w:pStyle w:val="BodyText"/>
      </w:pPr>
      <w:r>
        <w:rPr>
          <w:b/>
          <w:bCs/>
        </w:rPr>
        <w:t xml:space="preserve">Section 23 — Submit &amp; implement a computer-system security management plan (3 months):</w:t>
      </w:r>
      <w:r>
        <w:t xml:space="preserve"> </w:t>
      </w:r>
      <w:r>
        <w:t xml:space="preserve">CI operator must submit the plan</w:t>
      </w:r>
      <w:r>
        <w:t xml:space="preserve"> </w:t>
      </w:r>
      <w:r>
        <w:rPr>
          <w:b/>
          <w:bCs/>
        </w:rPr>
        <w:t xml:space="preserve">within 3 months after the operator’s designation date</w:t>
      </w:r>
      <w:r>
        <w:t xml:space="preserve"> </w:t>
      </w:r>
      <w:r>
        <w:t xml:space="preserve">(extendable on application), and implement it; the plan must cover all matters in</w:t>
      </w:r>
      <w:r>
        <w:t xml:space="preserve"> </w:t>
      </w:r>
      <w:r>
        <w:rPr>
          <w:b/>
          <w:bCs/>
        </w:rPr>
        <w:t xml:space="preserve">Schedule 3</w:t>
      </w:r>
      <w:r>
        <w:t xml:space="preserve">; revisions must be submitted</w:t>
      </w:r>
      <w:r>
        <w:t xml:space="preserve"> </w:t>
      </w:r>
      <w:r>
        <w:rPr>
          <w:b/>
          <w:bCs/>
        </w:rPr>
        <w:t xml:space="preserve">within 1 month</w:t>
      </w:r>
      <w:r>
        <w:t xml:space="preserve"> </w:t>
      </w:r>
      <w:r>
        <w:t xml:space="preserve">of revision. (</w:t>
      </w:r>
      <w:hyperlink r:id="rId53">
        <w:r>
          <w:rPr>
            <w:rStyle w:val="Hyperlink"/>
          </w:rPr>
          <w:t xml:space="preserve">Legislative Council of Hong Kong</w:t>
        </w:r>
      </w:hyperlink>
      <w:r>
        <w:t xml:space="preserve">)</w:t>
      </w:r>
    </w:p>
    <w:p>
      <w:pPr>
        <w:pStyle w:val="BodyText"/>
      </w:pPr>
      <w:r>
        <w:rPr>
          <w:b/>
          <w:bCs/>
        </w:rPr>
        <w:t xml:space="preserve">Section 24 — Risk assessments (first within 12 months; then annually):</w:t>
      </w:r>
    </w:p>
    <w:p>
      <w:pPr>
        <w:pStyle w:val="Compact"/>
        <w:numPr>
          <w:ilvl w:val="0"/>
          <w:numId w:val="1232"/>
        </w:numPr>
      </w:pPr>
      <w:r>
        <w:t xml:space="preserve">first risk assessment:</w:t>
      </w:r>
      <w:r>
        <w:t xml:space="preserve"> </w:t>
      </w:r>
      <w:r>
        <w:rPr>
          <w:b/>
          <w:bCs/>
        </w:rPr>
        <w:t xml:space="preserve">within 12 months</w:t>
      </w:r>
      <w:r>
        <w:t xml:space="preserve"> </w:t>
      </w:r>
      <w:r>
        <w:t xml:space="preserve">after designation date;</w:t>
      </w:r>
    </w:p>
    <w:p>
      <w:pPr>
        <w:pStyle w:val="Compact"/>
        <w:numPr>
          <w:ilvl w:val="0"/>
          <w:numId w:val="1232"/>
        </w:numPr>
      </w:pPr>
      <w:r>
        <w:t xml:space="preserve">subsequent:</w:t>
      </w:r>
      <w:r>
        <w:t xml:space="preserve"> </w:t>
      </w:r>
      <w:r>
        <w:rPr>
          <w:b/>
          <w:bCs/>
        </w:rPr>
        <w:t xml:space="preserve">at least once every 12 months</w:t>
      </w:r>
      <w:r>
        <w:t xml:space="preserve"> </w:t>
      </w:r>
      <w:r>
        <w:t xml:space="preserve">after expiry of the first period;</w:t>
      </w:r>
    </w:p>
    <w:p>
      <w:pPr>
        <w:pStyle w:val="Compact"/>
        <w:numPr>
          <w:ilvl w:val="0"/>
          <w:numId w:val="1232"/>
        </w:numPr>
      </w:pPr>
      <w:r>
        <w:t xml:space="preserve">report to regulator:</w:t>
      </w:r>
      <w:r>
        <w:t xml:space="preserve"> </w:t>
      </w:r>
      <w:r>
        <w:rPr>
          <w:b/>
          <w:bCs/>
        </w:rPr>
        <w:t xml:space="preserve">within 3 months</w:t>
      </w:r>
      <w:r>
        <w:t xml:space="preserve"> </w:t>
      </w:r>
      <w:r>
        <w:t xml:space="preserve">after expiry of the period for conducting the assessment (extendable on application). (</w:t>
      </w:r>
      <w:hyperlink r:id="rId53">
        <w:r>
          <w:rPr>
            <w:rStyle w:val="Hyperlink"/>
          </w:rPr>
          <w:t xml:space="preserve">Legislative Council of Hong Kong</w:t>
        </w:r>
      </w:hyperlink>
      <w:r>
        <w:t xml:space="preserve">)</w:t>
      </w:r>
    </w:p>
    <w:p>
      <w:pPr>
        <w:pStyle w:val="FirstParagraph"/>
      </w:pPr>
      <w:r>
        <w:rPr>
          <w:b/>
          <w:bCs/>
        </w:rPr>
        <w:t xml:space="preserve">Section 25 — Audits (first within 24 months; then every 24 months):</w:t>
      </w:r>
    </w:p>
    <w:p>
      <w:pPr>
        <w:pStyle w:val="Compact"/>
        <w:numPr>
          <w:ilvl w:val="0"/>
          <w:numId w:val="1233"/>
        </w:numPr>
      </w:pPr>
      <w:r>
        <w:t xml:space="preserve">first audit:</w:t>
      </w:r>
      <w:r>
        <w:t xml:space="preserve"> </w:t>
      </w:r>
      <w:r>
        <w:rPr>
          <w:b/>
          <w:bCs/>
        </w:rPr>
        <w:t xml:space="preserve">within 24 months</w:t>
      </w:r>
      <w:r>
        <w:t xml:space="preserve"> </w:t>
      </w:r>
      <w:r>
        <w:t xml:space="preserve">after designation date;</w:t>
      </w:r>
    </w:p>
    <w:p>
      <w:pPr>
        <w:pStyle w:val="Compact"/>
        <w:numPr>
          <w:ilvl w:val="0"/>
          <w:numId w:val="1233"/>
        </w:numPr>
      </w:pPr>
      <w:r>
        <w:t xml:space="preserve">subsequent:</w:t>
      </w:r>
      <w:r>
        <w:t xml:space="preserve"> </w:t>
      </w:r>
      <w:r>
        <w:rPr>
          <w:b/>
          <w:bCs/>
        </w:rPr>
        <w:t xml:space="preserve">at least once every 24 months</w:t>
      </w:r>
      <w:r>
        <w:t xml:space="preserve"> </w:t>
      </w:r>
      <w:r>
        <w:t xml:space="preserve">after expiry of the first period;</w:t>
      </w:r>
    </w:p>
    <w:p>
      <w:pPr>
        <w:pStyle w:val="Compact"/>
        <w:numPr>
          <w:ilvl w:val="0"/>
          <w:numId w:val="1233"/>
        </w:numPr>
      </w:pPr>
      <w:r>
        <w:t xml:space="preserve">report to regulator:</w:t>
      </w:r>
      <w:r>
        <w:t xml:space="preserve"> </w:t>
      </w:r>
      <w:r>
        <w:rPr>
          <w:b/>
          <w:bCs/>
        </w:rPr>
        <w:t xml:space="preserve">within 3 months</w:t>
      </w:r>
      <w:r>
        <w:t xml:space="preserve"> </w:t>
      </w:r>
      <w:r>
        <w:t xml:space="preserve">after expiry of the period for carrying out the audit (extendable on application). (</w:t>
      </w:r>
      <w:hyperlink r:id="rId53">
        <w:r>
          <w:rPr>
            <w:rStyle w:val="Hyperlink"/>
          </w:rPr>
          <w:t xml:space="preserve">Legislative Council of Hong Kong</w:t>
        </w:r>
      </w:hyperlink>
      <w:r>
        <w:t xml:space="preserve">)</w:t>
      </w:r>
    </w:p>
    <w:bookmarkEnd w:id="267"/>
    <w:bookmarkStart w:id="268" w:name="X9fc88b4c3c5c32b3c6fb8495a21c8dbda222e79"/>
    <w:p>
      <w:pPr>
        <w:pStyle w:val="Heading2"/>
      </w:pPr>
      <w:r>
        <w:t xml:space="preserve">Category 3 obligations (drills + emergency response plan + incident reporting)</w:t>
      </w:r>
    </w:p>
    <w:p>
      <w:pPr>
        <w:pStyle w:val="FirstParagraph"/>
      </w:pPr>
      <w:r>
        <w:rPr>
          <w:b/>
          <w:bCs/>
        </w:rPr>
        <w:t xml:space="preserve">Section 26 — Participation in drills:</w:t>
      </w:r>
      <w:r>
        <w:t xml:space="preserve"> </w:t>
      </w:r>
      <w:r>
        <w:t xml:space="preserve">Commissioner may require a CI operator to participate in a computer-system security drill (after reasonable notice). (</w:t>
      </w:r>
      <w:hyperlink r:id="rId53">
        <w:r>
          <w:rPr>
            <w:rStyle w:val="Hyperlink"/>
          </w:rPr>
          <w:t xml:space="preserve">Legislative Council of Hong Kong</w:t>
        </w:r>
      </w:hyperlink>
      <w:r>
        <w:t xml:space="preserve">)</w:t>
      </w:r>
    </w:p>
    <w:p>
      <w:pPr>
        <w:pStyle w:val="BodyText"/>
      </w:pPr>
      <w:r>
        <w:rPr>
          <w:b/>
          <w:bCs/>
        </w:rPr>
        <w:t xml:space="preserve">Section 27 — Emergency response plan (3 months):</w:t>
      </w:r>
      <w:r>
        <w:t xml:space="preserve"> </w:t>
      </w:r>
      <w:r>
        <w:t xml:space="preserve">CI operator must submit an emergency response plan to the Commissioner</w:t>
      </w:r>
      <w:r>
        <w:t xml:space="preserve"> </w:t>
      </w:r>
      <w:r>
        <w:rPr>
          <w:b/>
          <w:bCs/>
        </w:rPr>
        <w:t xml:space="preserve">within 3 months</w:t>
      </w:r>
      <w:r>
        <w:t xml:space="preserve"> </w:t>
      </w:r>
      <w:r>
        <w:t xml:space="preserve">after designation date (extendable on application), revisions within</w:t>
      </w:r>
      <w:r>
        <w:t xml:space="preserve"> </w:t>
      </w:r>
      <w:r>
        <w:rPr>
          <w:b/>
          <w:bCs/>
        </w:rPr>
        <w:t xml:space="preserve">1 month</w:t>
      </w:r>
      <w:r>
        <w:t xml:space="preserve">, and must implement the plan; the plan must cover matters in</w:t>
      </w:r>
      <w:r>
        <w:t xml:space="preserve"> </w:t>
      </w:r>
      <w:r>
        <w:rPr>
          <w:b/>
          <w:bCs/>
        </w:rPr>
        <w:t xml:space="preserve">Part 2 of Schedule 3</w:t>
      </w:r>
      <w:r>
        <w:t xml:space="preserve">. (</w:t>
      </w:r>
      <w:hyperlink r:id="rId53">
        <w:r>
          <w:rPr>
            <w:rStyle w:val="Hyperlink"/>
          </w:rPr>
          <w:t xml:space="preserve">Legislative Council of Hong Kong</w:t>
        </w:r>
      </w:hyperlink>
      <w:r>
        <w:t xml:space="preserve">)</w:t>
      </w:r>
    </w:p>
    <w:p>
      <w:pPr>
        <w:pStyle w:val="BodyText"/>
      </w:pPr>
      <w:r>
        <w:rPr>
          <w:b/>
          <w:bCs/>
        </w:rPr>
        <w:t xml:space="preserve">Section 28 — Notify incidents + follow-on written report (Schedule 6 times):</w:t>
      </w:r>
    </w:p>
    <w:p>
      <w:pPr>
        <w:pStyle w:val="Compact"/>
        <w:numPr>
          <w:ilvl w:val="0"/>
          <w:numId w:val="1234"/>
        </w:numPr>
      </w:pPr>
      <w:r>
        <w:t xml:space="preserve">notification must be made “as soon as practicable” and</w:t>
      </w:r>
      <w:r>
        <w:t xml:space="preserve"> </w:t>
      </w:r>
      <w:r>
        <w:rPr>
          <w:b/>
          <w:bCs/>
        </w:rPr>
        <w:t xml:space="preserve">within the specified time</w:t>
      </w:r>
      <w:r>
        <w:t xml:space="preserve">;</w:t>
      </w:r>
    </w:p>
    <w:p>
      <w:pPr>
        <w:pStyle w:val="Compact"/>
        <w:numPr>
          <w:ilvl w:val="0"/>
          <w:numId w:val="1234"/>
        </w:numPr>
      </w:pPr>
      <w:r>
        <w:t xml:space="preserve">if initial notice not in specified form/way, a written record must be submitted;</w:t>
      </w:r>
    </w:p>
    <w:p>
      <w:pPr>
        <w:pStyle w:val="Compact"/>
        <w:numPr>
          <w:ilvl w:val="0"/>
          <w:numId w:val="1234"/>
        </w:numPr>
      </w:pPr>
      <w:r>
        <w:t xml:space="preserve">CI operator must further submit a written report within the specified time. (</w:t>
      </w:r>
      <w:hyperlink r:id="rId53">
        <w:r>
          <w:rPr>
            <w:rStyle w:val="Hyperlink"/>
          </w:rPr>
          <w:t xml:space="preserve">Legislative Council of Hong Kong</w:t>
        </w:r>
      </w:hyperlink>
      <w:r>
        <w:t xml:space="preserve">)</w:t>
      </w:r>
    </w:p>
    <w:p>
      <w:pPr>
        <w:pStyle w:val="FirstParagraph"/>
      </w:pPr>
      <w:r>
        <w:rPr>
          <w:b/>
          <w:bCs/>
        </w:rPr>
        <w:t xml:space="preserve">Schedule 6 — specified times (examples shown in the schedule table):</w:t>
      </w:r>
    </w:p>
    <w:p>
      <w:pPr>
        <w:pStyle w:val="Compact"/>
        <w:numPr>
          <w:ilvl w:val="0"/>
          <w:numId w:val="1235"/>
        </w:numPr>
      </w:pPr>
      <w:r>
        <w:rPr>
          <w:b/>
          <w:bCs/>
        </w:rPr>
        <w:t xml:space="preserve">within 12 hours</w:t>
      </w:r>
      <w:r>
        <w:t xml:space="preserve"> </w:t>
      </w:r>
      <w:r>
        <w:t xml:space="preserve">in the circumstances set out in item 1(a);</w:t>
      </w:r>
    </w:p>
    <w:p>
      <w:pPr>
        <w:pStyle w:val="Compact"/>
        <w:numPr>
          <w:ilvl w:val="0"/>
          <w:numId w:val="1235"/>
        </w:numPr>
      </w:pPr>
      <w:r>
        <w:rPr>
          <w:b/>
          <w:bCs/>
        </w:rPr>
        <w:t xml:space="preserve">within 48 hours</w:t>
      </w:r>
      <w:r>
        <w:t xml:space="preserve"> </w:t>
      </w:r>
      <w:r>
        <w:t xml:space="preserve">in item 1(b);</w:t>
      </w:r>
    </w:p>
    <w:p>
      <w:pPr>
        <w:pStyle w:val="Compact"/>
        <w:numPr>
          <w:ilvl w:val="0"/>
          <w:numId w:val="1235"/>
        </w:numPr>
      </w:pPr>
      <w:r>
        <w:rPr>
          <w:b/>
          <w:bCs/>
        </w:rPr>
        <w:t xml:space="preserve">within 14 days</w:t>
      </w:r>
      <w:r>
        <w:t xml:space="preserve"> </w:t>
      </w:r>
      <w:r>
        <w:t xml:space="preserve">for the written report in item 2. (</w:t>
      </w:r>
      <w:hyperlink r:id="rId53">
        <w:r>
          <w:rPr>
            <w:rStyle w:val="Hyperlink"/>
          </w:rPr>
          <w:t xml:space="preserve">Legislative Council of Hong Kong</w:t>
        </w:r>
      </w:hyperlink>
      <w:r>
        <w:t xml:space="preserve">)</w:t>
      </w:r>
    </w:p>
    <w:bookmarkEnd w:id="268"/>
    <w:bookmarkStart w:id="269" w:name="health"/>
    <w:p>
      <w:pPr>
        <w:pStyle w:val="Heading2"/>
      </w:pPr>
      <w:r>
        <w:t xml:space="preserve">HEALTH</w:t>
      </w:r>
    </w:p>
    <w:p>
      <w:pPr>
        <w:pStyle w:val="FirstParagraph"/>
      </w:pPr>
      <w:r>
        <w:t xml:space="preserve">There is</w:t>
      </w:r>
      <w:r>
        <w:t xml:space="preserve"> </w:t>
      </w:r>
      <w:r>
        <w:rPr>
          <w:b/>
          <w:bCs/>
        </w:rPr>
        <w:t xml:space="preserve">one explicit health-specific element</w:t>
      </w:r>
      <w:r>
        <w:t xml:space="preserve"> </w:t>
      </w:r>
      <w:r>
        <w:t xml:space="preserve">in the Ordinance, and the rest is written in</w:t>
      </w:r>
      <w:r>
        <w:t xml:space="preserve"> </w:t>
      </w:r>
      <w:r>
        <w:rPr>
          <w:b/>
          <w:bCs/>
        </w:rPr>
        <w:t xml:space="preserve">sector-neutral</w:t>
      </w:r>
      <w:r>
        <w:t xml:space="preserve"> </w:t>
      </w:r>
      <w:r>
        <w:t xml:space="preserve">terms.</w:t>
      </w:r>
    </w:p>
    <w:p>
      <w:pPr>
        <w:pStyle w:val="Compact"/>
        <w:numPr>
          <w:ilvl w:val="0"/>
          <w:numId w:val="1236"/>
        </w:numPr>
      </w:pPr>
      <w:r>
        <w:rPr>
          <w:b/>
          <w:bCs/>
        </w:rPr>
        <w:t xml:space="preserve">Healthcare is explicitly a “sector” for CIs</w:t>
      </w:r>
    </w:p>
    <w:p>
      <w:pPr>
        <w:pStyle w:val="Compact"/>
        <w:numPr>
          <w:ilvl w:val="1"/>
          <w:numId w:val="1237"/>
        </w:numPr>
      </w:pPr>
      <w:r>
        <w:rPr>
          <w:b/>
          <w:bCs/>
        </w:rPr>
        <w:t xml:space="preserve">Schedule 1</w:t>
      </w:r>
      <w:r>
        <w:t xml:space="preserve"> </w:t>
      </w:r>
      <w:r>
        <w:t xml:space="preserve">lists</w:t>
      </w:r>
      <w:r>
        <w:t xml:space="preserve"> </w:t>
      </w:r>
      <w:r>
        <w:rPr>
          <w:b/>
          <w:bCs/>
        </w:rPr>
        <w:t xml:space="preserve">“Healthcare services”</w:t>
      </w:r>
      <w:r>
        <w:t xml:space="preserve"> </w:t>
      </w:r>
      <w:r>
        <w:t xml:space="preserve">as a</w:t>
      </w:r>
      <w:r>
        <w:t xml:space="preserve"> </w:t>
      </w:r>
      <w:r>
        <w:rPr>
          <w:b/>
          <w:bCs/>
        </w:rPr>
        <w:t xml:space="preserve">sector specified for the definition of “critical infrastructure.”</w:t>
      </w:r>
      <w:r>
        <w:t xml:space="preserve"> </w:t>
      </w:r>
      <w:r>
        <w:t xml:space="preserve">(</w:t>
      </w:r>
      <w:hyperlink r:id="rId53">
        <w:r>
          <w:rPr>
            <w:rStyle w:val="Hyperlink"/>
          </w:rPr>
          <w:t xml:space="preserve">Legislative Council of Hong Kong</w:t>
        </w:r>
      </w:hyperlink>
      <w:r>
        <w:t xml:space="preserve">)</w:t>
      </w:r>
    </w:p>
    <w:p>
      <w:pPr>
        <w:pStyle w:val="Compact"/>
        <w:numPr>
          <w:ilvl w:val="0"/>
          <w:numId w:val="1236"/>
        </w:numPr>
      </w:pPr>
      <w:r>
        <w:rPr>
          <w:b/>
          <w:bCs/>
        </w:rPr>
        <w:t xml:space="preserve">No health-specific “designated authority” is listed</w:t>
      </w:r>
    </w:p>
    <w:p>
      <w:pPr>
        <w:pStyle w:val="Compact"/>
        <w:numPr>
          <w:ilvl w:val="1"/>
          <w:numId w:val="1238"/>
        </w:numPr>
      </w:pPr>
      <w:r>
        <w:rPr>
          <w:b/>
          <w:bCs/>
        </w:rPr>
        <w:t xml:space="preserve">Schedule 2</w:t>
      </w:r>
      <w:r>
        <w:t xml:space="preserve"> </w:t>
      </w:r>
      <w:r>
        <w:t xml:space="preserve">specifies designated authorities for only:</w:t>
      </w:r>
    </w:p>
    <w:p>
      <w:pPr>
        <w:pStyle w:val="Compact"/>
        <w:numPr>
          <w:ilvl w:val="2"/>
          <w:numId w:val="1239"/>
        </w:numPr>
      </w:pPr>
      <w:r>
        <w:rPr>
          <w:b/>
          <w:bCs/>
        </w:rPr>
        <w:t xml:space="preserve">Monetary Authority</w:t>
      </w:r>
      <w:r>
        <w:t xml:space="preserve"> </w:t>
      </w:r>
      <w:r>
        <w:t xml:space="preserve">— sector:</w:t>
      </w:r>
      <w:r>
        <w:t xml:space="preserve"> </w:t>
      </w:r>
      <w:r>
        <w:rPr>
          <w:b/>
          <w:bCs/>
        </w:rPr>
        <w:t xml:space="preserve">Banking and financial services</w:t>
      </w:r>
    </w:p>
    <w:p>
      <w:pPr>
        <w:pStyle w:val="Compact"/>
        <w:numPr>
          <w:ilvl w:val="2"/>
          <w:numId w:val="1239"/>
        </w:numPr>
      </w:pPr>
      <w:r>
        <w:rPr>
          <w:b/>
          <w:bCs/>
        </w:rPr>
        <w:t xml:space="preserve">Communications Authority</w:t>
      </w:r>
      <w:r>
        <w:t xml:space="preserve"> </w:t>
      </w:r>
      <w:r>
        <w:t xml:space="preserve">— sector:</w:t>
      </w:r>
      <w:r>
        <w:t xml:space="preserve"> </w:t>
      </w:r>
      <w:r>
        <w:rPr>
          <w:b/>
          <w:bCs/>
        </w:rPr>
        <w:t xml:space="preserve">Telecommunications and broadcasting services</w:t>
      </w:r>
      <w:r>
        <w:t xml:space="preserve"> </w:t>
      </w:r>
      <w:r>
        <w:t xml:space="preserve">(</w:t>
      </w:r>
      <w:hyperlink r:id="rId53">
        <w:r>
          <w:rPr>
            <w:rStyle w:val="Hyperlink"/>
          </w:rPr>
          <w:t xml:space="preserve">Legislative Council of Hong Kong</w:t>
        </w:r>
      </w:hyperlink>
      <w:r>
        <w:t xml:space="preserve">)</w:t>
      </w:r>
    </w:p>
    <w:p>
      <w:pPr>
        <w:pStyle w:val="Compact"/>
        <w:numPr>
          <w:ilvl w:val="0"/>
          <w:numId w:val="1236"/>
        </w:numPr>
      </w:pPr>
      <w:r>
        <w:rPr>
          <w:b/>
          <w:bCs/>
        </w:rPr>
        <w:t xml:space="preserve">Obligations are framed for “CI operators” generally (not a health-only sub-regime)</w:t>
      </w:r>
    </w:p>
    <w:p>
      <w:pPr>
        <w:pStyle w:val="Compact"/>
        <w:numPr>
          <w:ilvl w:val="1"/>
          <w:numId w:val="1240"/>
        </w:numPr>
      </w:pPr>
      <w:r>
        <w:t xml:space="preserve">The Ordinance structures compliance as</w:t>
      </w:r>
      <w:r>
        <w:t xml:space="preserve"> </w:t>
      </w:r>
      <w:r>
        <w:rPr>
          <w:b/>
          <w:bCs/>
        </w:rPr>
        <w:t xml:space="preserve">“Part 4 — Obligations of CI Operator”</w:t>
      </w:r>
      <w:r>
        <w:t xml:space="preserve"> </w:t>
      </w:r>
      <w:r>
        <w:t xml:space="preserve">(with Divisions for organization, prevention, and incident reporting/response). (</w:t>
      </w:r>
      <w:hyperlink r:id="rId53">
        <w:r>
          <w:rPr>
            <w:rStyle w:val="Hyperlink"/>
          </w:rPr>
          <w:t xml:space="preserve">Legislative Council of Hong Kong</w:t>
        </w:r>
      </w:hyperlink>
      <w:r>
        <w:t xml:space="preserve">)</w:t>
      </w:r>
    </w:p>
    <w:p>
      <w:pPr>
        <w:pStyle w:val="FirstParagraph"/>
      </w:pPr>
      <w:r>
        <w:t xml:space="preserve">So, the</w:t>
      </w:r>
      <w:r>
        <w:t xml:space="preserve"> </w:t>
      </w:r>
      <w:r>
        <w:rPr>
          <w:b/>
          <w:bCs/>
        </w:rPr>
        <w:t xml:space="preserve">health-specific hook</w:t>
      </w:r>
      <w:r>
        <w:t xml:space="preserve"> </w:t>
      </w:r>
      <w:r>
        <w:t xml:space="preserve">is the inclusion of</w:t>
      </w:r>
      <w:r>
        <w:t xml:space="preserve"> </w:t>
      </w:r>
      <w:r>
        <w:rPr>
          <w:b/>
          <w:bCs/>
        </w:rPr>
        <w:t xml:space="preserve">“Healthcare services”</w:t>
      </w:r>
      <w:r>
        <w:t xml:space="preserve"> </w:t>
      </w:r>
      <w:r>
        <w:t xml:space="preserve">in</w:t>
      </w:r>
      <w:r>
        <w:t xml:space="preserve"> </w:t>
      </w:r>
      <w:r>
        <w:rPr>
          <w:b/>
          <w:bCs/>
        </w:rPr>
        <w:t xml:space="preserve">Schedule 1</w:t>
      </w:r>
      <w:r>
        <w:t xml:space="preserve">; the remaining designation/obligation machinery is expressed at the</w:t>
      </w:r>
      <w:r>
        <w:t xml:space="preserve"> </w:t>
      </w:r>
      <w:r>
        <w:rPr>
          <w:b/>
          <w:bCs/>
        </w:rPr>
        <w:t xml:space="preserve">CI operator / critical computer system</w:t>
      </w:r>
      <w:r>
        <w:t xml:space="preserve"> </w:t>
      </w:r>
      <w:r>
        <w:t xml:space="preserve">level. (</w:t>
      </w:r>
      <w:hyperlink r:id="rId53">
        <w:r>
          <w:rPr>
            <w:rStyle w:val="Hyperlink"/>
          </w:rPr>
          <w:t xml:space="preserve">Legislative Council of Hong Kong</w:t>
        </w:r>
      </w:hyperlink>
      <w:r>
        <w:t xml:space="preserve">)</w:t>
      </w:r>
    </w:p>
    <w:bookmarkEnd w:id="269"/>
    <w:bookmarkStart w:id="272" w:name="references-hong-kong"/>
    <w:p>
      <w:pPr>
        <w:pStyle w:val="Heading2"/>
      </w:pPr>
      <w:r>
        <w:t xml:space="preserve">References (Hong Kong)</w:t>
      </w:r>
    </w:p>
    <w:p>
      <w:pPr>
        <w:pStyle w:val="Compact"/>
        <w:numPr>
          <w:ilvl w:val="0"/>
          <w:numId w:val="1241"/>
        </w:numPr>
      </w:pPr>
      <w:r>
        <w:rPr>
          <w:b/>
          <w:bCs/>
        </w:rPr>
        <w:t xml:space="preserve">Legislative Council of Hong Kong.</w:t>
      </w:r>
      <w:r>
        <w:t xml:space="preserve"> </w:t>
      </w:r>
      <w:r>
        <w:rPr>
          <w:b/>
          <w:bCs/>
        </w:rPr>
        <w:t xml:space="preserve">Protection of Critical Infrastructures (Computer Systems) Ordinance (Ord. No. 4 of 2025)</w:t>
      </w:r>
      <w:r>
        <w:t xml:space="preserve">. (</w:t>
      </w:r>
      <w:hyperlink r:id="rId270">
        <w:r>
          <w:rPr>
            <w:rStyle w:val="Hyperlink"/>
          </w:rPr>
          <w:t xml:space="preserve">LegCo</w:t>
        </w:r>
      </w:hyperlink>
      <w:r>
        <w:t xml:space="preserve">)</w:t>
      </w:r>
    </w:p>
    <w:p>
      <w:pPr>
        <w:pStyle w:val="Compact"/>
        <w:numPr>
          <w:ilvl w:val="0"/>
          <w:numId w:val="1241"/>
        </w:numPr>
      </w:pPr>
      <w:r>
        <w:rPr>
          <w:b/>
          <w:bCs/>
        </w:rPr>
        <w:t xml:space="preserve">Communications Authority.</w:t>
      </w:r>
      <w:r>
        <w:t xml:space="preserve"> </w:t>
      </w:r>
      <w:r>
        <w:rPr>
          <w:b/>
          <w:bCs/>
        </w:rPr>
        <w:t xml:space="preserve">Hong Kong Government: PCICSO Commencement Notice</w:t>
      </w:r>
      <w:r>
        <w:t xml:space="preserve">. (</w:t>
      </w:r>
      <w:hyperlink r:id="rId271">
        <w:r>
          <w:rPr>
            <w:rStyle w:val="Hyperlink"/>
          </w:rPr>
          <w:t xml:space="preserve">link</w:t>
        </w:r>
      </w:hyperlink>
      <w:r>
        <w:t xml:space="preserve">)</w:t>
      </w:r>
    </w:p>
    <w:p>
      <w:pPr>
        <w:sectPr>
          <w:footerReference w:type="first" r:id="rId13"/>
          <w:footerReference w:type="default" r:id="rId11"/>
          <w:footerReference w:type="even" r:id="rId10"/>
          <w:type w:val="nextPage"/>
        </w:sectPr>
      </w:pPr>
    </w:p>
    <w:bookmarkEnd w:id="272"/>
    <w:bookmarkEnd w:id="273"/>
    <w:bookmarkStart w:id="292" w:name="israel"/>
    <w:p>
      <w:pPr>
        <w:pStyle w:val="Heading1"/>
      </w:pPr>
      <w:r>
        <w:t xml:space="preserve">ISRAEL</w:t>
      </w:r>
    </w:p>
    <w:bookmarkStart w:id="274" w:name="X9e946d71519e190f02d548f2a401808da7a4716"/>
    <w:p>
      <w:pPr>
        <w:pStyle w:val="Heading2"/>
      </w:pPr>
      <w:r>
        <w:t xml:space="preserve">Final categories (what is “highest critical / protected”)</w:t>
      </w:r>
    </w:p>
    <w:p>
      <w:pPr>
        <w:pStyle w:val="Compact"/>
        <w:numPr>
          <w:ilvl w:val="0"/>
          <w:numId w:val="1242"/>
        </w:numPr>
      </w:pPr>
      <w:r>
        <w:rPr>
          <w:b/>
          <w:bCs/>
        </w:rPr>
        <w:t xml:space="preserve">“מאגרים שחלה עליהם רמת האבטחה הגבוהה”</w:t>
      </w:r>
      <w:r>
        <w:t xml:space="preserve"> </w:t>
      </w:r>
      <w:r>
        <w:t xml:space="preserve">(“databases to which the</w:t>
      </w:r>
      <w:r>
        <w:t xml:space="preserve"> </w:t>
      </w:r>
      <w:r>
        <w:rPr>
          <w:b/>
          <w:bCs/>
        </w:rPr>
        <w:t xml:space="preserve">high security level</w:t>
      </w:r>
      <w:r>
        <w:t xml:space="preserve"> </w:t>
      </w:r>
      <w:r>
        <w:t xml:space="preserve">applies”) —</w:t>
      </w:r>
      <w:r>
        <w:t xml:space="preserve"> </w:t>
      </w:r>
      <w:r>
        <w:rPr>
          <w:b/>
          <w:bCs/>
        </w:rPr>
        <w:t xml:space="preserve">Protection of Privacy Regulations (Data Security), 5777–2017</w:t>
      </w:r>
      <w:r>
        <w:t xml:space="preserve"> </w:t>
      </w:r>
      <w:r>
        <w:t xml:space="preserve">(תקנות הגנת הפרטיות (אבטחת מידע), תשע”ז–2017).</w:t>
      </w:r>
    </w:p>
    <w:p>
      <w:pPr>
        <w:pStyle w:val="Compact"/>
        <w:numPr>
          <w:ilvl w:val="0"/>
          <w:numId w:val="1242"/>
        </w:numPr>
      </w:pPr>
      <w:r>
        <w:rPr>
          <w:b/>
          <w:bCs/>
        </w:rPr>
        <w:t xml:space="preserve">“אירוע אבטחה חמור”</w:t>
      </w:r>
      <w:r>
        <w:t xml:space="preserve"> </w:t>
      </w:r>
      <w:r>
        <w:t xml:space="preserve">(“</w:t>
      </w:r>
      <w:r>
        <w:rPr>
          <w:b/>
          <w:bCs/>
        </w:rPr>
        <w:t xml:space="preserve">severe security incident</w:t>
      </w:r>
      <w:r>
        <w:t xml:space="preserve">”) — defined in</w:t>
      </w:r>
      <w:r>
        <w:t xml:space="preserve"> </w:t>
      </w:r>
      <w:r>
        <w:rPr>
          <w:b/>
          <w:bCs/>
        </w:rPr>
        <w:t xml:space="preserve">Protection of Privacy Regulations (Data Security), 5777–2017</w:t>
      </w:r>
      <w:r>
        <w:t xml:space="preserve">.</w:t>
      </w:r>
    </w:p>
    <w:p>
      <w:pPr>
        <w:pStyle w:val="Compact"/>
        <w:numPr>
          <w:ilvl w:val="0"/>
          <w:numId w:val="1242"/>
        </w:numPr>
      </w:pPr>
      <w:r>
        <w:t xml:space="preserve">(Additional legal category used for public bodies’ security duties):</w:t>
      </w:r>
      <w:r>
        <w:t xml:space="preserve"> </w:t>
      </w:r>
      <w:r>
        <w:rPr>
          <w:b/>
          <w:bCs/>
        </w:rPr>
        <w:t xml:space="preserve">“פעולות אבטחה”</w:t>
      </w:r>
      <w:r>
        <w:t xml:space="preserve"> </w:t>
      </w:r>
      <w:r>
        <w:t xml:space="preserve">(“security actions”), explicitly including</w:t>
      </w:r>
      <w:r>
        <w:t xml:space="preserve"> </w:t>
      </w:r>
      <w:r>
        <w:rPr>
          <w:b/>
          <w:bCs/>
        </w:rPr>
        <w:t xml:space="preserve">information-security-related activity</w:t>
      </w:r>
      <w:r>
        <w:t xml:space="preserve"> </w:t>
      </w:r>
      <w:r>
        <w:t xml:space="preserve">—</w:t>
      </w:r>
      <w:r>
        <w:t xml:space="preserve"> </w:t>
      </w:r>
      <w:r>
        <w:rPr>
          <w:b/>
          <w:bCs/>
        </w:rPr>
        <w:t xml:space="preserve">Law for Regulating Security in Public Bodies, 5758–1998</w:t>
      </w:r>
      <w:r>
        <w:t xml:space="preserve"> </w:t>
      </w:r>
      <w:r>
        <w:t xml:space="preserve">(חוק להסדרת הביטחון בגופים ציבוריים, התשנ”ח–1998).</w:t>
      </w:r>
    </w:p>
    <w:bookmarkEnd w:id="274"/>
    <w:bookmarkStart w:id="275" w:name="X009e871774ca2a8b246a723cee596bf472078e0"/>
    <w:p>
      <w:pPr>
        <w:pStyle w:val="Heading2"/>
      </w:pPr>
      <w:r>
        <w:t xml:space="preserve">Exact legal / regulatory criteria (what triggers inclusion)</w:t>
      </w:r>
    </w:p>
    <w:bookmarkEnd w:id="275"/>
    <w:bookmarkStart w:id="276" w:name="X19aafc30f00bea5a86da109ee6cecd23e219116"/>
    <w:p>
      <w:pPr>
        <w:pStyle w:val="Heading2"/>
      </w:pPr>
      <w:r>
        <w:t xml:space="preserve">Subsection A (The Definition): the specific text defining the scope</w:t>
      </w:r>
    </w:p>
    <w:p>
      <w:pPr>
        <w:pStyle w:val="FirstParagraph"/>
      </w:pPr>
      <w:r>
        <w:rPr>
          <w:b/>
          <w:bCs/>
        </w:rPr>
        <w:t xml:space="preserve">1) Database security levels (basic / medium / high)</w:t>
      </w:r>
      <w:r>
        <w:t xml:space="preserve"> </w:t>
      </w:r>
      <w:r>
        <w:t xml:space="preserve">— definitions (Data Security Regulations, 2017):</w:t>
      </w:r>
    </w:p>
    <w:p>
      <w:pPr>
        <w:pStyle w:val="Compact"/>
        <w:numPr>
          <w:ilvl w:val="0"/>
          <w:numId w:val="1243"/>
        </w:numPr>
      </w:pPr>
      <w:r>
        <w:rPr>
          <w:b/>
          <w:bCs/>
        </w:rPr>
        <w:t xml:space="preserve">“מאגרים שחלה עליהם רמת האבטחה הבסיסית”</w:t>
      </w:r>
      <w:r>
        <w:t xml:space="preserve"> </w:t>
      </w:r>
      <w:r>
        <w:t xml:space="preserve">— databases</w:t>
      </w:r>
      <w:r>
        <w:t xml:space="preserve"> </w:t>
      </w:r>
      <w:r>
        <w:rPr>
          <w:b/>
          <w:bCs/>
        </w:rPr>
        <w:t xml:space="preserve">not</w:t>
      </w:r>
      <w:r>
        <w:t xml:space="preserve"> </w:t>
      </w:r>
      <w:r>
        <w:t xml:space="preserve">listed in the First or Second Schedule and not managed by an individual.</w:t>
      </w:r>
    </w:p>
    <w:p>
      <w:pPr>
        <w:pStyle w:val="Compact"/>
        <w:numPr>
          <w:ilvl w:val="0"/>
          <w:numId w:val="1243"/>
        </w:numPr>
      </w:pPr>
      <w:r>
        <w:rPr>
          <w:b/>
          <w:bCs/>
        </w:rPr>
        <w:t xml:space="preserve">“מאגרים שחלה עליהם רמת האבטחה הבינונית”</w:t>
      </w:r>
      <w:r>
        <w:t xml:space="preserve"> </w:t>
      </w:r>
      <w:r>
        <w:t xml:space="preserve">— databases of the types listed in the</w:t>
      </w:r>
      <w:r>
        <w:t xml:space="preserve"> </w:t>
      </w:r>
      <w:r>
        <w:rPr>
          <w:b/>
          <w:bCs/>
        </w:rPr>
        <w:t xml:space="preserve">First Schedule</w:t>
      </w:r>
      <w:r>
        <w:t xml:space="preserve"> </w:t>
      </w:r>
      <w:r>
        <w:t xml:space="preserve">(and not managed by an individual).</w:t>
      </w:r>
    </w:p>
    <w:p>
      <w:pPr>
        <w:pStyle w:val="Compact"/>
        <w:numPr>
          <w:ilvl w:val="0"/>
          <w:numId w:val="1243"/>
        </w:numPr>
      </w:pPr>
      <w:r>
        <w:rPr>
          <w:b/>
          <w:bCs/>
        </w:rPr>
        <w:t xml:space="preserve">“מאגרים שחלה עליהם רמת האבטחה הגבוהה”</w:t>
      </w:r>
      <w:r>
        <w:t xml:space="preserve"> </w:t>
      </w:r>
      <w:r>
        <w:t xml:space="preserve">— databases of the types listed in the</w:t>
      </w:r>
      <w:r>
        <w:t xml:space="preserve"> </w:t>
      </w:r>
      <w:r>
        <w:rPr>
          <w:b/>
          <w:bCs/>
        </w:rPr>
        <w:t xml:space="preserve">Second Schedule</w:t>
      </w:r>
      <w:r>
        <w:t xml:space="preserve">.</w:t>
      </w:r>
    </w:p>
    <w:p>
      <w:pPr>
        <w:pStyle w:val="FirstParagraph"/>
      </w:pPr>
      <w:r>
        <w:rPr>
          <w:b/>
          <w:bCs/>
        </w:rPr>
        <w:t xml:space="preserve">2) Severe security incident (“אירוע אבטחה חמור”)</w:t>
      </w:r>
      <w:r>
        <w:t xml:space="preserve"> </w:t>
      </w:r>
      <w:r>
        <w:t xml:space="preserve">— definition (Data Security Regulations, 2017):</w:t>
      </w:r>
    </w:p>
    <w:p>
      <w:pPr>
        <w:pStyle w:val="Compact"/>
        <w:numPr>
          <w:ilvl w:val="0"/>
          <w:numId w:val="1244"/>
        </w:numPr>
      </w:pPr>
      <w:r>
        <w:t xml:space="preserve">For a</w:t>
      </w:r>
      <w:r>
        <w:t xml:space="preserve"> </w:t>
      </w:r>
      <w:r>
        <w:rPr>
          <w:b/>
          <w:bCs/>
        </w:rPr>
        <w:t xml:space="preserve">high-security-level</w:t>
      </w:r>
      <w:r>
        <w:t xml:space="preserve"> </w:t>
      </w:r>
      <w:r>
        <w:t xml:space="preserve">database: “אירוע שנעשה בו שימוש במידע מן המאגר, בלא הרשאה או בחריגה מהרשאה או שנעשתה פגיעה בשלמות המידע” (unauthorized use / use beyond authorization, or integrity impairment).</w:t>
      </w:r>
    </w:p>
    <w:p>
      <w:pPr>
        <w:pStyle w:val="Compact"/>
        <w:numPr>
          <w:ilvl w:val="0"/>
          <w:numId w:val="1244"/>
        </w:numPr>
      </w:pPr>
      <w:r>
        <w:t xml:space="preserve">For a</w:t>
      </w:r>
      <w:r>
        <w:t xml:space="preserve"> </w:t>
      </w:r>
      <w:r>
        <w:rPr>
          <w:b/>
          <w:bCs/>
        </w:rPr>
        <w:t xml:space="preserve">medium-security-level</w:t>
      </w:r>
      <w:r>
        <w:t xml:space="preserve"> </w:t>
      </w:r>
      <w:r>
        <w:t xml:space="preserve">database: “אירוע שנעשה בו שימוש בחלק מהותי מן המאגר…” (unauthorized use / beyond authorization, or integrity impairment</w:t>
      </w:r>
      <w:r>
        <w:t xml:space="preserve"> </w:t>
      </w:r>
      <w:r>
        <w:rPr>
          <w:b/>
          <w:bCs/>
        </w:rPr>
        <w:t xml:space="preserve">regarding a substantial part of the database</w:t>
      </w:r>
      <w:r>
        <w:t xml:space="preserve">).</w:t>
      </w:r>
    </w:p>
    <w:p>
      <w:pPr>
        <w:pStyle w:val="FirstParagraph"/>
      </w:pPr>
      <w:r>
        <w:rPr>
          <w:b/>
          <w:bCs/>
        </w:rPr>
        <w:t xml:space="preserve">3) Public-body security actions include information-security actions</w:t>
      </w:r>
      <w:r>
        <w:t xml:space="preserve"> </w:t>
      </w:r>
      <w:r>
        <w:t xml:space="preserve">(Security in Public Bodies Law, 1998):</w:t>
      </w:r>
    </w:p>
    <w:p>
      <w:pPr>
        <w:pStyle w:val="Compact"/>
        <w:numPr>
          <w:ilvl w:val="0"/>
          <w:numId w:val="1245"/>
        </w:numPr>
      </w:pPr>
      <w:r>
        <w:t xml:space="preserve">“פעולות אבטחה” includes “פעילות לאבטחת מידע שחשיפתו עלולה לפגוע בבטחון המדינה” (activity to secure information whose exposure may harm state security).</w:t>
      </w:r>
    </w:p>
    <w:bookmarkEnd w:id="276"/>
    <w:bookmarkStart w:id="277" w:name="X12ec41d06d0f8f0e5ac268dff1bdb3531a2d9e9"/>
    <w:p>
      <w:pPr>
        <w:pStyle w:val="Heading2"/>
      </w:pPr>
      <w:r>
        <w:t xml:space="preserve">Subsection B (The Thresholds): quantitative or qualitative tests</w:t>
      </w:r>
    </w:p>
    <w:p>
      <w:pPr>
        <w:pStyle w:val="FirstParagraph"/>
      </w:pPr>
      <w:r>
        <w:rPr>
          <w:b/>
          <w:bCs/>
        </w:rPr>
        <w:t xml:space="preserve">Severe security incident thresholds</w:t>
      </w:r>
      <w:r>
        <w:t xml:space="preserve"> </w:t>
      </w:r>
      <w:r>
        <w:t xml:space="preserve">are explicitly differentiated by the database’s security level:</w:t>
      </w:r>
    </w:p>
    <w:p>
      <w:pPr>
        <w:pStyle w:val="Compact"/>
        <w:numPr>
          <w:ilvl w:val="0"/>
          <w:numId w:val="1246"/>
        </w:numPr>
      </w:pPr>
      <w:r>
        <w:rPr>
          <w:b/>
          <w:bCs/>
        </w:rPr>
        <w:t xml:space="preserve">High level</w:t>
      </w:r>
      <w:r>
        <w:t xml:space="preserve">: unauthorized use (or beyond authorization) of</w:t>
      </w:r>
      <w:r>
        <w:t xml:space="preserve"> </w:t>
      </w:r>
      <w:r>
        <w:rPr>
          <w:b/>
          <w:bCs/>
        </w:rPr>
        <w:t xml:space="preserve">information from the database</w:t>
      </w:r>
      <w:r>
        <w:t xml:space="preserve">, or</w:t>
      </w:r>
      <w:r>
        <w:t xml:space="preserve"> </w:t>
      </w:r>
      <w:r>
        <w:rPr>
          <w:b/>
          <w:bCs/>
        </w:rPr>
        <w:t xml:space="preserve">integrity impairment</w:t>
      </w:r>
      <w:r>
        <w:t xml:space="preserve"> </w:t>
      </w:r>
      <w:r>
        <w:t xml:space="preserve">(no “substantial part” qualifier).</w:t>
      </w:r>
    </w:p>
    <w:p>
      <w:pPr>
        <w:pStyle w:val="Compact"/>
        <w:numPr>
          <w:ilvl w:val="0"/>
          <w:numId w:val="1246"/>
        </w:numPr>
      </w:pPr>
      <w:r>
        <w:rPr>
          <w:b/>
          <w:bCs/>
        </w:rPr>
        <w:t xml:space="preserve">Medium level</w:t>
      </w:r>
      <w:r>
        <w:t xml:space="preserve">: unauthorized use (or beyond authorization) of a</w:t>
      </w:r>
      <w:r>
        <w:t xml:space="preserve"> </w:t>
      </w:r>
      <w:r>
        <w:rPr>
          <w:b/>
          <w:bCs/>
        </w:rPr>
        <w:t xml:space="preserve">“חלק מהותי”</w:t>
      </w:r>
      <w:r>
        <w:t xml:space="preserve"> </w:t>
      </w:r>
      <w:r>
        <w:t xml:space="preserve">(“substantial part”) of the database, or integrity impairment regarding a substantial part.</w:t>
      </w:r>
    </w:p>
    <w:bookmarkEnd w:id="277"/>
    <w:bookmarkStart w:id="278" w:name="grading-tiering-scheme-7"/>
    <w:p>
      <w:pPr>
        <w:pStyle w:val="Heading2"/>
      </w:pPr>
      <w:r>
        <w:t xml:space="preserve">Grading / tiering scheme</w:t>
      </w:r>
    </w:p>
    <w:p>
      <w:pPr>
        <w:pStyle w:val="FirstParagraph"/>
      </w:pPr>
      <w:r>
        <w:rPr>
          <w:b/>
          <w:bCs/>
        </w:rPr>
        <w:t xml:space="preserve">Tiered scheme (3 levels)</w:t>
      </w:r>
      <w:r>
        <w:t xml:space="preserve"> </w:t>
      </w:r>
      <w:r>
        <w:t xml:space="preserve">under the Data Security Regulations:</w:t>
      </w:r>
    </w:p>
    <w:p>
      <w:pPr>
        <w:pStyle w:val="Compact"/>
        <w:numPr>
          <w:ilvl w:val="0"/>
          <w:numId w:val="1247"/>
        </w:numPr>
      </w:pPr>
      <w:r>
        <w:rPr>
          <w:b/>
          <w:bCs/>
        </w:rPr>
        <w:t xml:space="preserve">Basic / Medium / High security level</w:t>
      </w:r>
      <w:r>
        <w:t xml:space="preserve"> </w:t>
      </w:r>
      <w:r>
        <w:t xml:space="preserve">categorization for databases, defined via inclusion in the First / Second Schedules (and exclusions for individually managed databases).</w:t>
      </w:r>
    </w:p>
    <w:bookmarkEnd w:id="278"/>
    <w:bookmarkStart w:id="279" w:name="X43d7f8a5d05c59429f1b5d9995631bcfcbd622d"/>
    <w:p>
      <w:pPr>
        <w:pStyle w:val="Heading2"/>
      </w:pPr>
      <w:r>
        <w:t xml:space="preserve">Incident reporting tests and thresholds</w:t>
      </w:r>
    </w:p>
    <w:bookmarkEnd w:id="279"/>
    <w:bookmarkStart w:id="280" w:name="deadlines-24-hour-72-hour-rules"/>
    <w:p>
      <w:pPr>
        <w:pStyle w:val="Heading2"/>
      </w:pPr>
      <w:r>
        <w:t xml:space="preserve">Deadlines: 24-hour / 72-hour rules</w:t>
      </w:r>
    </w:p>
    <w:p>
      <w:pPr>
        <w:pStyle w:val="FirstParagraph"/>
      </w:pPr>
      <w:r>
        <w:rPr>
          <w:b/>
          <w:bCs/>
        </w:rPr>
        <w:t xml:space="preserve">No 24h/72h deadline text located in the accessible primary regulatory text used below</w:t>
      </w:r>
      <w:r>
        <w:t xml:space="preserve"> </w:t>
      </w:r>
      <w:r>
        <w:t xml:space="preserve">(Data Security Regulations). The regulation uses</w:t>
      </w:r>
      <w:r>
        <w:t xml:space="preserve"> </w:t>
      </w:r>
      <w:r>
        <w:rPr>
          <w:b/>
          <w:bCs/>
        </w:rPr>
        <w:t xml:space="preserve">“באופן מיידי”</w:t>
      </w:r>
      <w:r>
        <w:t xml:space="preserve"> </w:t>
      </w:r>
      <w:r>
        <w:t xml:space="preserve">(“immediately”) for notification to the Registrar in the severe-incident case.</w:t>
      </w:r>
    </w:p>
    <w:bookmarkEnd w:id="280"/>
    <w:bookmarkStart w:id="281" w:name="X19e7c27dd3214063473079c155ef35a52edc480"/>
    <w:p>
      <w:pPr>
        <w:pStyle w:val="Heading2"/>
      </w:pPr>
      <w:r>
        <w:t xml:space="preserve">Triggers: what counts as a reportable incident</w:t>
      </w:r>
    </w:p>
    <w:p>
      <w:pPr>
        <w:pStyle w:val="FirstParagraph"/>
      </w:pPr>
      <w:r>
        <w:rPr>
          <w:b/>
          <w:bCs/>
        </w:rPr>
        <w:t xml:space="preserve">Trigger + duty (Data Security Regulations, Regulation 11(ד))</w:t>
      </w:r>
      <w:r>
        <w:t xml:space="preserve">:</w:t>
      </w:r>
    </w:p>
    <w:p>
      <w:pPr>
        <w:numPr>
          <w:ilvl w:val="0"/>
          <w:numId w:val="1248"/>
        </w:numPr>
      </w:pPr>
      <w:r>
        <w:t xml:space="preserve">“אירע אירוע אבטחה חמור – (1) יודיע על כך בעל המאגר לרשם באופן מיידי…”</w:t>
      </w:r>
    </w:p>
    <w:p>
      <w:pPr>
        <w:numPr>
          <w:ilvl w:val="0"/>
          <w:numId w:val="1000"/>
        </w:numPr>
      </w:pPr>
      <w:r>
        <w:t xml:space="preserve">(If a severe security incident occurred — (1) the database owner shall notify the Registrar</w:t>
      </w:r>
      <w:r>
        <w:t xml:space="preserve"> </w:t>
      </w:r>
      <w:r>
        <w:rPr>
          <w:b/>
          <w:bCs/>
        </w:rPr>
        <w:t xml:space="preserve">immediately</w:t>
      </w:r>
      <w:r>
        <w:t xml:space="preserve">…).</w:t>
      </w:r>
    </w:p>
    <w:p>
      <w:pPr>
        <w:pStyle w:val="FirstParagraph"/>
      </w:pPr>
      <w:r>
        <w:rPr>
          <w:b/>
          <w:bCs/>
        </w:rPr>
        <w:t xml:space="preserve">Registrar-directed notification to data subjects (Data Security Regulations, Regulation 11(ד)(2))</w:t>
      </w:r>
      <w:r>
        <w:t xml:space="preserve">:</w:t>
      </w:r>
    </w:p>
    <w:p>
      <w:pPr>
        <w:pStyle w:val="Compact"/>
        <w:numPr>
          <w:ilvl w:val="0"/>
          <w:numId w:val="1249"/>
        </w:numPr>
      </w:pPr>
      <w:r>
        <w:t xml:space="preserve">The Registrar may instruct the database owner (with certain statutory exceptions) —</w:t>
      </w:r>
      <w:r>
        <w:t xml:space="preserve"> </w:t>
      </w:r>
      <w:r>
        <w:rPr>
          <w:b/>
          <w:bCs/>
        </w:rPr>
        <w:t xml:space="preserve">after consulting</w:t>
      </w:r>
      <w:r>
        <w:t xml:space="preserve"> </w:t>
      </w:r>
      <w:r>
        <w:t xml:space="preserve">the head of the national cyber authority (“ראש הרשות הלאומית להגנת הסייבר”) — to notify affected data subjects (“נושא מידע”).</w:t>
      </w:r>
    </w:p>
    <w:bookmarkEnd w:id="281"/>
    <w:bookmarkStart w:id="282" w:name="Xeec63e1d2bbba35a9c71189ff74121c41b249a7"/>
    <w:p>
      <w:pPr>
        <w:pStyle w:val="Heading2"/>
      </w:pPr>
      <w:r>
        <w:t xml:space="preserve">Health information systems “most likely” designated</w:t>
      </w:r>
    </w:p>
    <w:bookmarkEnd w:id="282"/>
    <w:bookmarkStart w:id="283" w:name="X01692540e2c17e72978df186a57f26807db519b"/>
    <w:p>
      <w:pPr>
        <w:pStyle w:val="Heading2"/>
      </w:pPr>
      <w:r>
        <w:t xml:space="preserve">What is explicit in accessible primary sources</w:t>
      </w:r>
    </w:p>
    <w:p>
      <w:pPr>
        <w:pStyle w:val="FirstParagraph"/>
      </w:pPr>
      <w:r>
        <w:rPr>
          <w:b/>
          <w:bCs/>
        </w:rPr>
        <w:t xml:space="preserve">Healthcare entities referenced as part of “health organizations” (State Comptroller report)</w:t>
      </w:r>
      <w:r>
        <w:t xml:space="preserve">:</w:t>
      </w:r>
    </w:p>
    <w:p>
      <w:pPr>
        <w:pStyle w:val="Compact"/>
        <w:numPr>
          <w:ilvl w:val="0"/>
          <w:numId w:val="1250"/>
        </w:numPr>
      </w:pPr>
      <w:r>
        <w:t xml:space="preserve">The State Comptroller report cites a Ministry of Health definition of</w:t>
      </w:r>
      <w:r>
        <w:t xml:space="preserve"> </w:t>
      </w:r>
      <w:r>
        <w:rPr>
          <w:b/>
          <w:bCs/>
        </w:rPr>
        <w:t xml:space="preserve">“ארגון בריאות”</w:t>
      </w:r>
      <w:r>
        <w:t xml:space="preserve"> </w:t>
      </w:r>
      <w:r>
        <w:t xml:space="preserve">(“health organization”) including: the Ministry of Health, health funds (HMOs), medical institutions (including hospitals), pharmacies, evacuation and rescue organizations, clinics, and other organizations licensed by the Ministry of Health.</w:t>
      </w:r>
    </w:p>
    <w:p>
      <w:pPr>
        <w:pStyle w:val="FirstParagraph"/>
      </w:pPr>
      <w:r>
        <w:rPr>
          <w:b/>
          <w:bCs/>
        </w:rPr>
        <w:t xml:space="preserve">Databases that include information subject to professional confidentiality</w:t>
      </w:r>
      <w:r>
        <w:t xml:space="preserve"> </w:t>
      </w:r>
      <w:r>
        <w:t xml:space="preserve">are explicitly carved out from the “individually managed database” category (Data Security Regulations):</w:t>
      </w:r>
    </w:p>
    <w:p>
      <w:pPr>
        <w:pStyle w:val="Compact"/>
        <w:numPr>
          <w:ilvl w:val="0"/>
          <w:numId w:val="1251"/>
        </w:numPr>
      </w:pPr>
      <w:r>
        <w:t xml:space="preserve">“מאגר מידע הכולל מידע שבעל המאגר כפוף בשלו לחובת סודיות מקצועית לפי דין או לפי עקרונות של אתיקה מקצועית” (a database including information subject to professional confidentiality by law or professional ethics).</w:t>
      </w:r>
    </w:p>
    <w:bookmarkEnd w:id="283"/>
    <w:bookmarkStart w:id="284" w:name="evidence-based-inference"/>
    <w:p>
      <w:pPr>
        <w:pStyle w:val="Heading2"/>
      </w:pPr>
      <w:r>
        <w:t xml:space="preserve">Evidence-based inference</w:t>
      </w:r>
    </w:p>
    <w:p>
      <w:pPr>
        <w:pStyle w:val="FirstParagraph"/>
      </w:pPr>
      <w:r>
        <w:t xml:space="preserve">Based on (a) the explicit scope of “health organizations” above and (b) the Data Security Regulations’ database-security-level framework, examples of</w:t>
      </w:r>
      <w:r>
        <w:t xml:space="preserve"> </w:t>
      </w:r>
      <w:r>
        <w:rPr>
          <w:b/>
          <w:bCs/>
        </w:rPr>
        <w:t xml:space="preserve">health-sector information systems that commonly operate as “databases” containing professionally confidential health information</w:t>
      </w:r>
      <w:r>
        <w:t xml:space="preserve"> </w:t>
      </w:r>
      <w:r>
        <w:t xml:space="preserve">include:</w:t>
      </w:r>
      <w:r>
        <w:t xml:space="preserve"> </w:t>
      </w:r>
      <w:r>
        <w:rPr>
          <w:b/>
          <w:bCs/>
        </w:rPr>
        <w:t xml:space="preserve">EHR/EMR databases, hospital information systems, laboratory information systems, radiology/PACS archives, pharmacy systems, appointment &amp; admissions systems, emergency dispatch/ambulance care records, and national/regional registries</w:t>
      </w:r>
      <w:r>
        <w:t xml:space="preserve">.</w:t>
      </w:r>
    </w:p>
    <w:p>
      <w:pPr>
        <w:pStyle w:val="BodyText"/>
      </w:pPr>
      <w:r>
        <w:t xml:space="preserve">This list is</w:t>
      </w:r>
      <w:r>
        <w:t xml:space="preserve"> </w:t>
      </w:r>
      <w:r>
        <w:rPr>
          <w:b/>
          <w:bCs/>
        </w:rPr>
        <w:t xml:space="preserve">not</w:t>
      </w:r>
      <w:r>
        <w:t xml:space="preserve"> </w:t>
      </w:r>
      <w:r>
        <w:t xml:space="preserve">a designation list from Israeli law; it is an inference about typical systems that store the regulated classes of information described above.</w:t>
      </w:r>
    </w:p>
    <w:bookmarkEnd w:id="284"/>
    <w:bookmarkStart w:id="285" w:name="public-vs-confidential-8"/>
    <w:p>
      <w:pPr>
        <w:pStyle w:val="Heading2"/>
      </w:pPr>
      <w:r>
        <w:t xml:space="preserve">Public vs Confidential</w:t>
      </w:r>
    </w:p>
    <w:p>
      <w:pPr>
        <w:pStyle w:val="FirstParagraph"/>
      </w:pPr>
      <w:r>
        <w:rPr>
          <w:b/>
          <w:bCs/>
        </w:rPr>
        <w:t xml:space="preserve">Public (located and cited):</w:t>
      </w:r>
    </w:p>
    <w:p>
      <w:pPr>
        <w:pStyle w:val="Compact"/>
        <w:numPr>
          <w:ilvl w:val="0"/>
          <w:numId w:val="1252"/>
        </w:numPr>
      </w:pPr>
      <w:r>
        <w:rPr>
          <w:b/>
          <w:bCs/>
        </w:rPr>
        <w:t xml:space="preserve">Security in Public Bodies Law (1998)</w:t>
      </w:r>
      <w:r>
        <w:t xml:space="preserve"> </w:t>
      </w:r>
      <w:r>
        <w:t xml:space="preserve">— statutory definitions including “security actions” that explicitly include securing sensitive information whose exposure may harm state security.</w:t>
      </w:r>
    </w:p>
    <w:p>
      <w:pPr>
        <w:pStyle w:val="Compact"/>
        <w:numPr>
          <w:ilvl w:val="0"/>
          <w:numId w:val="1252"/>
        </w:numPr>
      </w:pPr>
      <w:r>
        <w:rPr>
          <w:b/>
          <w:bCs/>
        </w:rPr>
        <w:t xml:space="preserve">Protection of Privacy Regulations (Data Security) (2017)</w:t>
      </w:r>
      <w:r>
        <w:t xml:space="preserve"> </w:t>
      </w:r>
      <w:r>
        <w:t xml:space="preserve">— definitions of security levels; definition of “severe security incident”; immediate notification duty to the Registrar; possible Registrar-directed notification to data subjects after consultation with the national cyber authority.</w:t>
      </w:r>
    </w:p>
    <w:p>
      <w:pPr>
        <w:pStyle w:val="FirstParagraph"/>
      </w:pPr>
      <w:r>
        <w:rPr>
          <w:b/>
          <w:bCs/>
        </w:rPr>
        <w:t xml:space="preserve">Confidential (not contained in the accessible legal texts above):</w:t>
      </w:r>
    </w:p>
    <w:p>
      <w:pPr>
        <w:pStyle w:val="Compact"/>
        <w:numPr>
          <w:ilvl w:val="0"/>
          <w:numId w:val="1253"/>
        </w:numPr>
      </w:pPr>
      <w:r>
        <w:t xml:space="preserve">The cited laws/regulations above</w:t>
      </w:r>
      <w:r>
        <w:t xml:space="preserve"> </w:t>
      </w:r>
      <w:r>
        <w:rPr>
          <w:b/>
          <w:bCs/>
        </w:rPr>
        <w:t xml:space="preserve">do not themselves publish a list</w:t>
      </w:r>
      <w:r>
        <w:t xml:space="preserve"> </w:t>
      </w:r>
      <w:r>
        <w:t xml:space="preserve">of specific designated entities or systems as “critical infrastructure.” (No such list appears within the cited sections of the statutes/regulations.)</w:t>
      </w:r>
    </w:p>
    <w:bookmarkEnd w:id="285"/>
    <w:bookmarkStart w:id="286" w:name="latest-updates-20252026-4"/>
    <w:p>
      <w:pPr>
        <w:pStyle w:val="Heading2"/>
      </w:pPr>
      <w:r>
        <w:t xml:space="preserve">Latest updates (2025–2026)</w:t>
      </w:r>
    </w:p>
    <w:p>
      <w:pPr>
        <w:pStyle w:val="Compact"/>
        <w:numPr>
          <w:ilvl w:val="0"/>
          <w:numId w:val="1254"/>
        </w:numPr>
      </w:pPr>
      <w:r>
        <w:rPr>
          <w:b/>
          <w:bCs/>
        </w:rPr>
        <w:t xml:space="preserve">Privacy Protection Law (Amendment No. 13), 2024</w:t>
      </w:r>
      <w:r>
        <w:t xml:space="preserve"> </w:t>
      </w:r>
      <w:r>
        <w:t xml:space="preserve">(חוק הגנת הפרטיות (תיקון מס’ 13), התשפ”ד–2024) was published in Israel’s Book of Laws (“ספר החוקים”) on</w:t>
      </w:r>
      <w:r>
        <w:t xml:space="preserve"> </w:t>
      </w:r>
      <w:r>
        <w:rPr>
          <w:b/>
          <w:bCs/>
        </w:rPr>
        <w:t xml:space="preserve">14 Aug 2024</w:t>
      </w:r>
      <w:r>
        <w:t xml:space="preserve"> </w:t>
      </w:r>
      <w:r>
        <w:t xml:space="preserve">and is identified as Amendment No. 13 in that publication.</w:t>
      </w:r>
    </w:p>
    <w:p>
      <w:pPr>
        <w:pStyle w:val="Compact"/>
        <w:numPr>
          <w:ilvl w:val="0"/>
          <w:numId w:val="1254"/>
        </w:numPr>
      </w:pPr>
      <w:r>
        <w:t xml:space="preserve">Accessible sources discussing commencement state that</w:t>
      </w:r>
      <w:r>
        <w:t xml:space="preserve"> </w:t>
      </w:r>
      <w:r>
        <w:rPr>
          <w:b/>
          <w:bCs/>
        </w:rPr>
        <w:t xml:space="preserve">Amendment 13 enters into force on 14 Aug 2025</w:t>
      </w:r>
      <w:r>
        <w:t xml:space="preserve"> </w:t>
      </w:r>
      <w:r>
        <w:t xml:space="preserve">(one year after publication).</w:t>
      </w:r>
    </w:p>
    <w:bookmarkEnd w:id="286"/>
    <w:bookmarkStart w:id="291" w:name="references-israel"/>
    <w:p>
      <w:pPr>
        <w:pStyle w:val="Heading2"/>
      </w:pPr>
      <w:r>
        <w:t xml:space="preserve">References (Israel)</w:t>
      </w:r>
    </w:p>
    <w:p>
      <w:pPr>
        <w:pStyle w:val="Compact"/>
        <w:numPr>
          <w:ilvl w:val="0"/>
          <w:numId w:val="1255"/>
        </w:numPr>
      </w:pPr>
      <w:r>
        <w:rPr>
          <w:b/>
          <w:bCs/>
        </w:rPr>
        <w:t xml:space="preserve">The Knesset.</w:t>
      </w:r>
      <w:r>
        <w:t xml:space="preserve"> </w:t>
      </w:r>
      <w:r>
        <w:rPr>
          <w:b/>
          <w:bCs/>
        </w:rPr>
        <w:t xml:space="preserve">Regulation of Security in Public Bodies Law, 5758–1998</w:t>
      </w:r>
      <w:r>
        <w:t xml:space="preserve"> </w:t>
      </w:r>
      <w:r>
        <w:t xml:space="preserve">(חוק להסדרת הביטחון בגופים ציבוריים). (</w:t>
      </w:r>
      <w:hyperlink r:id="rId287">
        <w:r>
          <w:rPr>
            <w:rStyle w:val="Hyperlink"/>
          </w:rPr>
          <w:t xml:space="preserve">link</w:t>
        </w:r>
      </w:hyperlink>
      <w:r>
        <w:t xml:space="preserve">)</w:t>
      </w:r>
    </w:p>
    <w:p>
      <w:pPr>
        <w:pStyle w:val="Compact"/>
        <w:numPr>
          <w:ilvl w:val="0"/>
          <w:numId w:val="1255"/>
        </w:numPr>
      </w:pPr>
      <w:r>
        <w:rPr>
          <w:b/>
          <w:bCs/>
        </w:rPr>
        <w:t xml:space="preserve">Israel Privacy Protection Authority.</w:t>
      </w:r>
      <w:r>
        <w:t xml:space="preserve"> </w:t>
      </w:r>
      <w:r>
        <w:rPr>
          <w:b/>
          <w:bCs/>
        </w:rPr>
        <w:t xml:space="preserve">Protection of Privacy Regulations (Data Security), 5777–2017</w:t>
      </w:r>
      <w:r>
        <w:t xml:space="preserve">. (</w:t>
      </w:r>
      <w:hyperlink r:id="rId288">
        <w:r>
          <w:rPr>
            <w:rStyle w:val="Hyperlink"/>
          </w:rPr>
          <w:t xml:space="preserve">English translation</w:t>
        </w:r>
      </w:hyperlink>
      <w:r>
        <w:t xml:space="preserve">)</w:t>
      </w:r>
    </w:p>
    <w:p>
      <w:pPr>
        <w:pStyle w:val="Compact"/>
        <w:numPr>
          <w:ilvl w:val="0"/>
          <w:numId w:val="1255"/>
        </w:numPr>
      </w:pPr>
      <w:r>
        <w:rPr>
          <w:b/>
          <w:bCs/>
        </w:rPr>
        <w:t xml:space="preserve">State Comptroller of Israel.</w:t>
      </w:r>
      <w:r>
        <w:t xml:space="preserve"> </w:t>
      </w:r>
      <w:r>
        <w:rPr>
          <w:b/>
          <w:bCs/>
        </w:rPr>
        <w:t xml:space="preserve">Annual Report: Healthcare Cybersecurity</w:t>
      </w:r>
      <w:r>
        <w:t xml:space="preserve">. (</w:t>
      </w:r>
      <w:hyperlink r:id="rId289">
        <w:r>
          <w:rPr>
            <w:rStyle w:val="Hyperlink"/>
          </w:rPr>
          <w:t xml:space="preserve">link</w:t>
        </w:r>
      </w:hyperlink>
      <w:r>
        <w:t xml:space="preserve">)</w:t>
      </w:r>
    </w:p>
    <w:p>
      <w:pPr>
        <w:pStyle w:val="Compact"/>
        <w:numPr>
          <w:ilvl w:val="0"/>
          <w:numId w:val="1255"/>
        </w:numPr>
      </w:pPr>
      <w:r>
        <w:rPr>
          <w:b/>
          <w:bCs/>
        </w:rPr>
        <w:t xml:space="preserve">The Knesset.</w:t>
      </w:r>
      <w:r>
        <w:t xml:space="preserve"> </w:t>
      </w:r>
      <w:r>
        <w:rPr>
          <w:b/>
          <w:bCs/>
        </w:rPr>
        <w:t xml:space="preserve">Privacy Protection Law (Amendment No. 13), 2024</w:t>
      </w:r>
      <w:r>
        <w:t xml:space="preserve">. (</w:t>
      </w:r>
      <w:hyperlink r:id="rId290">
        <w:r>
          <w:rPr>
            <w:rStyle w:val="Hyperlink"/>
          </w:rPr>
          <w:t xml:space="preserve">link</w:t>
        </w:r>
      </w:hyperlink>
      <w:r>
        <w:t xml:space="preserve">)</w:t>
      </w:r>
    </w:p>
    <w:p>
      <w:pPr>
        <w:sectPr>
          <w:footerReference w:type="first" r:id="rId13"/>
          <w:footerReference w:type="default" r:id="rId11"/>
          <w:footerReference w:type="even" r:id="rId10"/>
          <w:type w:val="nextPage"/>
        </w:sectPr>
      </w:pPr>
    </w:p>
    <w:bookmarkEnd w:id="291"/>
    <w:bookmarkEnd w:id="292"/>
    <w:bookmarkStart w:id="295" w:name="X5a24a6d14bc8f340bbf04e6465a7388a3fabab2"/>
    <w:p>
      <w:pPr>
        <w:pStyle w:val="Heading1"/>
      </w:pPr>
      <w:r>
        <w:t xml:space="preserve">Part 2: Comparative Synthesis &amp; Framework Design Recommendations</w:t>
      </w:r>
    </w:p>
    <w:bookmarkStart w:id="293" w:name="comparative-framework-overview"/>
    <w:p>
      <w:pPr>
        <w:pStyle w:val="Heading2"/>
      </w:pPr>
      <w:r>
        <w:t xml:space="preserve">Comparative Framework Overview</w:t>
      </w:r>
    </w:p>
    <w:p>
      <w:pPr>
        <w:pStyle w:val="FirstParagraph"/>
      </w:pPr>
      <w:r>
        <w:t xml:space="preserve">This study provides deep-dive analysis of</w:t>
      </w:r>
      <w:r>
        <w:t xml:space="preserve"> </w:t>
      </w:r>
      <w:r>
        <w:rPr>
          <w:b/>
          <w:bCs/>
        </w:rPr>
        <w:t xml:space="preserve">17 jurisdictions</w:t>
      </w:r>
      <w:r>
        <w:t xml:space="preserve"> </w:t>
      </w:r>
      <w:r>
        <w:t xml:space="preserve">with detailed chapter coverage, plus an additional</w:t>
      </w:r>
      <w:r>
        <w:t xml:space="preserve"> </w:t>
      </w:r>
      <w:r>
        <w:rPr>
          <w:b/>
          <w:bCs/>
        </w:rPr>
        <w:t xml:space="preserve">20+ countries</w:t>
      </w:r>
      <w:r>
        <w:t xml:space="preserve"> </w:t>
      </w:r>
      <w:r>
        <w:t xml:space="preserve">surveyed in the multi-region overview table.</w:t>
      </w:r>
    </w:p>
    <w:bookmarkEnd w:id="293"/>
    <w:bookmarkStart w:id="294" w:name="deep-dive-jurisdictions-17-countries"/>
    <w:p>
      <w:pPr>
        <w:pStyle w:val="Heading2"/>
      </w:pPr>
      <w:r>
        <w:t xml:space="preserve">Deep-Dive Jurisdictions (17 Countries)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Country/Region</w:t>
            </w:r>
          </w:p>
        </w:tc>
        <w:tc>
          <w:tcPr/>
          <w:p>
            <w:pPr>
              <w:pStyle w:val="Compact"/>
              <w:jc w:val="left"/>
            </w:pPr>
            <w:r>
              <w:t xml:space="preserve">Designation Model</w:t>
            </w:r>
          </w:p>
        </w:tc>
        <w:tc>
          <w:tcPr/>
          <w:p>
            <w:pPr>
              <w:pStyle w:val="Compact"/>
              <w:jc w:val="left"/>
            </w:pPr>
            <w:r>
              <w:t xml:space="preserve">Transparency</w:t>
            </w:r>
          </w:p>
        </w:tc>
        <w:tc>
          <w:tcPr/>
          <w:p>
            <w:pPr>
              <w:pStyle w:val="Compact"/>
              <w:jc w:val="left"/>
            </w:pPr>
            <w:r>
              <w:t xml:space="preserve">Explicit Thresholds</w:t>
            </w:r>
          </w:p>
        </w:tc>
        <w:tc>
          <w:tcPr/>
          <w:p>
            <w:pPr>
              <w:pStyle w:val="Compact"/>
              <w:jc w:val="left"/>
            </w:pPr>
            <w:r>
              <w:t xml:space="preserve">2025-2026 Updates</w:t>
            </w:r>
          </w:p>
        </w:tc>
      </w:tr>
      <w:tr>
        <w:tc>
          <w:tcPr/>
          <w:p>
            <w:pPr>
              <w:pStyle w:val="Compact"/>
              <w:jc w:val="left"/>
            </w:pPr>
            <w:r>
              <w:rPr>
                <w:b/>
                <w:bCs/>
              </w:rPr>
              <w:t xml:space="preserve">USA</w:t>
            </w:r>
          </w:p>
        </w:tc>
        <w:tc>
          <w:tcPr/>
          <w:p>
            <w:pPr>
              <w:pStyle w:val="Compact"/>
              <w:jc w:val="left"/>
            </w:pPr>
            <w:r>
              <w:t xml:space="preserve">Sector-level (HPH sector)</w:t>
            </w:r>
          </w:p>
        </w:tc>
        <w:tc>
          <w:tcPr/>
          <w:p>
            <w:pPr>
              <w:pStyle w:val="Compact"/>
              <w:jc w:val="left"/>
            </w:pPr>
            <w:r>
              <w:t xml:space="preserve">Frameworks public, priorities confidential</w:t>
            </w:r>
          </w:p>
        </w:tc>
        <w:tc>
          <w:tcPr/>
          <w:p>
            <w:pPr>
              <w:pStyle w:val="Compact"/>
              <w:jc w:val="left"/>
            </w:pPr>
            <w:r>
              <w:t xml:space="preserve">No (voluntary, qualitative)</w:t>
            </w:r>
          </w:p>
        </w:tc>
        <w:tc>
          <w:tcPr/>
          <w:p>
            <w:pPr>
              <w:pStyle w:val="Compact"/>
              <w:jc w:val="left"/>
            </w:pPr>
            <w:r>
              <w:rPr>
                <w:b/>
                <w:bCs/>
              </w:rPr>
              <w:t xml:space="preserve">CIRCIA final rule expected (May 2026), 72-hr incident/24-hr ransom reporting</w:t>
            </w:r>
          </w:p>
        </w:tc>
      </w:tr>
      <w:tr>
        <w:tc>
          <w:tcPr/>
          <w:p>
            <w:pPr>
              <w:pStyle w:val="Compact"/>
              <w:jc w:val="left"/>
            </w:pPr>
            <w:r>
              <w:rPr>
                <w:b/>
                <w:bCs/>
              </w:rPr>
              <w:t xml:space="preserve">Australia</w:t>
            </w:r>
          </w:p>
        </w:tc>
        <w:tc>
          <w:tcPr/>
          <w:p>
            <w:pPr>
              <w:pStyle w:val="Compact"/>
              <w:jc w:val="left"/>
            </w:pPr>
            <w:r>
              <w:t xml:space="preserve">Asset-level (ICU hospitals)</w:t>
            </w:r>
          </w:p>
        </w:tc>
        <w:tc>
          <w:tcPr/>
          <w:p>
            <w:pPr>
              <w:pStyle w:val="Compact"/>
              <w:jc w:val="left"/>
            </w:pPr>
            <w:r>
              <w:t xml:space="preserve">Criteria fully public, SoNS confidential</w:t>
            </w:r>
          </w:p>
        </w:tc>
        <w:tc>
          <w:tcPr/>
          <w:p>
            <w:pPr>
              <w:pStyle w:val="Compact"/>
              <w:jc w:val="left"/>
            </w:pPr>
            <w:r>
              <w:rPr>
                <w:b/>
                <w:bCs/>
              </w:rPr>
              <w:t xml:space="preserve">Yes (ICU presence)</w:t>
            </w:r>
          </w:p>
        </w:tc>
        <w:tc>
          <w:tcPr/>
          <w:p>
            <w:pPr>
              <w:pStyle w:val="Compact"/>
              <w:jc w:val="left"/>
            </w:pPr>
            <w:r>
              <w:rPr>
                <w:b/>
                <w:bCs/>
              </w:rPr>
              <w:t xml:space="preserve">Ransomware payment reporting (May 2025), strict enforcement (Jan 2026)</w:t>
            </w:r>
          </w:p>
        </w:tc>
      </w:tr>
      <w:tr>
        <w:tc>
          <w:tcPr/>
          <w:p>
            <w:pPr>
              <w:pStyle w:val="Compact"/>
              <w:jc w:val="left"/>
            </w:pPr>
            <w:r>
              <w:rPr>
                <w:b/>
                <w:bCs/>
              </w:rPr>
              <w:t xml:space="preserve">EU (NIS2)</w:t>
            </w:r>
          </w:p>
        </w:tc>
        <w:tc>
          <w:tcPr/>
          <w:p>
            <w:pPr>
              <w:pStyle w:val="Compact"/>
              <w:jc w:val="left"/>
            </w:pPr>
            <w:r>
              <w:t xml:space="preserve">Entity-level (Essential/Important)</w:t>
            </w:r>
          </w:p>
        </w:tc>
        <w:tc>
          <w:tcPr/>
          <w:p>
            <w:pPr>
              <w:pStyle w:val="Compact"/>
              <w:jc w:val="left"/>
            </w:pPr>
            <w:r>
              <w:t xml:space="preserve">Criteria fully public, lists vary by state</w:t>
            </w:r>
          </w:p>
        </w:tc>
        <w:tc>
          <w:tcPr/>
          <w:p>
            <w:pPr>
              <w:pStyle w:val="Compact"/>
              <w:jc w:val="left"/>
            </w:pPr>
            <w:r>
              <w:rPr>
                <w:b/>
                <w:bCs/>
              </w:rPr>
              <w:t xml:space="preserve">Yes (≥50 employees, €10M)</w:t>
            </w:r>
          </w:p>
        </w:tc>
        <w:tc>
          <w:tcPr/>
          <w:p>
            <w:pPr>
              <w:pStyle w:val="Compact"/>
              <w:jc w:val="left"/>
            </w:pPr>
            <w:r>
              <w:rPr>
                <w:b/>
                <w:bCs/>
              </w:rPr>
              <w:t xml:space="preserve">CER Directive (July 2026 deadline), all-hazard resilience</w:t>
            </w:r>
          </w:p>
        </w:tc>
      </w:tr>
      <w:tr>
        <w:tc>
          <w:tcPr/>
          <w:p>
            <w:pPr>
              <w:pStyle w:val="Compact"/>
              <w:jc w:val="left"/>
            </w:pPr>
            <w:r>
              <w:rPr>
                <w:b/>
                <w:bCs/>
              </w:rPr>
              <w:t xml:space="preserve">Canada</w:t>
            </w:r>
          </w:p>
        </w:tc>
        <w:tc>
          <w:tcPr/>
          <w:p>
            <w:pPr>
              <w:pStyle w:val="Compact"/>
              <w:jc w:val="left"/>
            </w:pPr>
            <w:r>
              <w:t xml:space="preserve">Sector-based (10 CI sectors)</w:t>
            </w:r>
          </w:p>
        </w:tc>
        <w:tc>
          <w:tcPr/>
          <w:p>
            <w:pPr>
              <w:pStyle w:val="Compact"/>
              <w:jc w:val="left"/>
            </w:pPr>
            <w:r>
              <w:t xml:space="preserve">CI definition public</w:t>
            </w:r>
          </w:p>
        </w:tc>
        <w:tc>
          <w:tcPr/>
          <w:p>
            <w:pPr>
              <w:pStyle w:val="Compact"/>
              <w:jc w:val="left"/>
            </w:pPr>
            <w:r>
              <w:t xml:space="preserve">No (qualitative)</w:t>
            </w:r>
          </w:p>
        </w:tc>
        <w:tc>
          <w:tcPr/>
          <w:p>
            <w:pPr>
              <w:pStyle w:val="Compact"/>
              <w:jc w:val="left"/>
            </w:pPr>
            <w:r>
              <w:rPr>
                <w:b/>
                <w:bCs/>
              </w:rPr>
              <w:t xml:space="preserve">Bill C-8/CCSPA proposed (72-hr reporting)</w:t>
            </w:r>
          </w:p>
        </w:tc>
      </w:tr>
      <w:tr>
        <w:tc>
          <w:tcPr/>
          <w:p>
            <w:pPr>
              <w:pStyle w:val="Compact"/>
              <w:jc w:val="left"/>
            </w:pPr>
            <w:r>
              <w:rPr>
                <w:b/>
                <w:bCs/>
              </w:rPr>
              <w:t xml:space="preserve">UK</w:t>
            </w:r>
          </w:p>
        </w:tc>
        <w:tc>
          <w:tcPr/>
          <w:p>
            <w:pPr>
              <w:pStyle w:val="Compact"/>
              <w:jc w:val="left"/>
            </w:pPr>
            <w:r>
              <w:t xml:space="preserve">Entity-level (OES)</w:t>
            </w:r>
          </w:p>
        </w:tc>
        <w:tc>
          <w:tcPr/>
          <w:p>
            <w:pPr>
              <w:pStyle w:val="Compact"/>
              <w:jc w:val="left"/>
            </w:pPr>
            <w:r>
              <w:t xml:space="preserve">Criteria public, lists confidential</w:t>
            </w:r>
          </w:p>
        </w:tc>
        <w:tc>
          <w:tcPr/>
          <w:p>
            <w:pPr>
              <w:pStyle w:val="Compact"/>
              <w:jc w:val="left"/>
            </w:pPr>
            <w:r>
              <w:rPr>
                <w:b/>
                <w:bCs/>
              </w:rPr>
              <w:t xml:space="preserve">Yes (incident thresholds most explicit globally)</w:t>
            </w:r>
          </w:p>
        </w:tc>
        <w:tc>
          <w:tcPr/>
          <w:p>
            <w:pPr>
              <w:pStyle w:val="Compact"/>
              <w:jc w:val="left"/>
            </w:pPr>
            <w:r>
              <w:rPr>
                <w:b/>
                <w:bCs/>
              </w:rPr>
              <w:t xml:space="preserve">Cyber Security Bill (Nov 2025), expands to MSPs/suppliers, 24-hr reporting</w:t>
            </w:r>
          </w:p>
        </w:tc>
      </w:tr>
      <w:tr>
        <w:tc>
          <w:tcPr/>
          <w:p>
            <w:pPr>
              <w:pStyle w:val="Compact"/>
              <w:jc w:val="left"/>
            </w:pPr>
            <w:r>
              <w:rPr>
                <w:b/>
                <w:bCs/>
              </w:rPr>
              <w:t xml:space="preserve">Germany</w:t>
            </w:r>
          </w:p>
        </w:tc>
        <w:tc>
          <w:tcPr/>
          <w:p>
            <w:pPr>
              <w:pStyle w:val="Compact"/>
              <w:jc w:val="left"/>
            </w:pPr>
            <w:r>
              <w:t xml:space="preserve">System/entity (KRITIS + NIS2)</w:t>
            </w:r>
          </w:p>
        </w:tc>
        <w:tc>
          <w:tcPr/>
          <w:p>
            <w:pPr>
              <w:pStyle w:val="Compact"/>
              <w:jc w:val="left"/>
            </w:pPr>
            <w:r>
              <w:rPr>
                <w:b/>
                <w:bCs/>
              </w:rPr>
              <w:t xml:space="preserve">High (thresholds public)</w:t>
            </w:r>
          </w:p>
        </w:tc>
        <w:tc>
          <w:tcPr/>
          <w:p>
            <w:pPr>
              <w:pStyle w:val="Compact"/>
              <w:jc w:val="left"/>
            </w:pPr>
            <w:r>
              <w:rPr>
                <w:b/>
                <w:bCs/>
              </w:rPr>
              <w:t xml:space="preserve">Yes (30,000 inpatient cases/year)</w:t>
            </w:r>
          </w:p>
        </w:tc>
        <w:tc>
          <w:tcPr/>
          <w:p>
            <w:pPr>
              <w:pStyle w:val="Compact"/>
              <w:jc w:val="left"/>
            </w:pPr>
            <w:r>
              <w:rPr>
                <w:b/>
                <w:bCs/>
              </w:rPr>
              <w:t xml:space="preserve">NIS2 implementation law in force (6 Dec 2025)</w:t>
            </w:r>
          </w:p>
        </w:tc>
      </w:tr>
      <w:tr>
        <w:tc>
          <w:tcPr/>
          <w:p>
            <w:pPr>
              <w:pStyle w:val="Compact"/>
              <w:jc w:val="left"/>
            </w:pPr>
            <w:r>
              <w:rPr>
                <w:b/>
                <w:bCs/>
              </w:rPr>
              <w:t xml:space="preserve">Singapore</w:t>
            </w:r>
          </w:p>
        </w:tc>
        <w:tc>
          <w:tcPr/>
          <w:p>
            <w:pPr>
              <w:pStyle w:val="Compact"/>
              <w:jc w:val="left"/>
            </w:pPr>
            <w:r>
              <w:t xml:space="preserve">System-level (individual CII)</w:t>
            </w:r>
          </w:p>
        </w:tc>
        <w:tc>
          <w:tcPr/>
          <w:p>
            <w:pPr>
              <w:pStyle w:val="Compact"/>
              <w:jc w:val="left"/>
            </w:pPr>
            <w:r>
              <w:t xml:space="preserve">Criteria public, lists confidential</w:t>
            </w:r>
          </w:p>
        </w:tc>
        <w:tc>
          <w:tcPr/>
          <w:p>
            <w:pPr>
              <w:pStyle w:val="Compact"/>
              <w:jc w:val="left"/>
            </w:pPr>
            <w:r>
              <w:t xml:space="preserve">No (qualitative</w:t>
            </w:r>
            <w:r>
              <w:t xml:space="preserve"> </w:t>
            </w:r>
            <w:r>
              <w:t xml:space="preserve">“debilitating”</w:t>
            </w:r>
            <w:r>
              <w:t xml:space="preserve">)</w:t>
            </w:r>
          </w:p>
        </w:tc>
        <w:tc>
          <w:tcPr/>
          <w:p>
            <w:pPr>
              <w:pStyle w:val="Compact"/>
              <w:jc w:val="left"/>
            </w:pPr>
            <w:r>
              <w:t xml:space="preserve">No major updates</w:t>
            </w:r>
          </w:p>
        </w:tc>
      </w:tr>
      <w:tr>
        <w:tc>
          <w:tcPr/>
          <w:p>
            <w:pPr>
              <w:pStyle w:val="Compact"/>
              <w:jc w:val="left"/>
            </w:pPr>
            <w:r>
              <w:rPr>
                <w:b/>
                <w:bCs/>
              </w:rPr>
              <w:t xml:space="preserve">New Zealand</w:t>
            </w:r>
          </w:p>
        </w:tc>
        <w:tc>
          <w:tcPr/>
          <w:p>
            <w:pPr>
              <w:pStyle w:val="Compact"/>
              <w:jc w:val="left"/>
            </w:pPr>
            <w:r>
              <w:t xml:space="preserve">Risk-based (HISO segmentation)</w:t>
            </w:r>
          </w:p>
        </w:tc>
        <w:tc>
          <w:tcPr/>
          <w:p>
            <w:pPr>
              <w:pStyle w:val="Compact"/>
              <w:jc w:val="left"/>
            </w:pPr>
            <w:r>
              <w:t xml:space="preserve">Partially public</w:t>
            </w:r>
          </w:p>
        </w:tc>
        <w:tc>
          <w:tcPr/>
          <w:p>
            <w:pPr>
              <w:pStyle w:val="Compact"/>
              <w:jc w:val="left"/>
            </w:pPr>
            <w:r>
              <w:t xml:space="preserve">No (qualitative, developing)</w:t>
            </w:r>
          </w:p>
        </w:tc>
        <w:tc>
          <w:tcPr/>
          <w:p>
            <w:pPr>
              <w:pStyle w:val="Compact"/>
              <w:jc w:val="left"/>
            </w:pPr>
            <w:r>
              <w:rPr>
                <w:b/>
                <w:bCs/>
              </w:rPr>
              <w:t xml:space="preserve">PSR GOV framework (1 Oct 2025)</w:t>
            </w:r>
          </w:p>
        </w:tc>
      </w:tr>
      <w:tr>
        <w:tc>
          <w:tcPr/>
          <w:p>
            <w:pPr>
              <w:pStyle w:val="Compact"/>
              <w:jc w:val="left"/>
            </w:pPr>
            <w:r>
              <w:rPr>
                <w:b/>
                <w:bCs/>
              </w:rPr>
              <w:t xml:space="preserve">Japan</w:t>
            </w:r>
          </w:p>
        </w:tc>
        <w:tc>
          <w:tcPr/>
          <w:p>
            <w:pPr>
              <w:pStyle w:val="Compact"/>
              <w:jc w:val="left"/>
            </w:pPr>
            <w:r>
              <w:t xml:space="preserve">Entity-level (discretionary)</w:t>
            </w:r>
          </w:p>
        </w:tc>
        <w:tc>
          <w:tcPr/>
          <w:p>
            <w:pPr>
              <w:pStyle w:val="Compact"/>
              <w:jc w:val="left"/>
            </w:pPr>
            <w:r>
              <w:t xml:space="preserve">Medium (hospital categories public)</w:t>
            </w:r>
          </w:p>
        </w:tc>
        <w:tc>
          <w:tcPr/>
          <w:p>
            <w:pPr>
              <w:pStyle w:val="Compact"/>
              <w:jc w:val="left"/>
            </w:pPr>
            <w:r>
              <w:t xml:space="preserve">No (qualitative</w:t>
            </w:r>
            <w:r>
              <w:t xml:space="preserve"> </w:t>
            </w:r>
            <w:r>
              <w:t xml:space="preserve">“excluding small scale”</w:t>
            </w:r>
            <w:r>
              <w:t xml:space="preserve">)</w:t>
            </w:r>
          </w:p>
        </w:tc>
        <w:tc>
          <w:tcPr/>
          <w:p>
            <w:pPr>
              <w:pStyle w:val="Compact"/>
              <w:jc w:val="left"/>
            </w:pPr>
            <w:r>
              <w:t xml:space="preserve">No major updates</w:t>
            </w:r>
          </w:p>
        </w:tc>
      </w:tr>
      <w:tr>
        <w:tc>
          <w:tcPr/>
          <w:p>
            <w:pPr>
              <w:pStyle w:val="Compact"/>
              <w:jc w:val="left"/>
            </w:pPr>
            <w:r>
              <w:rPr>
                <w:b/>
                <w:bCs/>
              </w:rPr>
              <w:t xml:space="preserve">China</w:t>
            </w:r>
          </w:p>
        </w:tc>
        <w:tc>
          <w:tcPr/>
          <w:p>
            <w:pPr>
              <w:pStyle w:val="Compact"/>
              <w:jc w:val="left"/>
            </w:pPr>
            <w:r>
              <w:t xml:space="preserve">System/entity (CII + MLPS)</w:t>
            </w:r>
          </w:p>
        </w:tc>
        <w:tc>
          <w:tcPr/>
          <w:p>
            <w:pPr>
              <w:pStyle w:val="Compact"/>
              <w:jc w:val="left"/>
            </w:pPr>
            <w:r>
              <w:t xml:space="preserve">Low (general criteria only)</w:t>
            </w:r>
          </w:p>
        </w:tc>
        <w:tc>
          <w:tcPr/>
          <w:p>
            <w:pPr>
              <w:pStyle w:val="Compact"/>
              <w:jc w:val="left"/>
            </w:pPr>
            <w:r>
              <w:t xml:space="preserve">No (party-state discretion)</w:t>
            </w:r>
          </w:p>
        </w:tc>
        <w:tc>
          <w:tcPr/>
          <w:p>
            <w:pPr>
              <w:pStyle w:val="Compact"/>
              <w:jc w:val="left"/>
            </w:pPr>
            <w:r>
              <w:t xml:space="preserve">No major updates</w:t>
            </w:r>
          </w:p>
        </w:tc>
      </w:tr>
      <w:tr>
        <w:tc>
          <w:tcPr/>
          <w:p>
            <w:pPr>
              <w:pStyle w:val="Compact"/>
              <w:jc w:val="left"/>
            </w:pPr>
            <w:r>
              <w:rPr>
                <w:b/>
                <w:bCs/>
              </w:rPr>
              <w:t xml:space="preserve">South Korea</w:t>
            </w:r>
          </w:p>
        </w:tc>
        <w:tc>
          <w:tcPr/>
          <w:p>
            <w:pPr>
              <w:pStyle w:val="Compact"/>
              <w:jc w:val="left"/>
            </w:pPr>
            <w:r>
              <w:t xml:space="preserve">Designation-based (CIIC)</w:t>
            </w:r>
          </w:p>
        </w:tc>
        <w:tc>
          <w:tcPr/>
          <w:p>
            <w:pPr>
              <w:pStyle w:val="Compact"/>
              <w:jc w:val="left"/>
            </w:pPr>
            <w:r>
              <w:rPr>
                <w:b/>
                <w:bCs/>
              </w:rPr>
              <w:t xml:space="preserve">High (Official Gazette publication)</w:t>
            </w:r>
          </w:p>
        </w:tc>
        <w:tc>
          <w:tcPr/>
          <w:p>
            <w:pPr>
              <w:pStyle w:val="Compact"/>
              <w:jc w:val="left"/>
            </w:pPr>
            <w:r>
              <w:t xml:space="preserve">No (5-factor qualitative test)</w:t>
            </w:r>
          </w:p>
        </w:tc>
        <w:tc>
          <w:tcPr/>
          <w:p>
            <w:pPr>
              <w:pStyle w:val="Compact"/>
              <w:jc w:val="left"/>
            </w:pPr>
            <w:r>
              <w:t xml:space="preserve">No major updates</w:t>
            </w:r>
          </w:p>
        </w:tc>
      </w:tr>
      <w:tr>
        <w:tc>
          <w:tcPr/>
          <w:p>
            <w:pPr>
              <w:pStyle w:val="Compact"/>
              <w:jc w:val="left"/>
            </w:pPr>
            <w:r>
              <w:rPr>
                <w:b/>
                <w:bCs/>
              </w:rPr>
              <w:t xml:space="preserve">France</w:t>
            </w:r>
          </w:p>
        </w:tc>
        <w:tc>
          <w:tcPr/>
          <w:p>
            <w:pPr>
              <w:pStyle w:val="Compact"/>
              <w:jc w:val="left"/>
            </w:pPr>
            <w:r>
              <w:t xml:space="preserve">Entity-level (OIV/SAIV)</w:t>
            </w:r>
          </w:p>
        </w:tc>
        <w:tc>
          <w:tcPr/>
          <w:p>
            <w:pPr>
              <w:pStyle w:val="Compact"/>
              <w:jc w:val="left"/>
            </w:pPr>
            <w:r>
              <w:t xml:space="preserve">Criteria public, lists confidential</w:t>
            </w:r>
          </w:p>
        </w:tc>
        <w:tc>
          <w:tcPr/>
          <w:p>
            <w:pPr>
              <w:pStyle w:val="Compact"/>
              <w:jc w:val="left"/>
            </w:pPr>
            <w:r>
              <w:t xml:space="preserve">No (qualitative)</w:t>
            </w:r>
          </w:p>
        </w:tc>
        <w:tc>
          <w:tcPr/>
          <w:p>
            <w:pPr>
              <w:pStyle w:val="Compact"/>
              <w:jc w:val="left"/>
            </w:pPr>
            <w:r>
              <w:t xml:space="preserve">No major updates</w:t>
            </w:r>
          </w:p>
        </w:tc>
      </w:tr>
      <w:tr>
        <w:tc>
          <w:tcPr/>
          <w:p>
            <w:pPr>
              <w:pStyle w:val="Compact"/>
              <w:jc w:val="left"/>
            </w:pPr>
            <w:r>
              <w:rPr>
                <w:b/>
                <w:bCs/>
              </w:rPr>
              <w:t xml:space="preserve">Norway</w:t>
            </w:r>
          </w:p>
        </w:tc>
        <w:tc>
          <w:tcPr/>
          <w:p>
            <w:pPr>
              <w:pStyle w:val="Compact"/>
              <w:jc w:val="left"/>
            </w:pPr>
            <w:r>
              <w:t xml:space="preserve">Entity-level (socially important services)</w:t>
            </w:r>
          </w:p>
        </w:tc>
        <w:tc>
          <w:tcPr/>
          <w:p>
            <w:pPr>
              <w:pStyle w:val="Compact"/>
              <w:jc w:val="left"/>
            </w:pPr>
            <w:r>
              <w:t xml:space="preserve">Criteria public</w:t>
            </w:r>
          </w:p>
        </w:tc>
        <w:tc>
          <w:tcPr/>
          <w:p>
            <w:pPr>
              <w:pStyle w:val="Compact"/>
              <w:jc w:val="left"/>
            </w:pPr>
            <w:r>
              <w:t xml:space="preserve">No (qualitative</w:t>
            </w:r>
            <w:r>
              <w:t xml:space="preserve"> </w:t>
            </w:r>
            <w:r>
              <w:t xml:space="preserve">“significantly disruptive”</w:t>
            </w:r>
            <w:r>
              <w:t xml:space="preserve">)</w:t>
            </w:r>
          </w:p>
        </w:tc>
        <w:tc>
          <w:tcPr/>
          <w:p>
            <w:pPr>
              <w:pStyle w:val="Compact"/>
              <w:jc w:val="left"/>
            </w:pPr>
            <w:r>
              <w:rPr>
                <w:b/>
                <w:bCs/>
              </w:rPr>
              <w:t xml:space="preserve">Digital Security Act in force (1 Oct 2025), 24h/72h reporting</w:t>
            </w:r>
          </w:p>
        </w:tc>
      </w:tr>
      <w:tr>
        <w:tc>
          <w:tcPr/>
          <w:p>
            <w:pPr>
              <w:pStyle w:val="Compact"/>
              <w:jc w:val="left"/>
            </w:pPr>
            <w:r>
              <w:rPr>
                <w:b/>
                <w:bCs/>
              </w:rPr>
              <w:t xml:space="preserve">Switzerland</w:t>
            </w:r>
          </w:p>
        </w:tc>
        <w:tc>
          <w:tcPr/>
          <w:p>
            <w:pPr>
              <w:pStyle w:val="Compact"/>
              <w:jc w:val="left"/>
            </w:pPr>
            <w:r>
              <w:t xml:space="preserve">Entity-level (CI operators)</w:t>
            </w:r>
          </w:p>
        </w:tc>
        <w:tc>
          <w:tcPr/>
          <w:p>
            <w:pPr>
              <w:pStyle w:val="Compact"/>
              <w:jc w:val="left"/>
            </w:pPr>
            <w:r>
              <w:t xml:space="preserve">Criteria public, entities via permits</w:t>
            </w:r>
          </w:p>
        </w:tc>
        <w:tc>
          <w:tcPr/>
          <w:p>
            <w:pPr>
              <w:pStyle w:val="Compact"/>
              <w:jc w:val="left"/>
            </w:pPr>
            <w:r>
              <w:t xml:space="preserve">No (qualitative, category-based)</w:t>
            </w:r>
          </w:p>
        </w:tc>
        <w:tc>
          <w:tcPr/>
          <w:p>
            <w:pPr>
              <w:pStyle w:val="Compact"/>
              <w:jc w:val="left"/>
            </w:pPr>
            <w:r>
              <w:rPr>
                <w:b/>
                <w:bCs/>
              </w:rPr>
              <w:t xml:space="preserve">Cybersecurity Ordinance (CSV) in force (1 Apr 2025), 24h reporting</w:t>
            </w:r>
          </w:p>
        </w:tc>
      </w:tr>
      <w:tr>
        <w:tc>
          <w:tcPr/>
          <w:p>
            <w:pPr>
              <w:pStyle w:val="Compact"/>
              <w:jc w:val="left"/>
            </w:pPr>
            <w:r>
              <w:rPr>
                <w:b/>
                <w:bCs/>
              </w:rPr>
              <w:t xml:space="preserve">Taiwan</w:t>
            </w:r>
          </w:p>
        </w:tc>
        <w:tc>
          <w:tcPr/>
          <w:p>
            <w:pPr>
              <w:pStyle w:val="Compact"/>
              <w:jc w:val="left"/>
            </w:pPr>
            <w:r>
              <w:t xml:space="preserve">Designation-based (CI providers)</w:t>
            </w:r>
          </w:p>
        </w:tc>
        <w:tc>
          <w:tcPr/>
          <w:p>
            <w:pPr>
              <w:pStyle w:val="Compact"/>
              <w:jc w:val="left"/>
            </w:pPr>
            <w:r>
              <w:t xml:space="preserve">Criteria public</w:t>
            </w:r>
          </w:p>
        </w:tc>
        <w:tc>
          <w:tcPr/>
          <w:p>
            <w:pPr>
              <w:pStyle w:val="Compact"/>
              <w:jc w:val="left"/>
            </w:pPr>
            <w:r>
              <w:t xml:space="preserve">No (administrative designation)</w:t>
            </w:r>
          </w:p>
        </w:tc>
        <w:tc>
          <w:tcPr/>
          <w:p>
            <w:pPr>
              <w:pStyle w:val="Compact"/>
              <w:jc w:val="left"/>
            </w:pPr>
            <w:r>
              <w:rPr>
                <w:b/>
                <w:bCs/>
              </w:rPr>
              <w:t xml:space="preserve">CSMA revised (24 Sept 2025), MoDA as authority</w:t>
            </w:r>
          </w:p>
        </w:tc>
      </w:tr>
      <w:tr>
        <w:tc>
          <w:tcPr/>
          <w:p>
            <w:pPr>
              <w:pStyle w:val="Compact"/>
              <w:jc w:val="left"/>
            </w:pPr>
            <w:r>
              <w:rPr>
                <w:b/>
                <w:bCs/>
              </w:rPr>
              <w:t xml:space="preserve">Thailand</w:t>
            </w:r>
          </w:p>
        </w:tc>
        <w:tc>
          <w:tcPr/>
          <w:p>
            <w:pPr>
              <w:pStyle w:val="Compact"/>
              <w:jc w:val="left"/>
            </w:pPr>
            <w:r>
              <w:t xml:space="preserve">Designation-based (CII orgs)</w:t>
            </w:r>
          </w:p>
        </w:tc>
        <w:tc>
          <w:tcPr/>
          <w:p>
            <w:pPr>
              <w:pStyle w:val="Compact"/>
              <w:jc w:val="left"/>
            </w:pPr>
            <w:r>
              <w:t xml:space="preserve">Criteria public (Gazette)</w:t>
            </w:r>
          </w:p>
        </w:tc>
        <w:tc>
          <w:tcPr/>
          <w:p>
            <w:pPr>
              <w:pStyle w:val="Compact"/>
              <w:jc w:val="left"/>
            </w:pPr>
            <w:r>
              <w:t xml:space="preserve">No (Committee notification)</w:t>
            </w:r>
          </w:p>
        </w:tc>
        <w:tc>
          <w:tcPr/>
          <w:p>
            <w:pPr>
              <w:pStyle w:val="Compact"/>
              <w:jc w:val="left"/>
            </w:pPr>
            <w:r>
              <w:t xml:space="preserve">No major updates cited</w:t>
            </w:r>
          </w:p>
        </w:tc>
      </w:tr>
      <w:tr>
        <w:tc>
          <w:tcPr/>
          <w:p>
            <w:pPr>
              <w:pStyle w:val="Compact"/>
              <w:jc w:val="left"/>
            </w:pPr>
            <w:r>
              <w:rPr>
                <w:b/>
                <w:bCs/>
              </w:rPr>
              <w:t xml:space="preserve">Hong Kong</w:t>
            </w:r>
          </w:p>
        </w:tc>
        <w:tc>
          <w:tcPr/>
          <w:p>
            <w:pPr>
              <w:pStyle w:val="Compact"/>
              <w:jc w:val="left"/>
            </w:pPr>
            <w:r>
              <w:t xml:space="preserve">Designation-based (CI operators)</w:t>
            </w:r>
          </w:p>
        </w:tc>
        <w:tc>
          <w:tcPr/>
          <w:p>
            <w:pPr>
              <w:pStyle w:val="Compact"/>
              <w:jc w:val="left"/>
            </w:pPr>
            <w:r>
              <w:rPr>
                <w:b/>
                <w:bCs/>
              </w:rPr>
              <w:t xml:space="preserve">High (criteria + obligations public)</w:t>
            </w:r>
          </w:p>
        </w:tc>
        <w:tc>
          <w:tcPr/>
          <w:p>
            <w:pPr>
              <w:pStyle w:val="Compact"/>
              <w:jc w:val="left"/>
            </w:pPr>
            <w:r>
              <w:t xml:space="preserve">No (qualitative</w:t>
            </w:r>
            <w:r>
              <w:t xml:space="preserve"> </w:t>
            </w:r>
            <w:r>
              <w:t xml:space="preserve">“essential to core function”</w:t>
            </w:r>
            <w:r>
              <w:t xml:space="preserve">)</w:t>
            </w:r>
          </w:p>
        </w:tc>
        <w:tc>
          <w:tcPr/>
          <w:p>
            <w:pPr>
              <w:pStyle w:val="Compact"/>
              <w:jc w:val="left"/>
            </w:pPr>
            <w:r>
              <w:rPr>
                <w:b/>
                <w:bCs/>
              </w:rPr>
              <w:t xml:space="preserve">CI Ordinance in force (1 Jan 2026), 12h/48h/14d reporting</w:t>
            </w:r>
          </w:p>
        </w:tc>
      </w:tr>
      <w:tr>
        <w:tc>
          <w:tcPr/>
          <w:p>
            <w:pPr>
              <w:pStyle w:val="Compact"/>
              <w:jc w:val="left"/>
            </w:pPr>
            <w:r>
              <w:rPr>
                <w:b/>
                <w:bCs/>
              </w:rPr>
              <w:t xml:space="preserve">Israel</w:t>
            </w:r>
          </w:p>
        </w:tc>
        <w:tc>
          <w:tcPr/>
          <w:p>
            <w:pPr>
              <w:pStyle w:val="Compact"/>
              <w:jc w:val="left"/>
            </w:pPr>
            <w:r>
              <w:t xml:space="preserve">Database security levels</w:t>
            </w:r>
          </w:p>
        </w:tc>
        <w:tc>
          <w:tcPr/>
          <w:p>
            <w:pPr>
              <w:pStyle w:val="Compact"/>
              <w:jc w:val="left"/>
            </w:pPr>
            <w:r>
              <w:t xml:space="preserve">Criteria public</w:t>
            </w:r>
          </w:p>
        </w:tc>
        <w:tc>
          <w:tcPr/>
          <w:p>
            <w:pPr>
              <w:pStyle w:val="Compact"/>
              <w:jc w:val="left"/>
            </w:pPr>
            <w:r>
              <w:rPr>
                <w:b/>
                <w:bCs/>
              </w:rPr>
              <w:t xml:space="preserve">Yes (3-tier: Basic/Medium/High)</w:t>
            </w:r>
          </w:p>
        </w:tc>
        <w:tc>
          <w:tcPr/>
          <w:p>
            <w:pPr>
              <w:pStyle w:val="Compact"/>
              <w:jc w:val="left"/>
            </w:pPr>
            <w:r>
              <w:rPr>
                <w:b/>
                <w:bCs/>
              </w:rPr>
              <w:t xml:space="preserve">Privacy Law Amendment 13 effective (14 Aug 2025)</w:t>
            </w:r>
          </w:p>
        </w:tc>
      </w:tr>
    </w:tbl>
    <w:p>
      <w:pPr>
        <w:sectPr>
          <w:footerReference w:type="first" r:id="rId13"/>
          <w:footerReference w:type="default" r:id="rId11"/>
          <w:footerReference w:type="even" r:id="rId10"/>
          <w:type w:val="nextPage"/>
        </w:sectPr>
      </w:pPr>
    </w:p>
    <w:bookmarkEnd w:id="294"/>
    <w:bookmarkEnd w:id="295"/>
    <w:bookmarkStart w:id="296" w:name="Xa8c9f6b3e6c704416a925bc4af05cee43dcee78"/>
    <w:p>
      <w:pPr>
        <w:pStyle w:val="Heading1"/>
      </w:pPr>
      <w:r>
        <w:t xml:space="preserve">Universal Health Information Systems Prioritized Globally</w:t>
      </w:r>
    </w:p>
    <w:p>
      <w:pPr>
        <w:pStyle w:val="FirstParagraph"/>
      </w:pPr>
      <w:r>
        <w:rPr>
          <w:b/>
          <w:bCs/>
        </w:rPr>
        <w:t xml:space="preserve">Across all 17 deep-dive jurisdictions, consistent prioritization emerges for:</w:t>
      </w:r>
    </w:p>
    <w:p>
      <w:pPr>
        <w:pStyle w:val="Compact"/>
        <w:numPr>
          <w:ilvl w:val="0"/>
          <w:numId w:val="1256"/>
        </w:numPr>
      </w:pPr>
      <w:r>
        <w:rPr>
          <w:b/>
          <w:bCs/>
        </w:rPr>
        <w:t xml:space="preserve">Emergency call-taking and ambulance dispatch</w:t>
      </w:r>
      <w:r>
        <w:t xml:space="preserve"> </w:t>
      </w:r>
      <w:r>
        <w:t xml:space="preserve">(111/112/119/911/999 + Computer Aided Dispatch)</w:t>
      </w:r>
      <w:r>
        <w:br/>
      </w:r>
    </w:p>
    <w:p>
      <w:pPr>
        <w:pStyle w:val="Compact"/>
        <w:numPr>
          <w:ilvl w:val="0"/>
          <w:numId w:val="1256"/>
        </w:numPr>
      </w:pPr>
      <w:r>
        <w:rPr>
          <w:b/>
          <w:bCs/>
        </w:rPr>
        <w:t xml:space="preserve">Major hospital core clinical systems</w:t>
      </w:r>
      <w:r>
        <w:t xml:space="preserve"> </w:t>
      </w:r>
      <w:r>
        <w:t xml:space="preserve">(EMR/EHR, EDIS, ICU monitoring)</w:t>
      </w:r>
      <w:r>
        <w:br/>
      </w:r>
    </w:p>
    <w:p>
      <w:pPr>
        <w:pStyle w:val="Compact"/>
        <w:numPr>
          <w:ilvl w:val="0"/>
          <w:numId w:val="1256"/>
        </w:numPr>
      </w:pPr>
      <w:r>
        <w:rPr>
          <w:b/>
          <w:bCs/>
        </w:rPr>
        <w:t xml:space="preserve">Intensive care unit systems</w:t>
      </w:r>
      <w:r>
        <w:t xml:space="preserve"> </w:t>
      </w:r>
      <w:r>
        <w:t xml:space="preserve">(explicitly: Australia, UK, Germany; implicitly: all others)</w:t>
      </w:r>
      <w:r>
        <w:br/>
      </w:r>
    </w:p>
    <w:p>
      <w:pPr>
        <w:pStyle w:val="Compact"/>
        <w:numPr>
          <w:ilvl w:val="0"/>
          <w:numId w:val="1256"/>
        </w:numPr>
      </w:pPr>
      <w:r>
        <w:rPr>
          <w:b/>
          <w:bCs/>
        </w:rPr>
        <w:t xml:space="preserve">Blood bank and transfusion services</w:t>
      </w:r>
      <w:r>
        <w:t xml:space="preserve"> </w:t>
      </w:r>
      <w:r>
        <w:t xml:space="preserve">(national/regional level)</w:t>
      </w:r>
      <w:r>
        <w:br/>
      </w:r>
    </w:p>
    <w:p>
      <w:pPr>
        <w:pStyle w:val="Compact"/>
        <w:numPr>
          <w:ilvl w:val="0"/>
          <w:numId w:val="1256"/>
        </w:numPr>
      </w:pPr>
      <w:r>
        <w:rPr>
          <w:b/>
          <w:bCs/>
        </w:rPr>
        <w:t xml:space="preserve">National/regional infectious disease surveillance</w:t>
      </w:r>
      <w:r>
        <w:br/>
      </w:r>
    </w:p>
    <w:p>
      <w:pPr>
        <w:pStyle w:val="Compact"/>
        <w:numPr>
          <w:ilvl w:val="0"/>
          <w:numId w:val="1256"/>
        </w:numPr>
      </w:pPr>
      <w:r>
        <w:rPr>
          <w:b/>
          <w:bCs/>
        </w:rPr>
        <w:t xml:space="preserve">National health information infrastructure</w:t>
      </w:r>
      <w:r>
        <w:t xml:space="preserve"> </w:t>
      </w:r>
      <w:r>
        <w:t xml:space="preserve">(where exists: electronic prescription, national EHR)</w:t>
      </w:r>
    </w:p>
    <w:p>
      <w:pPr>
        <w:pStyle w:val="FirstParagraph"/>
      </w:pPr>
      <w:r>
        <w:rPr>
          <w:b/>
          <w:bCs/>
        </w:rPr>
        <w:t xml:space="preserve">High but variable priority:</w:t>
      </w:r>
    </w:p>
    <w:p>
      <w:pPr>
        <w:pStyle w:val="Compact"/>
        <w:numPr>
          <w:ilvl w:val="0"/>
          <w:numId w:val="1257"/>
        </w:numPr>
      </w:pPr>
      <w:r>
        <w:t xml:space="preserve">Ambulance electronic patient care records (ePCR/ePRF)</w:t>
      </w:r>
      <w:r>
        <w:br/>
      </w:r>
    </w:p>
    <w:p>
      <w:pPr>
        <w:pStyle w:val="Compact"/>
        <w:numPr>
          <w:ilvl w:val="0"/>
          <w:numId w:val="1257"/>
        </w:numPr>
      </w:pPr>
      <w:r>
        <w:t xml:space="preserve">Operating theatre management and anesthesia systems</w:t>
      </w:r>
      <w:r>
        <w:br/>
      </w:r>
    </w:p>
    <w:p>
      <w:pPr>
        <w:pStyle w:val="Compact"/>
        <w:numPr>
          <w:ilvl w:val="0"/>
          <w:numId w:val="1257"/>
        </w:numPr>
      </w:pPr>
      <w:r>
        <w:t xml:space="preserve">Hospital laboratory information systems (LIMS)</w:t>
      </w:r>
      <w:r>
        <w:br/>
      </w:r>
    </w:p>
    <w:p>
      <w:pPr>
        <w:pStyle w:val="Compact"/>
        <w:numPr>
          <w:ilvl w:val="0"/>
          <w:numId w:val="1257"/>
        </w:numPr>
      </w:pPr>
      <w:r>
        <w:t xml:space="preserve">Pharmacy management and ePrescribing (hospital-based)</w:t>
      </w:r>
      <w:r>
        <w:br/>
      </w:r>
    </w:p>
    <w:p>
      <w:pPr>
        <w:pStyle w:val="Compact"/>
        <w:numPr>
          <w:ilvl w:val="0"/>
          <w:numId w:val="1257"/>
        </w:numPr>
      </w:pPr>
      <w:r>
        <w:t xml:space="preserve">Medical imaging systems (PACS/RIS in acute settings)</w:t>
      </w:r>
      <w:r>
        <w:br/>
      </w:r>
    </w:p>
    <w:p>
      <w:pPr>
        <w:pStyle w:val="Compact"/>
        <w:numPr>
          <w:ilvl w:val="0"/>
          <w:numId w:val="1257"/>
        </w:numPr>
      </w:pPr>
      <w:r>
        <w:t xml:space="preserve">National immunization registries</w:t>
      </w:r>
      <w:r>
        <w:br/>
      </w:r>
    </w:p>
    <w:p>
      <w:pPr>
        <w:pStyle w:val="Compact"/>
        <w:numPr>
          <w:ilvl w:val="0"/>
          <w:numId w:val="1257"/>
        </w:numPr>
      </w:pPr>
      <w:r>
        <w:t xml:space="preserve">Organ and tissue transplant allocation systems</w:t>
      </w:r>
    </w:p>
    <w:p>
      <w:pPr>
        <w:pStyle w:val="FirstParagraph"/>
      </w:pPr>
      <w:r>
        <w:rPr>
          <w:b/>
          <w:bCs/>
        </w:rPr>
        <w:t xml:space="preserve">Lower priority (but still important):</w:t>
      </w:r>
    </w:p>
    <w:p>
      <w:pPr>
        <w:pStyle w:val="Compact"/>
        <w:numPr>
          <w:ilvl w:val="0"/>
          <w:numId w:val="1258"/>
        </w:numPr>
      </w:pPr>
      <w:r>
        <w:t xml:space="preserve">Community hospital systems (if alternatives exist)</w:t>
      </w:r>
      <w:r>
        <w:br/>
      </w:r>
    </w:p>
    <w:p>
      <w:pPr>
        <w:pStyle w:val="Compact"/>
        <w:numPr>
          <w:ilvl w:val="0"/>
          <w:numId w:val="1258"/>
        </w:numPr>
      </w:pPr>
      <w:r>
        <w:t xml:space="preserve">Primary care / GP systems (unless sole provider)</w:t>
      </w:r>
      <w:r>
        <w:br/>
      </w:r>
    </w:p>
    <w:p>
      <w:pPr>
        <w:pStyle w:val="Compact"/>
        <w:numPr>
          <w:ilvl w:val="0"/>
          <w:numId w:val="1258"/>
        </w:numPr>
      </w:pPr>
      <w:r>
        <w:t xml:space="preserve">Outpatient specialty clinics</w:t>
      </w:r>
      <w:r>
        <w:br/>
      </w:r>
    </w:p>
    <w:p>
      <w:pPr>
        <w:pStyle w:val="Compact"/>
        <w:numPr>
          <w:ilvl w:val="0"/>
          <w:numId w:val="1258"/>
        </w:numPr>
      </w:pPr>
      <w:r>
        <w:t xml:space="preserve">Health research systems (non-pandemic)</w:t>
      </w:r>
      <w:r>
        <w:br/>
      </w:r>
    </w:p>
    <w:p>
      <w:pPr>
        <w:pStyle w:val="Compact"/>
        <w:numPr>
          <w:ilvl w:val="0"/>
          <w:numId w:val="1258"/>
        </w:numPr>
      </w:pPr>
      <w:r>
        <w:t xml:space="preserve">Administrative/billing systems</w:t>
      </w:r>
    </w:p>
    <w:p>
      <w:pPr>
        <w:sectPr>
          <w:footerReference w:type="first" r:id="rId13"/>
          <w:footerReference w:type="default" r:id="rId11"/>
          <w:footerReference w:type="even" r:id="rId10"/>
          <w:type w:val="nextPage"/>
        </w:sectPr>
      </w:pPr>
    </w:p>
    <w:bookmarkEnd w:id="296"/>
    <w:bookmarkStart w:id="302" w:name="emerging-global-trends-2025-2026"/>
    <w:p>
      <w:pPr>
        <w:pStyle w:val="Heading1"/>
      </w:pPr>
      <w:r>
        <w:t xml:space="preserve">Emerging Global Trends (2025-2026)</w:t>
      </w:r>
    </w:p>
    <w:bookmarkStart w:id="297" w:name="key-regulatory-milestones-2025-2026"/>
    <w:p>
      <w:pPr>
        <w:pStyle w:val="Heading2"/>
      </w:pPr>
      <w:r>
        <w:t xml:space="preserve">Key Regulatory Milestones (2025-2026)</w:t>
      </w:r>
    </w:p>
    <w:tbl>
      <w:tblPr>
        <w:tblStyle w:val="Table"/>
        <w:tblW w:type="pct" w:w="5000"/>
        <w:tblLayout w:type="fixed"/>
        <w:tblLook w:firstRow="1" w:lastRow="0" w:firstColumn="0" w:lastColumn="0" w:noHBand="0" w:noVBand="0" w:val="0020"/>
      </w:tblPr>
      <w:tblGrid>
        <w:gridCol w:w="1532"/>
        <w:gridCol w:w="3576"/>
        <w:gridCol w:w="2810"/>
      </w:tblGrid>
      <w:tr>
        <w:trPr>
          <w:tblHeader w:val="on"/>
        </w:trPr>
        <w:tc>
          <w:tcPr/>
          <w:p>
            <w:pPr>
              <w:pStyle w:val="Compact"/>
              <w:jc w:val="left"/>
            </w:pPr>
            <w:r>
              <w:t xml:space="preserve">Date</w:t>
            </w:r>
          </w:p>
        </w:tc>
        <w:tc>
          <w:tcPr/>
          <w:p>
            <w:pPr>
              <w:pStyle w:val="Compact"/>
              <w:jc w:val="left"/>
            </w:pPr>
            <w:r>
              <w:t xml:space="preserve">Jurisdiction</w:t>
            </w:r>
          </w:p>
        </w:tc>
        <w:tc>
          <w:tcPr/>
          <w:p>
            <w:pPr>
              <w:pStyle w:val="Compact"/>
              <w:jc w:val="left"/>
            </w:pPr>
            <w:r>
              <w:t xml:space="preserve">Milestone</w:t>
            </w:r>
          </w:p>
        </w:tc>
      </w:tr>
      <w:tr>
        <w:tc>
          <w:tcPr/>
          <w:p>
            <w:pPr>
              <w:pStyle w:val="Compact"/>
              <w:jc w:val="left"/>
            </w:pPr>
            <w:r>
              <w:rPr>
                <w:b/>
                <w:bCs/>
              </w:rPr>
              <w:t xml:space="preserve">1 Apr 2025</w:t>
            </w:r>
          </w:p>
        </w:tc>
        <w:tc>
          <w:tcPr/>
          <w:p>
            <w:pPr>
              <w:pStyle w:val="Compact"/>
              <w:jc w:val="left"/>
            </w:pPr>
            <w:r>
              <w:t xml:space="preserve">Switzerland</w:t>
            </w:r>
          </w:p>
        </w:tc>
        <w:tc>
          <w:tcPr/>
          <w:p>
            <w:pPr>
              <w:pStyle w:val="Compact"/>
              <w:jc w:val="left"/>
            </w:pPr>
            <w:r>
              <w:t xml:space="preserve">Cybersecurity Ordinance (CSV) enters into force; 24-hour reporting</w:t>
            </w:r>
          </w:p>
        </w:tc>
      </w:tr>
      <w:tr>
        <w:tc>
          <w:tcPr/>
          <w:p>
            <w:pPr>
              <w:pStyle w:val="Compact"/>
              <w:jc w:val="left"/>
            </w:pPr>
            <w:r>
              <w:rPr>
                <w:b/>
                <w:bCs/>
              </w:rPr>
              <w:t xml:space="preserve">30 May 2025</w:t>
            </w:r>
          </w:p>
        </w:tc>
        <w:tc>
          <w:tcPr/>
          <w:p>
            <w:pPr>
              <w:pStyle w:val="Compact"/>
              <w:jc w:val="left"/>
            </w:pPr>
            <w:r>
              <w:t xml:space="preserve">Australia</w:t>
            </w:r>
          </w:p>
        </w:tc>
        <w:tc>
          <w:tcPr/>
          <w:p>
            <w:pPr>
              <w:pStyle w:val="Compact"/>
              <w:jc w:val="left"/>
            </w:pPr>
            <w:r>
              <w:t xml:space="preserve">Mandatory ransomware payment reporting in effect</w:t>
            </w:r>
          </w:p>
        </w:tc>
      </w:tr>
      <w:tr>
        <w:tc>
          <w:tcPr/>
          <w:p>
            <w:pPr>
              <w:pStyle w:val="Compact"/>
              <w:jc w:val="left"/>
            </w:pPr>
            <w:r>
              <w:rPr>
                <w:b/>
                <w:bCs/>
              </w:rPr>
              <w:t xml:space="preserve">14 Aug 2025</w:t>
            </w:r>
          </w:p>
        </w:tc>
        <w:tc>
          <w:tcPr/>
          <w:p>
            <w:pPr>
              <w:pStyle w:val="Compact"/>
              <w:jc w:val="left"/>
            </w:pPr>
            <w:r>
              <w:t xml:space="preserve">Israel</w:t>
            </w:r>
          </w:p>
        </w:tc>
        <w:tc>
          <w:tcPr/>
          <w:p>
            <w:pPr>
              <w:pStyle w:val="Compact"/>
              <w:jc w:val="left"/>
            </w:pPr>
            <w:r>
              <w:t xml:space="preserve">Privacy Protection Law Amendment 13 enters into force</w:t>
            </w:r>
          </w:p>
        </w:tc>
      </w:tr>
      <w:tr>
        <w:tc>
          <w:tcPr/>
          <w:p>
            <w:pPr>
              <w:pStyle w:val="Compact"/>
              <w:jc w:val="left"/>
            </w:pPr>
            <w:r>
              <w:rPr>
                <w:b/>
                <w:bCs/>
              </w:rPr>
              <w:t xml:space="preserve">24 Sept 2025</w:t>
            </w:r>
          </w:p>
        </w:tc>
        <w:tc>
          <w:tcPr/>
          <w:p>
            <w:pPr>
              <w:pStyle w:val="Compact"/>
              <w:jc w:val="left"/>
            </w:pPr>
            <w:r>
              <w:t xml:space="preserve">Taiwan</w:t>
            </w:r>
          </w:p>
        </w:tc>
        <w:tc>
          <w:tcPr/>
          <w:p>
            <w:pPr>
              <w:pStyle w:val="Compact"/>
              <w:jc w:val="left"/>
            </w:pPr>
            <w:r>
              <w:t xml:space="preserve">Revised Cyber Security Management Act promulgated</w:t>
            </w:r>
          </w:p>
        </w:tc>
      </w:tr>
      <w:tr>
        <w:tc>
          <w:tcPr/>
          <w:p>
            <w:pPr>
              <w:pStyle w:val="Compact"/>
              <w:jc w:val="left"/>
            </w:pPr>
            <w:r>
              <w:rPr>
                <w:b/>
                <w:bCs/>
              </w:rPr>
              <w:t xml:space="preserve">1 Oct 2025</w:t>
            </w:r>
          </w:p>
        </w:tc>
        <w:tc>
          <w:tcPr/>
          <w:p>
            <w:pPr>
              <w:pStyle w:val="Compact"/>
              <w:jc w:val="left"/>
            </w:pPr>
            <w:r>
              <w:t xml:space="preserve">Norway</w:t>
            </w:r>
          </w:p>
        </w:tc>
        <w:tc>
          <w:tcPr/>
          <w:p>
            <w:pPr>
              <w:pStyle w:val="Compact"/>
              <w:jc w:val="left"/>
            </w:pPr>
            <w:r>
              <w:t xml:space="preserve">Digital Security Act and Regulations enter into force</w:t>
            </w:r>
          </w:p>
        </w:tc>
      </w:tr>
      <w:tr>
        <w:tc>
          <w:tcPr/>
          <w:p>
            <w:pPr>
              <w:pStyle w:val="Compact"/>
              <w:jc w:val="left"/>
            </w:pPr>
            <w:r>
              <w:rPr>
                <w:b/>
                <w:bCs/>
              </w:rPr>
              <w:t xml:space="preserve">1 Oct 2025</w:t>
            </w:r>
          </w:p>
        </w:tc>
        <w:tc>
          <w:tcPr/>
          <w:p>
            <w:pPr>
              <w:pStyle w:val="Compact"/>
              <w:jc w:val="left"/>
            </w:pPr>
            <w:r>
              <w:t xml:space="preserve">New Zealand</w:t>
            </w:r>
          </w:p>
        </w:tc>
        <w:tc>
          <w:tcPr/>
          <w:p>
            <w:pPr>
              <w:pStyle w:val="Compact"/>
              <w:jc w:val="left"/>
            </w:pPr>
            <w:r>
              <w:t xml:space="preserve">PSR GOV Policy Framework implemented</w:t>
            </w:r>
          </w:p>
        </w:tc>
      </w:tr>
      <w:tr>
        <w:tc>
          <w:tcPr/>
          <w:p>
            <w:pPr>
              <w:pStyle w:val="Compact"/>
              <w:jc w:val="left"/>
            </w:pPr>
            <w:r>
              <w:rPr>
                <w:b/>
                <w:bCs/>
              </w:rPr>
              <w:t xml:space="preserve">Nov 2025</w:t>
            </w:r>
          </w:p>
        </w:tc>
        <w:tc>
          <w:tcPr/>
          <w:p>
            <w:pPr>
              <w:pStyle w:val="Compact"/>
              <w:jc w:val="left"/>
            </w:pPr>
            <w:r>
              <w:t xml:space="preserve">UK</w:t>
            </w:r>
          </w:p>
        </w:tc>
        <w:tc>
          <w:tcPr/>
          <w:p>
            <w:pPr>
              <w:pStyle w:val="Compact"/>
              <w:jc w:val="left"/>
            </w:pPr>
            <w:r>
              <w:t xml:space="preserve">Cyber Security and Resilience Bill introduced</w:t>
            </w:r>
          </w:p>
        </w:tc>
      </w:tr>
      <w:tr>
        <w:tc>
          <w:tcPr/>
          <w:p>
            <w:pPr>
              <w:pStyle w:val="Compact"/>
              <w:jc w:val="left"/>
            </w:pPr>
            <w:r>
              <w:rPr>
                <w:b/>
                <w:bCs/>
              </w:rPr>
              <w:t xml:space="preserve">6 Dec 2025</w:t>
            </w:r>
          </w:p>
        </w:tc>
        <w:tc>
          <w:tcPr/>
          <w:p>
            <w:pPr>
              <w:pStyle w:val="Compact"/>
              <w:jc w:val="left"/>
            </w:pPr>
            <w:r>
              <w:t xml:space="preserve">Germany</w:t>
            </w:r>
          </w:p>
        </w:tc>
        <w:tc>
          <w:tcPr/>
          <w:p>
            <w:pPr>
              <w:pStyle w:val="Compact"/>
              <w:jc w:val="left"/>
            </w:pPr>
            <w:r>
              <w:t xml:space="preserve">NIS2 implementation law (NIS2UmsuCG) enters into force</w:t>
            </w:r>
          </w:p>
        </w:tc>
      </w:tr>
      <w:tr>
        <w:tc>
          <w:tcPr/>
          <w:p>
            <w:pPr>
              <w:pStyle w:val="Compact"/>
              <w:jc w:val="left"/>
            </w:pPr>
            <w:r>
              <w:rPr>
                <w:b/>
                <w:bCs/>
              </w:rPr>
              <w:t xml:space="preserve">1 Jan 2026</w:t>
            </w:r>
          </w:p>
        </w:tc>
        <w:tc>
          <w:tcPr/>
          <w:p>
            <w:pPr>
              <w:pStyle w:val="Compact"/>
              <w:jc w:val="left"/>
            </w:pPr>
            <w:r>
              <w:t xml:space="preserve">Australia</w:t>
            </w:r>
          </w:p>
        </w:tc>
        <w:tc>
          <w:tcPr/>
          <w:p>
            <w:pPr>
              <w:pStyle w:val="Compact"/>
              <w:jc w:val="left"/>
            </w:pPr>
            <w:r>
              <w:t xml:space="preserve">Strict enforcement posture begins</w:t>
            </w:r>
          </w:p>
        </w:tc>
      </w:tr>
      <w:tr>
        <w:tc>
          <w:tcPr/>
          <w:p>
            <w:pPr>
              <w:pStyle w:val="Compact"/>
              <w:jc w:val="left"/>
            </w:pPr>
            <w:r>
              <w:rPr>
                <w:b/>
                <w:bCs/>
              </w:rPr>
              <w:t xml:space="preserve">1 Jan 2026</w:t>
            </w:r>
          </w:p>
        </w:tc>
        <w:tc>
          <w:tcPr/>
          <w:p>
            <w:pPr>
              <w:pStyle w:val="Compact"/>
              <w:jc w:val="left"/>
            </w:pPr>
            <w:r>
              <w:t xml:space="preserve">Hong Kong</w:t>
            </w:r>
          </w:p>
        </w:tc>
        <w:tc>
          <w:tcPr/>
          <w:p>
            <w:pPr>
              <w:pStyle w:val="Compact"/>
              <w:jc w:val="left"/>
            </w:pPr>
            <w:r>
              <w:t xml:space="preserve">Protection of Critical Infrastructures Ordinance enters into force</w:t>
            </w:r>
          </w:p>
        </w:tc>
      </w:tr>
      <w:tr>
        <w:tc>
          <w:tcPr/>
          <w:p>
            <w:pPr>
              <w:pStyle w:val="Compact"/>
              <w:jc w:val="left"/>
            </w:pPr>
            <w:r>
              <w:rPr>
                <w:b/>
                <w:bCs/>
              </w:rPr>
              <w:t xml:space="preserve">May 2026</w:t>
            </w:r>
          </w:p>
        </w:tc>
        <w:tc>
          <w:tcPr/>
          <w:p>
            <w:pPr>
              <w:pStyle w:val="Compact"/>
              <w:jc w:val="left"/>
            </w:pPr>
            <w:r>
              <w:t xml:space="preserve">USA</w:t>
            </w:r>
          </w:p>
        </w:tc>
        <w:tc>
          <w:tcPr/>
          <w:p>
            <w:pPr>
              <w:pStyle w:val="Compact"/>
              <w:jc w:val="left"/>
            </w:pPr>
            <w:r>
              <w:t xml:space="preserve">CIRCIA final rule expected</w:t>
            </w:r>
          </w:p>
        </w:tc>
      </w:tr>
      <w:tr>
        <w:tc>
          <w:tcPr/>
          <w:p>
            <w:pPr>
              <w:pStyle w:val="Compact"/>
              <w:jc w:val="left"/>
            </w:pPr>
            <w:r>
              <w:rPr>
                <w:b/>
                <w:bCs/>
              </w:rPr>
              <w:t xml:space="preserve">17 July 2026</w:t>
            </w:r>
          </w:p>
        </w:tc>
        <w:tc>
          <w:tcPr/>
          <w:p>
            <w:pPr>
              <w:pStyle w:val="Compact"/>
              <w:jc w:val="left"/>
            </w:pPr>
            <w:r>
              <w:t xml:space="preserve">EU</w:t>
            </w:r>
          </w:p>
        </w:tc>
        <w:tc>
          <w:tcPr/>
          <w:p>
            <w:pPr>
              <w:pStyle w:val="Compact"/>
              <w:jc w:val="left"/>
            </w:pPr>
            <w:r>
              <w:t xml:space="preserve">CER Directive deadline for identifying critical entities</w:t>
            </w:r>
          </w:p>
        </w:tc>
      </w:tr>
    </w:tbl>
    <w:bookmarkEnd w:id="297"/>
    <w:bookmarkStart w:id="298" w:name="supply-chain-regulation-expansion"/>
    <w:p>
      <w:pPr>
        <w:pStyle w:val="Heading2"/>
      </w:pPr>
      <w:r>
        <w:t xml:space="preserve">1. Supply Chain Regulation Expansion</w:t>
      </w:r>
    </w:p>
    <w:p>
      <w:pPr>
        <w:pStyle w:val="Compact"/>
        <w:numPr>
          <w:ilvl w:val="0"/>
          <w:numId w:val="1259"/>
        </w:numPr>
      </w:pPr>
      <w:r>
        <w:rPr>
          <w:b/>
          <w:bCs/>
        </w:rPr>
        <w:t xml:space="preserve">UK</w:t>
      </w:r>
      <w:r>
        <w:t xml:space="preserve">: New Bill explicitly targets</w:t>
      </w:r>
      <w:r>
        <w:t xml:space="preserve"> </w:t>
      </w:r>
      <w:r>
        <w:rPr>
          <w:b/>
          <w:bCs/>
        </w:rPr>
        <w:t xml:space="preserve">Managed Service Providers (MSPs)</w:t>
      </w:r>
      <w:r>
        <w:t xml:space="preserve"> </w:t>
      </w:r>
      <w:r>
        <w:t xml:space="preserve">and</w:t>
      </w:r>
      <w:r>
        <w:t xml:space="preserve"> </w:t>
      </w:r>
      <w:r>
        <w:rPr>
          <w:b/>
          <w:bCs/>
        </w:rPr>
        <w:t xml:space="preserve">critical suppliers</w:t>
      </w:r>
      <w:r>
        <w:br/>
      </w:r>
    </w:p>
    <w:p>
      <w:pPr>
        <w:pStyle w:val="Compact"/>
        <w:numPr>
          <w:ilvl w:val="0"/>
          <w:numId w:val="1259"/>
        </w:numPr>
      </w:pPr>
      <w:r>
        <w:rPr>
          <w:b/>
          <w:bCs/>
        </w:rPr>
        <w:t xml:space="preserve">EU</w:t>
      </w:r>
      <w:r>
        <w:t xml:space="preserve">: NIS2 includes manufacturers of medical devices and pharmaceuticals</w:t>
      </w:r>
      <w:r>
        <w:br/>
      </w:r>
    </w:p>
    <w:p>
      <w:pPr>
        <w:pStyle w:val="Compact"/>
        <w:numPr>
          <w:ilvl w:val="0"/>
          <w:numId w:val="1259"/>
        </w:numPr>
      </w:pPr>
      <w:r>
        <w:rPr>
          <w:b/>
          <w:bCs/>
        </w:rPr>
        <w:t xml:space="preserve">Implication</w:t>
      </w:r>
      <w:r>
        <w:t xml:space="preserve">: Future frameworks must include criteria for assessing and mandating security standards for third and fourth-party vendors</w:t>
      </w:r>
    </w:p>
    <w:bookmarkEnd w:id="298"/>
    <w:bookmarkStart w:id="299" w:name="all-hazard-resilience-integration"/>
    <w:p>
      <w:pPr>
        <w:pStyle w:val="Heading2"/>
      </w:pPr>
      <w:r>
        <w:t xml:space="preserve">2. All-Hazard Resilience Integration</w:t>
      </w:r>
    </w:p>
    <w:p>
      <w:pPr>
        <w:pStyle w:val="Compact"/>
        <w:numPr>
          <w:ilvl w:val="0"/>
          <w:numId w:val="1260"/>
        </w:numPr>
      </w:pPr>
      <w:r>
        <w:rPr>
          <w:b/>
          <w:bCs/>
        </w:rPr>
        <w:t xml:space="preserve">EU CER Directive</w:t>
      </w:r>
      <w:r>
        <w:t xml:space="preserve">: Mandates resilience plans for physical, environmental, natural disaster, and supply chain disruptions</w:t>
      </w:r>
      <w:r>
        <w:br/>
      </w:r>
    </w:p>
    <w:p>
      <w:pPr>
        <w:pStyle w:val="Compact"/>
        <w:numPr>
          <w:ilvl w:val="0"/>
          <w:numId w:val="1260"/>
        </w:numPr>
      </w:pPr>
      <w:r>
        <w:rPr>
          <w:b/>
          <w:bCs/>
        </w:rPr>
        <w:t xml:space="preserve">Shift</w:t>
      </w:r>
      <w:r>
        <w:t xml:space="preserve">: Moving beyond pure cybersecurity to require planning for broader disruptions that could impact digital services</w:t>
      </w:r>
      <w:r>
        <w:br/>
      </w:r>
    </w:p>
    <w:p>
      <w:pPr>
        <w:pStyle w:val="Compact"/>
        <w:numPr>
          <w:ilvl w:val="0"/>
          <w:numId w:val="1260"/>
        </w:numPr>
      </w:pPr>
      <w:r>
        <w:rPr>
          <w:b/>
          <w:bCs/>
        </w:rPr>
        <w:t xml:space="preserve">Implication</w:t>
      </w:r>
      <w:r>
        <w:t xml:space="preserve">: Critical infrastructure frameworks should integrate business continuity planning for multi-hazard scenarios</w:t>
      </w:r>
    </w:p>
    <w:bookmarkEnd w:id="299"/>
    <w:bookmarkStart w:id="300" w:name="stricter-harmonized-incident-reporting"/>
    <w:p>
      <w:pPr>
        <w:pStyle w:val="Heading2"/>
      </w:pPr>
      <w:r>
        <w:t xml:space="preserve">3. Stricter &amp; Harmonized Incident Reporting</w:t>
      </w:r>
    </w:p>
    <w:p>
      <w:pPr>
        <w:pStyle w:val="FirstParagraph"/>
      </w:pPr>
      <w:r>
        <w:t xml:space="preserve">Global convergence towards standardized reporting timelines:</w:t>
      </w:r>
      <w:r>
        <w:t xml:space="preserve"> </w:t>
      </w:r>
      <w:r>
        <w:t xml:space="preserve">| Reporting Stage | Common Standard | Examples |</w:t>
      </w:r>
      <w:r>
        <w:t xml:space="preserve"> </w:t>
      </w:r>
      <w:r>
        <w:t xml:space="preserve">|:—————-|:—————-|:———|</w:t>
      </w:r>
      <w:r>
        <w:t xml:space="preserve"> </w:t>
      </w:r>
      <w:r>
        <w:t xml:space="preserve">|</w:t>
      </w:r>
      <w:r>
        <w:t xml:space="preserve"> </w:t>
      </w:r>
      <w:r>
        <w:rPr>
          <w:b/>
          <w:bCs/>
        </w:rPr>
        <w:t xml:space="preserve">Early warning</w:t>
      </w:r>
      <w:r>
        <w:t xml:space="preserve"> </w:t>
      </w:r>
      <w:r>
        <w:t xml:space="preserve">| 12-24 hours | Hong Kong (12h), Norway (24h), Switzerland (24h), EU NIS2 (24h) |</w:t>
      </w:r>
      <w:r>
        <w:t xml:space="preserve"> </w:t>
      </w:r>
      <w:r>
        <w:t xml:space="preserve">|</w:t>
      </w:r>
      <w:r>
        <w:t xml:space="preserve"> </w:t>
      </w:r>
      <w:r>
        <w:rPr>
          <w:b/>
          <w:bCs/>
        </w:rPr>
        <w:t xml:space="preserve">Detailed notification</w:t>
      </w:r>
      <w:r>
        <w:t xml:space="preserve"> </w:t>
      </w:r>
      <w:r>
        <w:t xml:space="preserve">| 48-72 hours | Hong Kong (48h), Norway (72h), EU NIS2 (72h), USA CIRCIA (72h) |</w:t>
      </w:r>
      <w:r>
        <w:t xml:space="preserve"> </w:t>
      </w:r>
      <w:r>
        <w:t xml:space="preserve">|</w:t>
      </w:r>
      <w:r>
        <w:t xml:space="preserve"> </w:t>
      </w:r>
      <w:r>
        <w:rPr>
          <w:b/>
          <w:bCs/>
        </w:rPr>
        <w:t xml:space="preserve">Final report</w:t>
      </w:r>
      <w:r>
        <w:t xml:space="preserve"> </w:t>
      </w:r>
      <w:r>
        <w:t xml:space="preserve">| 14-30 days | Hong Kong (14d), Norway (1 month), EU NIS2 (1 month) |</w:t>
      </w:r>
      <w:r>
        <w:t xml:space="preserve"> </w:t>
      </w:r>
      <w:r>
        <w:t xml:space="preserve">|</w:t>
      </w:r>
      <w:r>
        <w:t xml:space="preserve"> </w:t>
      </w:r>
      <w:r>
        <w:rPr>
          <w:b/>
          <w:bCs/>
        </w:rPr>
        <w:t xml:space="preserve">Ransom payment</w:t>
      </w:r>
      <w:r>
        <w:t xml:space="preserve"> </w:t>
      </w:r>
      <w:r>
        <w:t xml:space="preserve">| 24 hours | USA CIRCIA, Australia |</w:t>
      </w:r>
    </w:p>
    <w:bookmarkEnd w:id="300"/>
    <w:bookmarkStart w:id="301" w:name="enhanced-enforcement-postures"/>
    <w:p>
      <w:pPr>
        <w:pStyle w:val="Heading2"/>
      </w:pPr>
      <w:r>
        <w:t xml:space="preserve">4. Enhanced Enforcement Postures</w:t>
      </w:r>
    </w:p>
    <w:p>
      <w:pPr>
        <w:pStyle w:val="Compact"/>
        <w:numPr>
          <w:ilvl w:val="0"/>
          <w:numId w:val="1261"/>
        </w:numPr>
      </w:pPr>
      <w:r>
        <w:rPr>
          <w:b/>
          <w:bCs/>
        </w:rPr>
        <w:t xml:space="preserve">Australia</w:t>
      </w:r>
      <w:r>
        <w:t xml:space="preserve">: Shift to</w:t>
      </w:r>
      <w:r>
        <w:t xml:space="preserve"> </w:t>
      </w:r>
      <w:r>
        <w:t xml:space="preserve">“stricter enforcement-oriented posture”</w:t>
      </w:r>
      <w:r>
        <w:t xml:space="preserve"> </w:t>
      </w:r>
      <w:r>
        <w:t xml:space="preserve">from January 2026</w:t>
      </w:r>
      <w:r>
        <w:br/>
      </w:r>
    </w:p>
    <w:p>
      <w:pPr>
        <w:pStyle w:val="Compact"/>
        <w:numPr>
          <w:ilvl w:val="0"/>
          <w:numId w:val="1261"/>
        </w:numPr>
      </w:pPr>
      <w:r>
        <w:rPr>
          <w:b/>
          <w:bCs/>
        </w:rPr>
        <w:t xml:space="preserve">EU</w:t>
      </w:r>
      <w:r>
        <w:t xml:space="preserve">: Significant penalties (up to €10M or 2% global turnover)</w:t>
      </w:r>
      <w:r>
        <w:br/>
      </w:r>
    </w:p>
    <w:p>
      <w:pPr>
        <w:pStyle w:val="Compact"/>
        <w:numPr>
          <w:ilvl w:val="0"/>
          <w:numId w:val="1261"/>
        </w:numPr>
      </w:pPr>
      <w:r>
        <w:rPr>
          <w:b/>
          <w:bCs/>
        </w:rPr>
        <w:t xml:space="preserve">Hong Kong</w:t>
      </w:r>
      <w:r>
        <w:t xml:space="preserve">: Fines up to HK$5M for non-compliance with CI operator obligations</w:t>
      </w:r>
    </w:p>
    <w:p>
      <w:pPr>
        <w:pStyle w:val="Compact"/>
        <w:numPr>
          <w:ilvl w:val="0"/>
          <w:numId w:val="1261"/>
        </w:numPr>
      </w:pPr>
      <w:r>
        <w:rPr>
          <w:b/>
          <w:bCs/>
        </w:rPr>
        <w:t xml:space="preserve">Implication</w:t>
      </w:r>
      <w:r>
        <w:t xml:space="preserve">: Compliance moving from voluntary guidance to mandatory requirement with serious consequences for non-compliance</w:t>
      </w:r>
    </w:p>
    <w:p>
      <w:pPr>
        <w:sectPr>
          <w:footerReference w:type="first" r:id="rId13"/>
          <w:footerReference w:type="default" r:id="rId11"/>
          <w:footerReference w:type="even" r:id="rId10"/>
          <w:type w:val="nextPage"/>
        </w:sectPr>
      </w:pPr>
    </w:p>
    <w:bookmarkEnd w:id="301"/>
    <w:bookmarkEnd w:id="302"/>
    <w:bookmarkStart w:id="312" w:name="X8574e430a5c88f9c021b1280e94e60ad40bcb78"/>
    <w:p>
      <w:pPr>
        <w:pStyle w:val="Heading1"/>
      </w:pPr>
      <w:r>
        <w:t xml:space="preserve">Key Policy Design Insights for New Jurisdictions</w:t>
      </w:r>
    </w:p>
    <w:p>
      <w:pPr>
        <w:pStyle w:val="FirstParagraph"/>
      </w:pPr>
      <w:r>
        <w:t xml:space="preserve">This section synthesizes lessons learned from the 17 jurisdictions analyzed, organized as actionable decision points for policymakers.</w:t>
      </w:r>
    </w:p>
    <w:bookmarkStart w:id="303" w:name="designation-model-trade-offs"/>
    <w:p>
      <w:pPr>
        <w:pStyle w:val="Heading2"/>
      </w:pPr>
      <w:r>
        <w:t xml:space="preserve">Designation Model Trade-offs</w:t>
      </w:r>
    </w:p>
    <w:tbl>
      <w:tblPr>
        <w:tblStyle w:val="Table"/>
        <w:tblW w:type="pct" w:w="5000"/>
        <w:tblLayout w:type="fixed"/>
        <w:tblLook w:firstRow="1" w:lastRow="0" w:firstColumn="0" w:lastColumn="0" w:noHBand="0" w:noVBand="0" w:val="0020"/>
      </w:tblPr>
      <w:tblGrid>
        <w:gridCol w:w="1026"/>
        <w:gridCol w:w="1760"/>
        <w:gridCol w:w="2200"/>
        <w:gridCol w:w="1466"/>
        <w:gridCol w:w="1466"/>
      </w:tblGrid>
      <w:tr>
        <w:trPr>
          <w:tblHeader w:val="on"/>
        </w:trPr>
        <w:tc>
          <w:tcPr/>
          <w:p>
            <w:pPr>
              <w:pStyle w:val="Compact"/>
              <w:jc w:val="left"/>
            </w:pPr>
            <w:r>
              <w:t xml:space="preserve">Model</w:t>
            </w:r>
          </w:p>
        </w:tc>
        <w:tc>
          <w:tcPr/>
          <w:p>
            <w:pPr>
              <w:pStyle w:val="Compact"/>
              <w:jc w:val="left"/>
            </w:pPr>
            <w:r>
              <w:t xml:space="preserve">Advantages</w:t>
            </w:r>
          </w:p>
        </w:tc>
        <w:tc>
          <w:tcPr/>
          <w:p>
            <w:pPr>
              <w:pStyle w:val="Compact"/>
              <w:jc w:val="left"/>
            </w:pPr>
            <w:r>
              <w:t xml:space="preserve">Disadvantages</w:t>
            </w:r>
          </w:p>
        </w:tc>
        <w:tc>
          <w:tcPr/>
          <w:p>
            <w:pPr>
              <w:pStyle w:val="Compact"/>
              <w:jc w:val="left"/>
            </w:pPr>
            <w:r>
              <w:t xml:space="preserve">Best For</w:t>
            </w:r>
          </w:p>
        </w:tc>
        <w:tc>
          <w:tcPr/>
          <w:p>
            <w:pPr>
              <w:pStyle w:val="Compact"/>
              <w:jc w:val="left"/>
            </w:pPr>
            <w:r>
              <w:t xml:space="preserve">Examples</w:t>
            </w:r>
          </w:p>
        </w:tc>
      </w:tr>
      <w:tr>
        <w:tc>
          <w:tcPr/>
          <w:p>
            <w:pPr>
              <w:pStyle w:val="Compact"/>
              <w:jc w:val="left"/>
            </w:pPr>
            <w:r>
              <w:rPr>
                <w:b/>
                <w:bCs/>
              </w:rPr>
              <w:t xml:space="preserve">Sector-based</w:t>
            </w:r>
            <w:r>
              <w:t xml:space="preserve"> </w:t>
            </w:r>
            <w:r>
              <w:t xml:space="preserve">(no designation)</w:t>
            </w:r>
          </w:p>
        </w:tc>
        <w:tc>
          <w:tcPr/>
          <w:p>
            <w:pPr>
              <w:pStyle w:val="Compact"/>
              <w:jc w:val="left"/>
            </w:pPr>
            <w:r>
              <w:t xml:space="preserve">Low administrative burden; covers all entities in sector</w:t>
            </w:r>
          </w:p>
        </w:tc>
        <w:tc>
          <w:tcPr/>
          <w:p>
            <w:pPr>
              <w:pStyle w:val="Compact"/>
              <w:jc w:val="left"/>
            </w:pPr>
            <w:r>
              <w:t xml:space="preserve">Lacks precision; may burden small providers unnecessarily</w:t>
            </w:r>
          </w:p>
        </w:tc>
        <w:tc>
          <w:tcPr/>
          <w:p>
            <w:pPr>
              <w:pStyle w:val="Compact"/>
              <w:jc w:val="left"/>
            </w:pPr>
            <w:r>
              <w:t xml:space="preserve">Countries with limited regulatory capacity</w:t>
            </w:r>
          </w:p>
        </w:tc>
        <w:tc>
          <w:tcPr/>
          <w:p>
            <w:pPr>
              <w:pStyle w:val="Compact"/>
              <w:jc w:val="left"/>
            </w:pPr>
            <w:r>
              <w:t xml:space="preserve">USA, Canada</w:t>
            </w:r>
          </w:p>
        </w:tc>
      </w:tr>
      <w:tr>
        <w:tc>
          <w:tcPr/>
          <w:p>
            <w:pPr>
              <w:pStyle w:val="Compact"/>
              <w:jc w:val="left"/>
            </w:pPr>
            <w:r>
              <w:rPr>
                <w:b/>
                <w:bCs/>
              </w:rPr>
              <w:t xml:space="preserve">Entity-based designation</w:t>
            </w:r>
          </w:p>
        </w:tc>
        <w:tc>
          <w:tcPr/>
          <w:p>
            <w:pPr>
              <w:pStyle w:val="Compact"/>
              <w:jc w:val="left"/>
            </w:pPr>
            <w:r>
              <w:t xml:space="preserve">Clear accountability; scales with organization</w:t>
            </w:r>
          </w:p>
        </w:tc>
        <w:tc>
          <w:tcPr/>
          <w:p>
            <w:pPr>
              <w:pStyle w:val="Compact"/>
              <w:jc w:val="left"/>
            </w:pPr>
            <w:r>
              <w:t xml:space="preserve">May miss critical small providers</w:t>
            </w:r>
          </w:p>
        </w:tc>
        <w:tc>
          <w:tcPr/>
          <w:p>
            <w:pPr>
              <w:pStyle w:val="Compact"/>
              <w:jc w:val="left"/>
            </w:pPr>
            <w:r>
              <w:t xml:space="preserve">Developed regulatory systems</w:t>
            </w:r>
          </w:p>
        </w:tc>
        <w:tc>
          <w:tcPr/>
          <w:p>
            <w:pPr>
              <w:pStyle w:val="Compact"/>
              <w:jc w:val="left"/>
            </w:pPr>
            <w:r>
              <w:t xml:space="preserve">UK (OES), EU (NIS2), France (OIV)</w:t>
            </w:r>
          </w:p>
        </w:tc>
      </w:tr>
      <w:tr>
        <w:tc>
          <w:tcPr/>
          <w:p>
            <w:pPr>
              <w:pStyle w:val="Compact"/>
              <w:jc w:val="left"/>
            </w:pPr>
            <w:r>
              <w:rPr>
                <w:b/>
                <w:bCs/>
              </w:rPr>
              <w:t xml:space="preserve">System-based designation</w:t>
            </w:r>
          </w:p>
        </w:tc>
        <w:tc>
          <w:tcPr/>
          <w:p>
            <w:pPr>
              <w:pStyle w:val="Compact"/>
              <w:jc w:val="left"/>
            </w:pPr>
            <w:r>
              <w:t xml:space="preserve">Precise; focuses on actual critical systems</w:t>
            </w:r>
          </w:p>
        </w:tc>
        <w:tc>
          <w:tcPr/>
          <w:p>
            <w:pPr>
              <w:pStyle w:val="Compact"/>
              <w:jc w:val="left"/>
            </w:pPr>
            <w:r>
              <w:t xml:space="preserve">Complex to administer; requires technical assessment</w:t>
            </w:r>
          </w:p>
        </w:tc>
        <w:tc>
          <w:tcPr/>
          <w:p>
            <w:pPr>
              <w:pStyle w:val="Compact"/>
              <w:jc w:val="left"/>
            </w:pPr>
            <w:r>
              <w:t xml:space="preserve">High IT maturity jurisdictions</w:t>
            </w:r>
          </w:p>
        </w:tc>
        <w:tc>
          <w:tcPr/>
          <w:p>
            <w:pPr>
              <w:pStyle w:val="Compact"/>
              <w:jc w:val="left"/>
            </w:pPr>
            <w:r>
              <w:t xml:space="preserve">Singapore (CII)</w:t>
            </w:r>
          </w:p>
        </w:tc>
      </w:tr>
      <w:tr>
        <w:tc>
          <w:tcPr/>
          <w:p>
            <w:pPr>
              <w:pStyle w:val="Compact"/>
              <w:jc w:val="left"/>
            </w:pPr>
            <w:r>
              <w:rPr>
                <w:b/>
                <w:bCs/>
              </w:rPr>
              <w:t xml:space="preserve">Asset-based designation</w:t>
            </w:r>
          </w:p>
        </w:tc>
        <w:tc>
          <w:tcPr/>
          <w:p>
            <w:pPr>
              <w:pStyle w:val="Compact"/>
              <w:jc w:val="left"/>
            </w:pPr>
            <w:r>
              <w:t xml:space="preserve">Clear thresholds; easy to verify</w:t>
            </w:r>
          </w:p>
        </w:tc>
        <w:tc>
          <w:tcPr/>
          <w:p>
            <w:pPr>
              <w:pStyle w:val="Compact"/>
              <w:jc w:val="left"/>
            </w:pPr>
            <w:r>
              <w:t xml:space="preserve">May be too rigid; misses critical functions at smaller sites</w:t>
            </w:r>
          </w:p>
        </w:tc>
        <w:tc>
          <w:tcPr/>
          <w:p>
            <w:pPr>
              <w:pStyle w:val="Compact"/>
              <w:jc w:val="left"/>
            </w:pPr>
            <w:r>
              <w:t xml:space="preserve">Jurisdictions wanting explicit rules</w:t>
            </w:r>
          </w:p>
        </w:tc>
        <w:tc>
          <w:tcPr/>
          <w:p>
            <w:pPr>
              <w:pStyle w:val="Compact"/>
              <w:jc w:val="left"/>
            </w:pPr>
            <w:r>
              <w:t xml:space="preserve">Australia (ICU hospitals), Germany (30k cases)</w:t>
            </w:r>
          </w:p>
        </w:tc>
      </w:tr>
      <w:tr>
        <w:tc>
          <w:tcPr/>
          <w:p>
            <w:pPr>
              <w:pStyle w:val="Compact"/>
              <w:jc w:val="left"/>
            </w:pPr>
            <w:r>
              <w:rPr>
                <w:b/>
                <w:bCs/>
              </w:rPr>
              <w:t xml:space="preserve">Hybrid</w:t>
            </w:r>
          </w:p>
        </w:tc>
        <w:tc>
          <w:tcPr/>
          <w:p>
            <w:pPr>
              <w:pStyle w:val="Compact"/>
              <w:jc w:val="left"/>
            </w:pPr>
            <w:r>
              <w:t xml:space="preserve">Flexible; covers edge cases</w:t>
            </w:r>
          </w:p>
        </w:tc>
        <w:tc>
          <w:tcPr/>
          <w:p>
            <w:pPr>
              <w:pStyle w:val="Compact"/>
              <w:jc w:val="left"/>
            </w:pPr>
            <w:r>
              <w:t xml:space="preserve">More complex to implement</w:t>
            </w:r>
          </w:p>
        </w:tc>
        <w:tc>
          <w:tcPr/>
          <w:p>
            <w:pPr>
              <w:pStyle w:val="Compact"/>
              <w:jc w:val="left"/>
            </w:pPr>
            <w:r>
              <w:t xml:space="preserve">Most jurisdictions moving this direction</w:t>
            </w:r>
          </w:p>
        </w:tc>
        <w:tc>
          <w:tcPr/>
          <w:p>
            <w:pPr>
              <w:pStyle w:val="Compact"/>
              <w:jc w:val="left"/>
            </w:pPr>
            <w:r>
              <w:t xml:space="preserve">Germany (KRITIS + NIS2), Hong Kong</w:t>
            </w:r>
          </w:p>
        </w:tc>
      </w:tr>
    </w:tbl>
    <w:p>
      <w:pPr>
        <w:pStyle w:val="BlockText"/>
      </w:pPr>
      <w:r>
        <w:rPr>
          <w:b/>
          <w:bCs/>
        </w:rPr>
        <w:t xml:space="preserve">Recommendation for new countries:</w:t>
      </w:r>
      <w:r>
        <w:t xml:space="preserve"> </w:t>
      </w:r>
      <w:r>
        <w:t xml:space="preserve">Start with</w:t>
      </w:r>
      <w:r>
        <w:t xml:space="preserve"> </w:t>
      </w:r>
      <w:r>
        <w:rPr>
          <w:b/>
          <w:bCs/>
        </w:rPr>
        <w:t xml:space="preserve">sector + entity-based</w:t>
      </w:r>
      <w:r>
        <w:t xml:space="preserve"> </w:t>
      </w:r>
      <w:r>
        <w:t xml:space="preserve">for broad coverage, then add</w:t>
      </w:r>
      <w:r>
        <w:t xml:space="preserve"> </w:t>
      </w:r>
      <w:r>
        <w:rPr>
          <w:b/>
          <w:bCs/>
        </w:rPr>
        <w:t xml:space="preserve">system/asset thresholds</w:t>
      </w:r>
      <w:r>
        <w:t xml:space="preserve"> </w:t>
      </w:r>
      <w:r>
        <w:t xml:space="preserve">as regulatory capacity matures.</w:t>
      </w:r>
    </w:p>
    <w:bookmarkEnd w:id="303"/>
    <w:bookmarkStart w:id="304" w:name="Xdffc8885a08b809c3754100beb2f2bb413ff018"/>
    <w:p>
      <w:pPr>
        <w:pStyle w:val="Heading2"/>
      </w:pPr>
      <w:r>
        <w:t xml:space="preserve">Which Health Entities to Include (Global Consensus)</w:t>
      </w:r>
    </w:p>
    <w:p>
      <w:pPr>
        <w:pStyle w:val="FirstParagraph"/>
      </w:pPr>
      <w:r>
        <w:t xml:space="preserve">Based on analysis across all 17 jurisdictions, the following entities appear most frequently in CI/CII frameworks:</w:t>
      </w:r>
    </w:p>
    <w:bookmarkEnd w:id="304"/>
    <w:bookmarkStart w:id="305" w:name="Xe8b158dcaa24b7719392e97c66063b2da2a2f60"/>
    <w:p>
      <w:pPr>
        <w:pStyle w:val="Heading2"/>
      </w:pPr>
      <w:r>
        <w:t xml:space="preserve">Tier 1: Near-Universal Inclusion (explicitly included in 80%+ of frameworks)</w:t>
      </w:r>
    </w:p>
    <w:tbl>
      <w:tblPr>
        <w:tblStyle w:val="Table"/>
        <w:tblW w:type="pct" w:w="5000"/>
        <w:tblLayout w:type="fixed"/>
        <w:tblLook w:firstRow="1" w:lastRow="0" w:firstColumn="0" w:lastColumn="0" w:noHBand="0" w:noVBand="0" w:val="0020"/>
      </w:tblPr>
      <w:tblGrid>
        <w:gridCol w:w="2394"/>
        <w:gridCol w:w="1289"/>
        <w:gridCol w:w="4236"/>
      </w:tblGrid>
      <w:tr>
        <w:trPr>
          <w:tblHeader w:val="on"/>
        </w:trPr>
        <w:tc>
          <w:tcPr/>
          <w:p>
            <w:pPr>
              <w:pStyle w:val="Compact"/>
              <w:jc w:val="left"/>
            </w:pPr>
            <w:r>
              <w:t xml:space="preserve">Entity Type</w:t>
            </w:r>
          </w:p>
        </w:tc>
        <w:tc>
          <w:tcPr/>
          <w:p>
            <w:pPr>
              <w:pStyle w:val="Compact"/>
              <w:jc w:val="left"/>
            </w:pPr>
            <w:r>
              <w:t xml:space="preserve">Notes</w:t>
            </w:r>
          </w:p>
        </w:tc>
        <w:tc>
          <w:tcPr/>
          <w:p>
            <w:pPr>
              <w:pStyle w:val="Compact"/>
              <w:jc w:val="left"/>
            </w:pPr>
            <w:r>
              <w:t xml:space="preserve">Example Jurisdictions</w:t>
            </w:r>
          </w:p>
        </w:tc>
      </w:tr>
      <w:tr>
        <w:tc>
          <w:tcPr/>
          <w:p>
            <w:pPr>
              <w:pStyle w:val="Compact"/>
              <w:jc w:val="left"/>
            </w:pPr>
            <w:r>
              <w:rPr>
                <w:b/>
                <w:bCs/>
              </w:rPr>
              <w:t xml:space="preserve">Hospitals with ICU/emergency capability</w:t>
            </w:r>
          </w:p>
        </w:tc>
        <w:tc>
          <w:tcPr/>
          <w:p>
            <w:pPr>
              <w:pStyle w:val="Compact"/>
              <w:jc w:val="left"/>
            </w:pPr>
            <w:r>
              <w:t xml:space="preserve">Often defined by bed count or case volume</w:t>
            </w:r>
          </w:p>
        </w:tc>
        <w:tc>
          <w:tcPr/>
          <w:p>
            <w:pPr>
              <w:pStyle w:val="Compact"/>
              <w:jc w:val="left"/>
            </w:pPr>
            <w:r>
              <w:t xml:space="preserve">Australia, Germany, UK, EU, Hong Kong</w:t>
            </w:r>
          </w:p>
        </w:tc>
      </w:tr>
      <w:tr>
        <w:tc>
          <w:tcPr/>
          <w:p>
            <w:pPr>
              <w:pStyle w:val="Compact"/>
              <w:jc w:val="left"/>
            </w:pPr>
            <w:r>
              <w:rPr>
                <w:b/>
                <w:bCs/>
              </w:rPr>
              <w:t xml:space="preserve">National/regional health information exchanges</w:t>
            </w:r>
          </w:p>
        </w:tc>
        <w:tc>
          <w:tcPr/>
          <w:p>
            <w:pPr>
              <w:pStyle w:val="Compact"/>
              <w:jc w:val="left"/>
            </w:pPr>
            <w:r>
              <w:t xml:space="preserve">EHR platforms, health data networks</w:t>
            </w:r>
          </w:p>
        </w:tc>
        <w:tc>
          <w:tcPr/>
          <w:p>
            <w:pPr>
              <w:pStyle w:val="Compact"/>
              <w:jc w:val="left"/>
            </w:pPr>
            <w:r>
              <w:t xml:space="preserve">Singapore, Japan, Taiwan</w:t>
            </w:r>
          </w:p>
        </w:tc>
      </w:tr>
      <w:tr>
        <w:tc>
          <w:tcPr/>
          <w:p>
            <w:pPr>
              <w:pStyle w:val="Compact"/>
              <w:jc w:val="left"/>
            </w:pPr>
            <w:r>
              <w:rPr>
                <w:b/>
                <w:bCs/>
              </w:rPr>
              <w:t xml:space="preserve">Blood and organ allocation services</w:t>
            </w:r>
          </w:p>
        </w:tc>
        <w:tc>
          <w:tcPr/>
          <w:p>
            <w:pPr>
              <w:pStyle w:val="Compact"/>
              <w:jc w:val="left"/>
            </w:pPr>
            <w:r>
              <w:t xml:space="preserve">Often at national level</w:t>
            </w:r>
          </w:p>
        </w:tc>
        <w:tc>
          <w:tcPr/>
          <w:p>
            <w:pPr>
              <w:pStyle w:val="Compact"/>
              <w:jc w:val="left"/>
            </w:pPr>
            <w:r>
              <w:t xml:space="preserve">Germany, France, UK</w:t>
            </w:r>
          </w:p>
        </w:tc>
      </w:tr>
      <w:tr>
        <w:tc>
          <w:tcPr/>
          <w:p>
            <w:pPr>
              <w:pStyle w:val="Compact"/>
              <w:jc w:val="left"/>
            </w:pPr>
            <w:r>
              <w:rPr>
                <w:b/>
                <w:bCs/>
              </w:rPr>
              <w:t xml:space="preserve">Disease surveillance systems</w:t>
            </w:r>
          </w:p>
        </w:tc>
        <w:tc>
          <w:tcPr/>
          <w:p>
            <w:pPr>
              <w:pStyle w:val="Compact"/>
              <w:jc w:val="left"/>
            </w:pPr>
            <w:r>
              <w:t xml:space="preserve">Epidemic response capability</w:t>
            </w:r>
          </w:p>
        </w:tc>
        <w:tc>
          <w:tcPr/>
          <w:p>
            <w:pPr>
              <w:pStyle w:val="Compact"/>
              <w:jc w:val="left"/>
            </w:pPr>
            <w:r>
              <w:t xml:space="preserve">All jurisdictions (explicitly or implicitly)</w:t>
            </w:r>
          </w:p>
        </w:tc>
      </w:tr>
      <w:tr>
        <w:tc>
          <w:tcPr/>
          <w:p>
            <w:pPr>
              <w:pStyle w:val="Compact"/>
              <w:jc w:val="left"/>
            </w:pPr>
            <w:r>
              <w:rPr>
                <w:b/>
                <w:bCs/>
              </w:rPr>
              <w:t xml:space="preserve">Emergency ambulance dispatch (CAD)</w:t>
            </w:r>
          </w:p>
        </w:tc>
        <w:tc>
          <w:tcPr/>
          <w:p>
            <w:pPr>
              <w:pStyle w:val="Compact"/>
              <w:jc w:val="left"/>
            </w:pPr>
            <w:r>
              <w:t xml:space="preserve">Often in</w:t>
            </w:r>
            <w:r>
              <w:t xml:space="preserve"> </w:t>
            </w:r>
            <w:r>
              <w:t xml:space="preserve">“emergency services”</w:t>
            </w:r>
            <w:r>
              <w:t xml:space="preserve"> </w:t>
            </w:r>
            <w:r>
              <w:t xml:space="preserve">sector</w:t>
            </w:r>
          </w:p>
        </w:tc>
        <w:tc>
          <w:tcPr/>
          <w:p>
            <w:pPr>
              <w:pStyle w:val="Compact"/>
              <w:jc w:val="left"/>
            </w:pPr>
            <w:r>
              <w:t xml:space="preserve">UK, EU, Australia</w:t>
            </w:r>
          </w:p>
        </w:tc>
      </w:tr>
    </w:tbl>
    <w:bookmarkEnd w:id="305"/>
    <w:bookmarkStart w:id="306" w:name="Xa06ac998ad43b5a259aa61783874c7ffcc356bf"/>
    <w:p>
      <w:pPr>
        <w:pStyle w:val="Heading2"/>
      </w:pPr>
      <w:r>
        <w:t xml:space="preserve">Tier 2: Frequently Included (50-80% of frameworks)</w:t>
      </w:r>
    </w:p>
    <w:tbl>
      <w:tblPr>
        <w:tblStyle w:val="Table"/>
        <w:tblW w:type="pct" w:w="5000"/>
        <w:tblLayout w:type="fixed"/>
        <w:tblLook w:firstRow="1" w:lastRow="0" w:firstColumn="0" w:lastColumn="0" w:noHBand="0" w:noVBand="0" w:val="0020"/>
      </w:tblPr>
      <w:tblGrid>
        <w:gridCol w:w="2394"/>
        <w:gridCol w:w="1289"/>
        <w:gridCol w:w="4236"/>
      </w:tblGrid>
      <w:tr>
        <w:trPr>
          <w:tblHeader w:val="on"/>
        </w:trPr>
        <w:tc>
          <w:tcPr/>
          <w:p>
            <w:pPr>
              <w:pStyle w:val="Compact"/>
              <w:jc w:val="left"/>
            </w:pPr>
            <w:r>
              <w:t xml:space="preserve">Entity Type</w:t>
            </w:r>
          </w:p>
        </w:tc>
        <w:tc>
          <w:tcPr/>
          <w:p>
            <w:pPr>
              <w:pStyle w:val="Compact"/>
              <w:jc w:val="left"/>
            </w:pPr>
            <w:r>
              <w:t xml:space="preserve">Notes</w:t>
            </w:r>
          </w:p>
        </w:tc>
        <w:tc>
          <w:tcPr/>
          <w:p>
            <w:pPr>
              <w:pStyle w:val="Compact"/>
              <w:jc w:val="left"/>
            </w:pPr>
            <w:r>
              <w:t xml:space="preserve">Example Jurisdictions</w:t>
            </w:r>
          </w:p>
        </w:tc>
      </w:tr>
      <w:tr>
        <w:tc>
          <w:tcPr/>
          <w:p>
            <w:pPr>
              <w:pStyle w:val="Compact"/>
              <w:jc w:val="left"/>
            </w:pPr>
            <w:r>
              <w:rPr>
                <w:b/>
                <w:bCs/>
              </w:rPr>
              <w:t xml:space="preserve">Medical laboratories (reference/diagnostic)</w:t>
            </w:r>
          </w:p>
        </w:tc>
        <w:tc>
          <w:tcPr/>
          <w:p>
            <w:pPr>
              <w:pStyle w:val="Compact"/>
              <w:jc w:val="left"/>
            </w:pPr>
            <w:r>
              <w:t xml:space="preserve">Often linked to epidemic response</w:t>
            </w:r>
          </w:p>
        </w:tc>
        <w:tc>
          <w:tcPr/>
          <w:p>
            <w:pPr>
              <w:pStyle w:val="Compact"/>
              <w:jc w:val="left"/>
            </w:pPr>
            <w:r>
              <w:t xml:space="preserve">Switzerland, EU, Germany</w:t>
            </w:r>
          </w:p>
        </w:tc>
      </w:tr>
      <w:tr>
        <w:tc>
          <w:tcPr/>
          <w:p>
            <w:pPr>
              <w:pStyle w:val="Compact"/>
              <w:jc w:val="left"/>
            </w:pPr>
            <w:r>
              <w:rPr>
                <w:b/>
                <w:bCs/>
              </w:rPr>
              <w:t xml:space="preserve">Pharmaceutical manufacturers/distributors</w:t>
            </w:r>
          </w:p>
        </w:tc>
        <w:tc>
          <w:tcPr/>
          <w:p>
            <w:pPr>
              <w:pStyle w:val="Compact"/>
              <w:jc w:val="left"/>
            </w:pPr>
            <w:r>
              <w:t xml:space="preserve">Supply chain criticality</w:t>
            </w:r>
          </w:p>
        </w:tc>
        <w:tc>
          <w:tcPr/>
          <w:p>
            <w:pPr>
              <w:pStyle w:val="Compact"/>
              <w:jc w:val="left"/>
            </w:pPr>
            <w:r>
              <w:t xml:space="preserve">EU (NIS2), Germany</w:t>
            </w:r>
          </w:p>
        </w:tc>
      </w:tr>
      <w:tr>
        <w:tc>
          <w:tcPr/>
          <w:p>
            <w:pPr>
              <w:pStyle w:val="Compact"/>
              <w:jc w:val="left"/>
            </w:pPr>
            <w:r>
              <w:rPr>
                <w:b/>
                <w:bCs/>
              </w:rPr>
              <w:t xml:space="preserve">Medical device manufacturers</w:t>
            </w:r>
          </w:p>
        </w:tc>
        <w:tc>
          <w:tcPr/>
          <w:p>
            <w:pPr>
              <w:pStyle w:val="Compact"/>
              <w:jc w:val="left"/>
            </w:pPr>
            <w:r>
              <w:t xml:space="preserve">Especially IVD and implantables</w:t>
            </w:r>
          </w:p>
        </w:tc>
        <w:tc>
          <w:tcPr/>
          <w:p>
            <w:pPr>
              <w:pStyle w:val="Compact"/>
              <w:jc w:val="left"/>
            </w:pPr>
            <w:r>
              <w:t xml:space="preserve">EU (NIS2 Annex II), Germany</w:t>
            </w:r>
          </w:p>
        </w:tc>
      </w:tr>
      <w:tr>
        <w:tc>
          <w:tcPr/>
          <w:p>
            <w:pPr>
              <w:pStyle w:val="Compact"/>
              <w:jc w:val="left"/>
            </w:pPr>
            <w:r>
              <w:rPr>
                <w:b/>
                <w:bCs/>
              </w:rPr>
              <w:t xml:space="preserve">National immunization registries</w:t>
            </w:r>
          </w:p>
        </w:tc>
        <w:tc>
          <w:tcPr/>
          <w:p>
            <w:pPr>
              <w:pStyle w:val="Compact"/>
              <w:jc w:val="left"/>
            </w:pPr>
            <w:r>
              <w:t xml:space="preserve">Pandemic preparedness</w:t>
            </w:r>
          </w:p>
        </w:tc>
        <w:tc>
          <w:tcPr/>
          <w:p>
            <w:pPr>
              <w:pStyle w:val="Compact"/>
              <w:jc w:val="left"/>
            </w:pPr>
            <w:r>
              <w:t xml:space="preserve">Japan, Taiwan</w:t>
            </w:r>
          </w:p>
        </w:tc>
      </w:tr>
    </w:tbl>
    <w:bookmarkEnd w:id="306"/>
    <w:bookmarkStart w:id="307" w:name="X51b2a50cbd3b3b37b8dc4945dfb326a87dbf346"/>
    <w:p>
      <w:pPr>
        <w:pStyle w:val="Heading2"/>
      </w:pPr>
      <w:r>
        <w:t xml:space="preserve">Tier 3: Variable Inclusion (depends on national context)</w:t>
      </w:r>
    </w:p>
    <w:tbl>
      <w:tblPr>
        <w:tblStyle w:val="Table"/>
        <w:tblW w:type="pct" w:w="5000"/>
        <w:tblLayout w:type="fixed"/>
        <w:tblLook w:firstRow="1" w:lastRow="0" w:firstColumn="0" w:lastColumn="0" w:noHBand="0" w:noVBand="0" w:val="0020"/>
      </w:tblPr>
      <w:tblGrid>
        <w:gridCol w:w="1745"/>
        <w:gridCol w:w="939"/>
        <w:gridCol w:w="5235"/>
      </w:tblGrid>
      <w:tr>
        <w:trPr>
          <w:tblHeader w:val="on"/>
        </w:trPr>
        <w:tc>
          <w:tcPr/>
          <w:p>
            <w:pPr>
              <w:pStyle w:val="Compact"/>
              <w:jc w:val="left"/>
            </w:pPr>
            <w:r>
              <w:t xml:space="preserve">Entity Type</w:t>
            </w:r>
          </w:p>
        </w:tc>
        <w:tc>
          <w:tcPr/>
          <w:p>
            <w:pPr>
              <w:pStyle w:val="Compact"/>
              <w:jc w:val="left"/>
            </w:pPr>
            <w:r>
              <w:t xml:space="preserve">Notes</w:t>
            </w:r>
          </w:p>
        </w:tc>
        <w:tc>
          <w:tcPr/>
          <w:p>
            <w:pPr>
              <w:pStyle w:val="Compact"/>
              <w:jc w:val="left"/>
            </w:pPr>
            <w:r>
              <w:t xml:space="preserve">Jurisdictions with Explicit Inclusion</w:t>
            </w:r>
          </w:p>
        </w:tc>
      </w:tr>
      <w:tr>
        <w:tc>
          <w:tcPr/>
          <w:p>
            <w:pPr>
              <w:pStyle w:val="Compact"/>
              <w:jc w:val="left"/>
            </w:pPr>
            <w:r>
              <w:rPr>
                <w:b/>
                <w:bCs/>
              </w:rPr>
              <w:t xml:space="preserve">Private hospital chains</w:t>
            </w:r>
          </w:p>
        </w:tc>
        <w:tc>
          <w:tcPr/>
          <w:p>
            <w:pPr>
              <w:pStyle w:val="Compact"/>
              <w:jc w:val="left"/>
            </w:pPr>
            <w:r>
              <w:t xml:space="preserve">Based on market share or regional importance</w:t>
            </w:r>
          </w:p>
        </w:tc>
        <w:tc>
          <w:tcPr/>
          <w:p>
            <w:pPr>
              <w:pStyle w:val="Compact"/>
              <w:jc w:val="left"/>
            </w:pPr>
            <w:r>
              <w:t xml:space="preserve">Singapore, Hong Kong</w:t>
            </w:r>
          </w:p>
        </w:tc>
      </w:tr>
      <w:tr>
        <w:tc>
          <w:tcPr/>
          <w:p>
            <w:pPr>
              <w:pStyle w:val="Compact"/>
              <w:jc w:val="left"/>
            </w:pPr>
            <w:r>
              <w:rPr>
                <w:b/>
                <w:bCs/>
              </w:rPr>
              <w:t xml:space="preserve">Telehealth platforms</w:t>
            </w:r>
          </w:p>
        </w:tc>
        <w:tc>
          <w:tcPr/>
          <w:p>
            <w:pPr>
              <w:pStyle w:val="Compact"/>
              <w:jc w:val="left"/>
            </w:pPr>
            <w:r>
              <w:t xml:space="preserve">Emerging; few explicit designations yet</w:t>
            </w:r>
          </w:p>
        </w:tc>
        <w:tc>
          <w:tcPr/>
          <w:p>
            <w:pPr>
              <w:pStyle w:val="Compact"/>
              <w:jc w:val="left"/>
            </w:pPr>
            <w:r>
              <w:t xml:space="preserve">None explicitly (emerging area)</w:t>
            </w:r>
          </w:p>
        </w:tc>
      </w:tr>
      <w:tr>
        <w:tc>
          <w:tcPr/>
          <w:p>
            <w:pPr>
              <w:pStyle w:val="Compact"/>
              <w:jc w:val="left"/>
            </w:pPr>
            <w:r>
              <w:rPr>
                <w:b/>
                <w:bCs/>
              </w:rPr>
              <w:t xml:space="preserve">Health insurance claims systems</w:t>
            </w:r>
          </w:p>
        </w:tc>
        <w:tc>
          <w:tcPr/>
          <w:p>
            <w:pPr>
              <w:pStyle w:val="Compact"/>
              <w:jc w:val="left"/>
            </w:pPr>
            <w:r>
              <w:t xml:space="preserve">Administrative criticality</w:t>
            </w:r>
          </w:p>
        </w:tc>
        <w:tc>
          <w:tcPr/>
          <w:p>
            <w:pPr>
              <w:pStyle w:val="Compact"/>
              <w:jc w:val="left"/>
            </w:pPr>
            <w:r>
              <w:t xml:space="preserve">USA (implicit), Germany</w:t>
            </w:r>
          </w:p>
        </w:tc>
      </w:tr>
    </w:tbl>
    <w:bookmarkEnd w:id="307"/>
    <w:bookmarkStart w:id="308" w:name="governance-structure-options"/>
    <w:p>
      <w:pPr>
        <w:pStyle w:val="Heading2"/>
      </w:pPr>
      <w:r>
        <w:t xml:space="preserve">Governance Structure Options</w:t>
      </w:r>
    </w:p>
    <w:tbl>
      <w:tblPr>
        <w:tblStyle w:val="Table"/>
        <w:tblW w:type="pct" w:w="5000"/>
        <w:tblLayout w:type="fixed"/>
        <w:tblLook w:firstRow="1" w:lastRow="0" w:firstColumn="0" w:lastColumn="0" w:noHBand="0" w:noVBand="0" w:val="0020"/>
      </w:tblPr>
      <w:tblGrid>
        <w:gridCol w:w="1893"/>
        <w:gridCol w:w="2238"/>
        <w:gridCol w:w="1033"/>
        <w:gridCol w:w="1033"/>
        <w:gridCol w:w="1721"/>
      </w:tblGrid>
      <w:tr>
        <w:trPr>
          <w:tblHeader w:val="on"/>
        </w:trPr>
        <w:tc>
          <w:tcPr/>
          <w:p>
            <w:pPr>
              <w:pStyle w:val="Compact"/>
              <w:jc w:val="left"/>
            </w:pPr>
            <w:r>
              <w:t xml:space="preserve">Structure</w:t>
            </w:r>
          </w:p>
        </w:tc>
        <w:tc>
          <w:tcPr/>
          <w:p>
            <w:pPr>
              <w:pStyle w:val="Compact"/>
              <w:jc w:val="left"/>
            </w:pPr>
            <w:r>
              <w:t xml:space="preserve">Description</w:t>
            </w:r>
          </w:p>
        </w:tc>
        <w:tc>
          <w:tcPr/>
          <w:p>
            <w:pPr>
              <w:pStyle w:val="Compact"/>
              <w:jc w:val="left"/>
            </w:pPr>
            <w:r>
              <w:t xml:space="preserve">Pros</w:t>
            </w:r>
          </w:p>
        </w:tc>
        <w:tc>
          <w:tcPr/>
          <w:p>
            <w:pPr>
              <w:pStyle w:val="Compact"/>
              <w:jc w:val="left"/>
            </w:pPr>
            <w:r>
              <w:t xml:space="preserve">Cons</w:t>
            </w:r>
          </w:p>
        </w:tc>
        <w:tc>
          <w:tcPr/>
          <w:p>
            <w:pPr>
              <w:pStyle w:val="Compact"/>
              <w:jc w:val="left"/>
            </w:pPr>
            <w:r>
              <w:t xml:space="preserve">Examples</w:t>
            </w:r>
          </w:p>
        </w:tc>
      </w:tr>
      <w:tr>
        <w:tc>
          <w:tcPr/>
          <w:p>
            <w:pPr>
              <w:pStyle w:val="Compact"/>
              <w:jc w:val="left"/>
            </w:pPr>
            <w:r>
              <w:rPr>
                <w:b/>
                <w:bCs/>
              </w:rPr>
              <w:t xml:space="preserve">Centralized cyber agency</w:t>
            </w:r>
          </w:p>
        </w:tc>
        <w:tc>
          <w:tcPr/>
          <w:p>
            <w:pPr>
              <w:pStyle w:val="Compact"/>
              <w:jc w:val="left"/>
            </w:pPr>
            <w:r>
              <w:t xml:space="preserve">Single agency designates and supervises all CI</w:t>
            </w:r>
          </w:p>
        </w:tc>
        <w:tc>
          <w:tcPr/>
          <w:p>
            <w:pPr>
              <w:pStyle w:val="Compact"/>
              <w:jc w:val="left"/>
            </w:pPr>
            <w:r>
              <w:t xml:space="preserve">Consistency; clear accountability</w:t>
            </w:r>
          </w:p>
        </w:tc>
        <w:tc>
          <w:tcPr/>
          <w:p>
            <w:pPr>
              <w:pStyle w:val="Compact"/>
              <w:jc w:val="left"/>
            </w:pPr>
            <w:r>
              <w:t xml:space="preserve">May lack health sector expertise</w:t>
            </w:r>
          </w:p>
        </w:tc>
        <w:tc>
          <w:tcPr/>
          <w:p>
            <w:pPr>
              <w:pStyle w:val="Compact"/>
              <w:jc w:val="left"/>
            </w:pPr>
            <w:r>
              <w:t xml:space="preserve">Singapore (CSA), Israel (INCD)</w:t>
            </w:r>
          </w:p>
        </w:tc>
      </w:tr>
      <w:tr>
        <w:tc>
          <w:tcPr/>
          <w:p>
            <w:pPr>
              <w:pStyle w:val="Compact"/>
              <w:jc w:val="left"/>
            </w:pPr>
            <w:r>
              <w:rPr>
                <w:b/>
                <w:bCs/>
              </w:rPr>
              <w:t xml:space="preserve">Sector-specific regulator</w:t>
            </w:r>
          </w:p>
        </w:tc>
        <w:tc>
          <w:tcPr/>
          <w:p>
            <w:pPr>
              <w:pStyle w:val="Compact"/>
              <w:jc w:val="left"/>
            </w:pPr>
            <w:r>
              <w:t xml:space="preserve">Health ministry/agency handles health CI</w:t>
            </w:r>
          </w:p>
        </w:tc>
        <w:tc>
          <w:tcPr/>
          <w:p>
            <w:pPr>
              <w:pStyle w:val="Compact"/>
              <w:jc w:val="left"/>
            </w:pPr>
            <w:r>
              <w:t xml:space="preserve">Domain expertise; existing relationships</w:t>
            </w:r>
          </w:p>
        </w:tc>
        <w:tc>
          <w:tcPr/>
          <w:p>
            <w:pPr>
              <w:pStyle w:val="Compact"/>
              <w:jc w:val="left"/>
            </w:pPr>
            <w:r>
              <w:t xml:space="preserve">May lack cyber expertise; fragmentation</w:t>
            </w:r>
          </w:p>
        </w:tc>
        <w:tc>
          <w:tcPr/>
          <w:p>
            <w:pPr>
              <w:pStyle w:val="Compact"/>
              <w:jc w:val="left"/>
            </w:pPr>
            <w:r>
              <w:t xml:space="preserve">Japan (MHLW), France (health ministry)</w:t>
            </w:r>
          </w:p>
        </w:tc>
      </w:tr>
      <w:tr>
        <w:tc>
          <w:tcPr/>
          <w:p>
            <w:pPr>
              <w:pStyle w:val="Compact"/>
              <w:jc w:val="left"/>
            </w:pPr>
            <w:r>
              <w:rPr>
                <w:b/>
                <w:bCs/>
              </w:rPr>
              <w:t xml:space="preserve">Hybrid with sector leads</w:t>
            </w:r>
          </w:p>
        </w:tc>
        <w:tc>
          <w:tcPr/>
          <w:p>
            <w:pPr>
              <w:pStyle w:val="Compact"/>
              <w:jc w:val="left"/>
            </w:pPr>
            <w:r>
              <w:t xml:space="preserve">Central cyber coordination; sector authorities designate</w:t>
            </w:r>
          </w:p>
        </w:tc>
        <w:tc>
          <w:tcPr/>
          <w:p>
            <w:pPr>
              <w:pStyle w:val="Compact"/>
              <w:jc w:val="left"/>
            </w:pPr>
            <w:r>
              <w:t xml:space="preserve">Balances expertise; coordination</w:t>
            </w:r>
          </w:p>
        </w:tc>
        <w:tc>
          <w:tcPr/>
          <w:p>
            <w:pPr>
              <w:pStyle w:val="Compact"/>
              <w:jc w:val="left"/>
            </w:pPr>
            <w:r>
              <w:t xml:space="preserve">Complexity; inter-agency friction</w:t>
            </w:r>
          </w:p>
        </w:tc>
        <w:tc>
          <w:tcPr/>
          <w:p>
            <w:pPr>
              <w:pStyle w:val="Compact"/>
              <w:jc w:val="left"/>
            </w:pPr>
            <w:r>
              <w:t xml:space="preserve">UK, Germany, Hong Kong</w:t>
            </w:r>
          </w:p>
        </w:tc>
      </w:tr>
      <w:tr>
        <w:tc>
          <w:tcPr/>
          <w:p>
            <w:pPr>
              <w:pStyle w:val="Compact"/>
              <w:jc w:val="left"/>
            </w:pPr>
            <w:r>
              <w:rPr>
                <w:b/>
                <w:bCs/>
              </w:rPr>
              <w:t xml:space="preserve">Federated (federal countries)</w:t>
            </w:r>
          </w:p>
        </w:tc>
        <w:tc>
          <w:tcPr/>
          <w:p>
            <w:pPr>
              <w:pStyle w:val="Compact"/>
              <w:jc w:val="left"/>
            </w:pPr>
            <w:r>
              <w:t xml:space="preserve">Shared federal/state responsibility</w:t>
            </w:r>
          </w:p>
        </w:tc>
        <w:tc>
          <w:tcPr/>
          <w:p>
            <w:pPr>
              <w:pStyle w:val="Compact"/>
              <w:jc w:val="left"/>
            </w:pPr>
            <w:r>
              <w:t xml:space="preserve">Respects local context</w:t>
            </w:r>
          </w:p>
        </w:tc>
        <w:tc>
          <w:tcPr/>
          <w:p>
            <w:pPr>
              <w:pStyle w:val="Compact"/>
              <w:jc w:val="left"/>
            </w:pPr>
            <w:r>
              <w:t xml:space="preserve">Coordination challenges; gaps</w:t>
            </w:r>
          </w:p>
        </w:tc>
        <w:tc>
          <w:tcPr/>
          <w:p>
            <w:pPr>
              <w:pStyle w:val="Compact"/>
              <w:jc w:val="left"/>
            </w:pPr>
            <w:r>
              <w:t xml:space="preserve">Canada, Australia, Germany</w:t>
            </w:r>
          </w:p>
        </w:tc>
      </w:tr>
    </w:tbl>
    <w:p>
      <w:pPr>
        <w:pStyle w:val="BlockText"/>
      </w:pPr>
      <w:r>
        <w:rPr>
          <w:b/>
          <w:bCs/>
        </w:rPr>
        <w:t xml:space="preserve">Recommendation for new countries:</w:t>
      </w:r>
      <w:r>
        <w:t xml:space="preserve"> </w:t>
      </w:r>
      <w:r>
        <w:rPr>
          <w:b/>
          <w:bCs/>
        </w:rPr>
        <w:t xml:space="preserve">Hybrid model</w:t>
      </w:r>
      <w:r>
        <w:t xml:space="preserve"> </w:t>
      </w:r>
      <w:r>
        <w:t xml:space="preserve">with a central cybersecurity coordination body and sector-specific designation authority in the health ministry tends to balance expertise best.</w:t>
      </w:r>
    </w:p>
    <w:bookmarkEnd w:id="308"/>
    <w:bookmarkStart w:id="309" w:name="Xd54c60b0f41f52ae4b483f0b9c539b98dde38a3"/>
    <w:p>
      <w:pPr>
        <w:pStyle w:val="Heading2"/>
      </w:pPr>
      <w:r>
        <w:t xml:space="preserve">Threshold Design: Quantitative vs Qualitative</w:t>
      </w:r>
    </w:p>
    <w:tbl>
      <w:tblPr>
        <w:tblStyle w:val="Table"/>
        <w:tblW w:type="pct" w:w="5000"/>
        <w:tblLayout w:type="fixed"/>
        <w:tblLook w:firstRow="1" w:lastRow="0" w:firstColumn="0" w:lastColumn="0" w:noHBand="0" w:noVBand="0" w:val="0020"/>
      </w:tblPr>
      <w:tblGrid>
        <w:gridCol w:w="1721"/>
        <w:gridCol w:w="2238"/>
        <w:gridCol w:w="2238"/>
        <w:gridCol w:w="1721"/>
      </w:tblGrid>
      <w:tr>
        <w:trPr>
          <w:tblHeader w:val="on"/>
        </w:trPr>
        <w:tc>
          <w:tcPr/>
          <w:p>
            <w:pPr>
              <w:pStyle w:val="Compact"/>
              <w:jc w:val="left"/>
            </w:pPr>
            <w:r>
              <w:t xml:space="preserve">Approach</w:t>
            </w:r>
          </w:p>
        </w:tc>
        <w:tc>
          <w:tcPr/>
          <w:p>
            <w:pPr>
              <w:pStyle w:val="Compact"/>
              <w:jc w:val="left"/>
            </w:pPr>
            <w:r>
              <w:t xml:space="preserve">Description</w:t>
            </w:r>
          </w:p>
        </w:tc>
        <w:tc>
          <w:tcPr/>
          <w:p>
            <w:pPr>
              <w:pStyle w:val="Compact"/>
              <w:jc w:val="left"/>
            </w:pPr>
            <w:r>
              <w:t xml:space="preserve">When to Use</w:t>
            </w:r>
          </w:p>
        </w:tc>
        <w:tc>
          <w:tcPr/>
          <w:p>
            <w:pPr>
              <w:pStyle w:val="Compact"/>
              <w:jc w:val="left"/>
            </w:pPr>
            <w:r>
              <w:t xml:space="preserve">Examples</w:t>
            </w:r>
          </w:p>
        </w:tc>
      </w:tr>
      <w:tr>
        <w:tc>
          <w:tcPr/>
          <w:p>
            <w:pPr>
              <w:pStyle w:val="Compact"/>
              <w:jc w:val="left"/>
            </w:pPr>
            <w:r>
              <w:rPr>
                <w:b/>
                <w:bCs/>
              </w:rPr>
              <w:t xml:space="preserve">Explicit quantitative</w:t>
            </w:r>
          </w:p>
        </w:tc>
        <w:tc>
          <w:tcPr/>
          <w:p>
            <w:pPr>
              <w:pStyle w:val="Compact"/>
              <w:jc w:val="left"/>
            </w:pPr>
            <w:r>
              <w:t xml:space="preserve">Numeric thresholds (beds, cases, employees)</w:t>
            </w:r>
          </w:p>
        </w:tc>
        <w:tc>
          <w:tcPr/>
          <w:p>
            <w:pPr>
              <w:pStyle w:val="Compact"/>
              <w:jc w:val="left"/>
            </w:pPr>
            <w:r>
              <w:t xml:space="preserve">High data availability; desire for predictability</w:t>
            </w:r>
          </w:p>
        </w:tc>
        <w:tc>
          <w:tcPr/>
          <w:p>
            <w:pPr>
              <w:pStyle w:val="Compact"/>
              <w:jc w:val="left"/>
            </w:pPr>
            <w:r>
              <w:t xml:space="preserve">Germany (30,000 cases/yr), EU (≥50 employees), Australia (ICU presence)</w:t>
            </w:r>
          </w:p>
        </w:tc>
      </w:tr>
      <w:tr>
        <w:tc>
          <w:tcPr/>
          <w:p>
            <w:pPr>
              <w:pStyle w:val="Compact"/>
              <w:jc w:val="left"/>
            </w:pPr>
            <w:r>
              <w:rPr>
                <w:b/>
                <w:bCs/>
              </w:rPr>
              <w:t xml:space="preserve">Qualitative + factors</w:t>
            </w:r>
          </w:p>
        </w:tc>
        <w:tc>
          <w:tcPr/>
          <w:p>
            <w:pPr>
              <w:pStyle w:val="Compact"/>
              <w:jc w:val="left"/>
            </w:pPr>
            <w:r>
              <w:t xml:space="preserve">Multi-factor assessment; committee review</w:t>
            </w:r>
          </w:p>
        </w:tc>
        <w:tc>
          <w:tcPr/>
          <w:p>
            <w:pPr>
              <w:pStyle w:val="Compact"/>
              <w:jc w:val="left"/>
            </w:pPr>
            <w:r>
              <w:t xml:space="preserve">Lower data availability; diverse health system</w:t>
            </w:r>
          </w:p>
        </w:tc>
        <w:tc>
          <w:tcPr/>
          <w:p>
            <w:pPr>
              <w:pStyle w:val="Compact"/>
              <w:jc w:val="left"/>
            </w:pPr>
            <w:r>
              <w:t xml:space="preserve">South Korea (5-factor test), Singapore (</w:t>
            </w:r>
            <w:r>
              <w:t xml:space="preserve">“debilitating effect”</w:t>
            </w:r>
            <w:r>
              <w:t xml:space="preserve">)</w:t>
            </w:r>
          </w:p>
        </w:tc>
      </w:tr>
      <w:tr>
        <w:tc>
          <w:tcPr/>
          <w:p>
            <w:pPr>
              <w:pStyle w:val="Compact"/>
              <w:jc w:val="left"/>
            </w:pPr>
            <w:r>
              <w:rPr>
                <w:b/>
                <w:bCs/>
              </w:rPr>
              <w:t xml:space="preserve">Functional designation</w:t>
            </w:r>
          </w:p>
        </w:tc>
        <w:tc>
          <w:tcPr/>
          <w:p>
            <w:pPr>
              <w:pStyle w:val="Compact"/>
              <w:jc w:val="left"/>
            </w:pPr>
            <w:r>
              <w:t xml:space="preserve">Based on services provided, not size</w:t>
            </w:r>
          </w:p>
        </w:tc>
        <w:tc>
          <w:tcPr/>
          <w:p>
            <w:pPr>
              <w:pStyle w:val="Compact"/>
              <w:jc w:val="left"/>
            </w:pPr>
            <w:r>
              <w:t xml:space="preserve">Small but critical providers (e.g., sole provider in region)</w:t>
            </w:r>
          </w:p>
        </w:tc>
        <w:tc>
          <w:tcPr/>
          <w:p>
            <w:pPr>
              <w:pStyle w:val="Compact"/>
              <w:jc w:val="left"/>
            </w:pPr>
            <w:r>
              <w:t xml:space="preserve">EU (</w:t>
            </w:r>
            <w:r>
              <w:t xml:space="preserve">“regardless of size”</w:t>
            </w:r>
            <w:r>
              <w:t xml:space="preserve"> </w:t>
            </w:r>
            <w:r>
              <w:t xml:space="preserve">exceptions), UK, NZ</w:t>
            </w:r>
          </w:p>
        </w:tc>
      </w:tr>
      <w:tr>
        <w:tc>
          <w:tcPr/>
          <w:p>
            <w:pPr>
              <w:pStyle w:val="Compact"/>
              <w:jc w:val="left"/>
            </w:pPr>
            <w:r>
              <w:rPr>
                <w:b/>
                <w:bCs/>
              </w:rPr>
              <w:t xml:space="preserve">Registration-based</w:t>
            </w:r>
          </w:p>
        </w:tc>
        <w:tc>
          <w:tcPr/>
          <w:p>
            <w:pPr>
              <w:pStyle w:val="Compact"/>
              <w:jc w:val="left"/>
            </w:pPr>
            <w:r>
              <w:t xml:space="preserve">Entities self-assess and register; spot-check enforcement</w:t>
            </w:r>
          </w:p>
        </w:tc>
        <w:tc>
          <w:tcPr/>
          <w:p>
            <w:pPr>
              <w:pStyle w:val="Compact"/>
              <w:jc w:val="left"/>
            </w:pPr>
            <w:r>
              <w:t xml:space="preserve">Resource-constrained regulators</w:t>
            </w:r>
          </w:p>
        </w:tc>
        <w:tc>
          <w:tcPr/>
          <w:p>
            <w:pPr>
              <w:pStyle w:val="Compact"/>
              <w:jc w:val="left"/>
            </w:pPr>
            <w:r>
              <w:t xml:space="preserve">Germany (NIS2 registration), Hong Kong</w:t>
            </w:r>
          </w:p>
        </w:tc>
      </w:tr>
    </w:tbl>
    <w:p>
      <w:pPr>
        <w:pStyle w:val="BlockText"/>
      </w:pPr>
      <w:r>
        <w:rPr>
          <w:b/>
          <w:bCs/>
        </w:rPr>
        <w:t xml:space="preserve">Key insight from global analysis:</w:t>
      </w:r>
      <w:r>
        <w:t xml:space="preserve"> </w:t>
      </w:r>
      <w:r>
        <w:rPr>
          <w:b/>
          <w:bCs/>
        </w:rPr>
        <w:t xml:space="preserve">Pure quantitative thresholds miss edge cases.</w:t>
      </w:r>
      <w:r>
        <w:t xml:space="preserve"> </w:t>
      </w:r>
      <w:r>
        <w:t xml:space="preserve">Best practice combines a quantitative baseline with qualitative</w:t>
      </w:r>
      <w:r>
        <w:t xml:space="preserve"> </w:t>
      </w:r>
      <w:r>
        <w:t xml:space="preserve">“safety net”</w:t>
      </w:r>
      <w:r>
        <w:t xml:space="preserve"> </w:t>
      </w:r>
      <w:r>
        <w:t xml:space="preserve">criteria (e.g.,</w:t>
      </w:r>
      <w:r>
        <w:t xml:space="preserve"> </w:t>
      </w:r>
      <w:r>
        <w:t xml:space="preserve">“sole provider,”</w:t>
      </w:r>
      <w:r>
        <w:t xml:space="preserve"> </w:t>
      </w:r>
      <w:r>
        <w:t xml:space="preserve">“unique capability,”</w:t>
      </w:r>
      <w:r>
        <w:t xml:space="preserve"> </w:t>
      </w:r>
      <w:r>
        <w:t xml:space="preserve">“cross-border impact”</w:t>
      </w:r>
      <w:r>
        <w:t xml:space="preserve">).</w:t>
      </w:r>
    </w:p>
    <w:bookmarkEnd w:id="309"/>
    <w:bookmarkStart w:id="310" w:name="X12acc6cc6a20fb379dfedef23a722eba632d5bc"/>
    <w:p>
      <w:pPr>
        <w:pStyle w:val="Heading2"/>
      </w:pPr>
      <w:r>
        <w:t xml:space="preserve">Common Implementation Pitfalls (Lessons from Established Frameworks)</w:t>
      </w:r>
    </w:p>
    <w:tbl>
      <w:tblPr>
        <w:tblStyle w:val="Table"/>
        <w:tblW w:type="pct" w:w="5000"/>
        <w:tblLayout w:type="fixed"/>
        <w:tblLook w:firstRow="1" w:lastRow="0" w:firstColumn="0" w:lastColumn="0" w:noHBand="0" w:noVBand="0" w:val="0020"/>
      </w:tblPr>
      <w:tblGrid>
        <w:gridCol w:w="1370"/>
        <w:gridCol w:w="2436"/>
        <w:gridCol w:w="4112"/>
      </w:tblGrid>
      <w:tr>
        <w:trPr>
          <w:tblHeader w:val="on"/>
        </w:trPr>
        <w:tc>
          <w:tcPr/>
          <w:p>
            <w:pPr>
              <w:pStyle w:val="Compact"/>
              <w:jc w:val="left"/>
            </w:pPr>
            <w:r>
              <w:t xml:space="preserve">Pitfall</w:t>
            </w:r>
          </w:p>
        </w:tc>
        <w:tc>
          <w:tcPr/>
          <w:p>
            <w:pPr>
              <w:pStyle w:val="Compact"/>
              <w:jc w:val="left"/>
            </w:pPr>
            <w:r>
              <w:t xml:space="preserve">Lesson Learned</w:t>
            </w:r>
          </w:p>
        </w:tc>
        <w:tc>
          <w:tcPr/>
          <w:p>
            <w:pPr>
              <w:pStyle w:val="Compact"/>
              <w:jc w:val="left"/>
            </w:pPr>
            <w:r>
              <w:t xml:space="preserve">Countries with This Issue</w:t>
            </w:r>
          </w:p>
        </w:tc>
      </w:tr>
      <w:tr>
        <w:tc>
          <w:tcPr/>
          <w:p>
            <w:pPr>
              <w:pStyle w:val="Compact"/>
              <w:jc w:val="left"/>
            </w:pPr>
            <w:r>
              <w:rPr>
                <w:b/>
                <w:bCs/>
              </w:rPr>
              <w:t xml:space="preserve">Confidential lists become stale</w:t>
            </w:r>
          </w:p>
        </w:tc>
        <w:tc>
          <w:tcPr/>
          <w:p>
            <w:pPr>
              <w:pStyle w:val="Compact"/>
              <w:jc w:val="left"/>
            </w:pPr>
            <w:r>
              <w:t xml:space="preserve">Build in mandatory periodic review (e.g., every 2 years)</w:t>
            </w:r>
          </w:p>
        </w:tc>
        <w:tc>
          <w:tcPr/>
          <w:p>
            <w:pPr>
              <w:pStyle w:val="Compact"/>
              <w:jc w:val="left"/>
            </w:pPr>
            <w:r>
              <w:t xml:space="preserve">EU (mandates 2-year review), UK</w:t>
            </w:r>
          </w:p>
        </w:tc>
      </w:tr>
      <w:tr>
        <w:tc>
          <w:tcPr/>
          <w:p>
            <w:pPr>
              <w:pStyle w:val="Compact"/>
              <w:jc w:val="left"/>
            </w:pPr>
            <w:r>
              <w:rPr>
                <w:b/>
                <w:bCs/>
              </w:rPr>
              <w:t xml:space="preserve">Small critical providers overlooked</w:t>
            </w:r>
          </w:p>
        </w:tc>
        <w:tc>
          <w:tcPr/>
          <w:p>
            <w:pPr>
              <w:pStyle w:val="Compact"/>
              <w:jc w:val="left"/>
            </w:pPr>
            <w:r>
              <w:t xml:space="preserve">Include</w:t>
            </w:r>
            <w:r>
              <w:t xml:space="preserve"> </w:t>
            </w:r>
            <w:r>
              <w:t xml:space="preserve">“regardless of size”</w:t>
            </w:r>
            <w:r>
              <w:t xml:space="preserve"> </w:t>
            </w:r>
            <w:r>
              <w:t xml:space="preserve">exceptions for unique/sole providers</w:t>
            </w:r>
          </w:p>
        </w:tc>
        <w:tc>
          <w:tcPr/>
          <w:p>
            <w:pPr>
              <w:pStyle w:val="Compact"/>
              <w:jc w:val="left"/>
            </w:pPr>
            <w:r>
              <w:t xml:space="preserve">EU NIS2, UK</w:t>
            </w:r>
          </w:p>
        </w:tc>
      </w:tr>
      <w:tr>
        <w:tc>
          <w:tcPr/>
          <w:p>
            <w:pPr>
              <w:pStyle w:val="Compact"/>
              <w:jc w:val="left"/>
            </w:pPr>
            <w:r>
              <w:rPr>
                <w:b/>
                <w:bCs/>
              </w:rPr>
              <w:t xml:space="preserve">Supply chain not covered</w:t>
            </w:r>
          </w:p>
        </w:tc>
        <w:tc>
          <w:tcPr/>
          <w:p>
            <w:pPr>
              <w:pStyle w:val="Compact"/>
              <w:jc w:val="left"/>
            </w:pPr>
            <w:r>
              <w:t xml:space="preserve">Explicitly include MSPs, cloud providers, medical device vendors</w:t>
            </w:r>
          </w:p>
        </w:tc>
        <w:tc>
          <w:tcPr/>
          <w:p>
            <w:pPr>
              <w:pStyle w:val="Compact"/>
              <w:jc w:val="left"/>
            </w:pPr>
            <w:r>
              <w:t xml:space="preserve">UK (new Bill), EU</w:t>
            </w:r>
          </w:p>
        </w:tc>
      </w:tr>
      <w:tr>
        <w:tc>
          <w:tcPr/>
          <w:p>
            <w:pPr>
              <w:pStyle w:val="Compact"/>
              <w:jc w:val="left"/>
            </w:pPr>
            <w:r>
              <w:rPr>
                <w:b/>
                <w:bCs/>
              </w:rPr>
              <w:t xml:space="preserve">No escalation path for evolving threats</w:t>
            </w:r>
          </w:p>
        </w:tc>
        <w:tc>
          <w:tcPr/>
          <w:p>
            <w:pPr>
              <w:pStyle w:val="Compact"/>
              <w:jc w:val="left"/>
            </w:pPr>
            <w:r>
              <w:t xml:space="preserve">Build in mechanism for emergency temporary designation</w:t>
            </w:r>
          </w:p>
        </w:tc>
        <w:tc>
          <w:tcPr/>
          <w:p>
            <w:pPr>
              <w:pStyle w:val="Compact"/>
              <w:jc w:val="left"/>
            </w:pPr>
            <w:r>
              <w:t xml:space="preserve">Taiwan, South Korea</w:t>
            </w:r>
          </w:p>
        </w:tc>
      </w:tr>
      <w:tr>
        <w:tc>
          <w:tcPr/>
          <w:p>
            <w:pPr>
              <w:pStyle w:val="Compact"/>
              <w:jc w:val="left"/>
            </w:pPr>
            <w:r>
              <w:rPr>
                <w:b/>
                <w:bCs/>
              </w:rPr>
              <w:t xml:space="preserve">Reporting burden on small providers</w:t>
            </w:r>
          </w:p>
        </w:tc>
        <w:tc>
          <w:tcPr/>
          <w:p>
            <w:pPr>
              <w:pStyle w:val="Compact"/>
              <w:jc w:val="left"/>
            </w:pPr>
            <w:r>
              <w:t xml:space="preserve">Tiered reporting obligations proportionate to size/criticality</w:t>
            </w:r>
          </w:p>
        </w:tc>
        <w:tc>
          <w:tcPr/>
          <w:p>
            <w:pPr>
              <w:pStyle w:val="Compact"/>
              <w:jc w:val="left"/>
            </w:pPr>
            <w:r>
              <w:t xml:space="preserve">EU (Essential vs Important), Israel (3-tier)</w:t>
            </w:r>
          </w:p>
        </w:tc>
      </w:tr>
      <w:tr>
        <w:tc>
          <w:tcPr/>
          <w:p>
            <w:pPr>
              <w:pStyle w:val="Compact"/>
              <w:jc w:val="left"/>
            </w:pPr>
            <w:r>
              <w:rPr>
                <w:b/>
                <w:bCs/>
              </w:rPr>
              <w:t xml:space="preserve">Siloed from other CI sectors</w:t>
            </w:r>
          </w:p>
        </w:tc>
        <w:tc>
          <w:tcPr/>
          <w:p>
            <w:pPr>
              <w:pStyle w:val="Compact"/>
              <w:jc w:val="left"/>
            </w:pPr>
            <w:r>
              <w:t xml:space="preserve">Map and address interdependencies (power, telecom, water)</w:t>
            </w:r>
          </w:p>
        </w:tc>
        <w:tc>
          <w:tcPr/>
          <w:p>
            <w:pPr>
              <w:pStyle w:val="Compact"/>
              <w:jc w:val="left"/>
            </w:pPr>
            <w:r>
              <w:t xml:space="preserve">Most mature frameworks address this</w:t>
            </w:r>
          </w:p>
        </w:tc>
      </w:tr>
    </w:tbl>
    <w:bookmarkEnd w:id="310"/>
    <w:bookmarkStart w:id="311" w:name="what-to-make-public-vs-confidential"/>
    <w:p>
      <w:pPr>
        <w:pStyle w:val="Heading2"/>
      </w:pPr>
      <w:r>
        <w:t xml:space="preserve">What to Make Public vs Confidential</w:t>
      </w:r>
    </w:p>
    <w:tbl>
      <w:tblPr>
        <w:tblStyle w:val="Table"/>
        <w:tblW w:type="pct" w:w="5000"/>
        <w:tblLayout w:type="fixed"/>
        <w:tblLook w:firstRow="1" w:lastRow="0" w:firstColumn="0" w:lastColumn="0" w:noHBand="0" w:noVBand="0" w:val="0020"/>
      </w:tblPr>
      <w:tblGrid>
        <w:gridCol w:w="1875"/>
        <w:gridCol w:w="3751"/>
        <w:gridCol w:w="2292"/>
      </w:tblGrid>
      <w:tr>
        <w:trPr>
          <w:tblHeader w:val="on"/>
        </w:trPr>
        <w:tc>
          <w:tcPr/>
          <w:p>
            <w:pPr>
              <w:pStyle w:val="Compact"/>
              <w:jc w:val="left"/>
            </w:pPr>
            <w:r>
              <w:t xml:space="preserve">Element</w:t>
            </w:r>
          </w:p>
        </w:tc>
        <w:tc>
          <w:tcPr/>
          <w:p>
            <w:pPr>
              <w:pStyle w:val="Compact"/>
              <w:jc w:val="left"/>
            </w:pPr>
            <w:r>
              <w:t xml:space="preserve">Global Consensus</w:t>
            </w:r>
          </w:p>
        </w:tc>
        <w:tc>
          <w:tcPr/>
          <w:p>
            <w:pPr>
              <w:pStyle w:val="Compact"/>
              <w:jc w:val="left"/>
            </w:pPr>
            <w:r>
              <w:t xml:space="preserve">Rationale</w:t>
            </w:r>
          </w:p>
        </w:tc>
      </w:tr>
      <w:tr>
        <w:tc>
          <w:tcPr/>
          <w:p>
            <w:pPr>
              <w:pStyle w:val="Compact"/>
              <w:jc w:val="left"/>
            </w:pPr>
            <w:r>
              <w:rPr>
                <w:b/>
                <w:bCs/>
              </w:rPr>
              <w:t xml:space="preserve">Designation criteria</w:t>
            </w:r>
          </w:p>
        </w:tc>
        <w:tc>
          <w:tcPr/>
          <w:p>
            <w:pPr>
              <w:pStyle w:val="Compact"/>
              <w:jc w:val="left"/>
            </w:pPr>
            <w:r>
              <w:rPr>
                <w:b/>
                <w:bCs/>
              </w:rPr>
              <w:t xml:space="preserve">PUBLIC</w:t>
            </w:r>
          </w:p>
        </w:tc>
        <w:tc>
          <w:tcPr/>
          <w:p>
            <w:pPr>
              <w:pStyle w:val="Compact"/>
              <w:jc w:val="left"/>
            </w:pPr>
            <w:r>
              <w:t xml:space="preserve">Enables self-assessment; transparency; predictability</w:t>
            </w:r>
          </w:p>
        </w:tc>
      </w:tr>
      <w:tr>
        <w:tc>
          <w:tcPr/>
          <w:p>
            <w:pPr>
              <w:pStyle w:val="Compact"/>
              <w:jc w:val="left"/>
            </w:pPr>
            <w:r>
              <w:rPr>
                <w:b/>
                <w:bCs/>
              </w:rPr>
              <w:t xml:space="preserve">Reporting thresholds</w:t>
            </w:r>
          </w:p>
        </w:tc>
        <w:tc>
          <w:tcPr/>
          <w:p>
            <w:pPr>
              <w:pStyle w:val="Compact"/>
              <w:jc w:val="left"/>
            </w:pPr>
            <w:r>
              <w:rPr>
                <w:b/>
                <w:bCs/>
              </w:rPr>
              <w:t xml:space="preserve">PUBLIC</w:t>
            </w:r>
          </w:p>
        </w:tc>
        <w:tc>
          <w:tcPr/>
          <w:p>
            <w:pPr>
              <w:pStyle w:val="Compact"/>
              <w:jc w:val="left"/>
            </w:pPr>
            <w:r>
              <w:t xml:space="preserve">Clear compliance expectations</w:t>
            </w:r>
          </w:p>
        </w:tc>
      </w:tr>
      <w:tr>
        <w:tc>
          <w:tcPr/>
          <w:p>
            <w:pPr>
              <w:pStyle w:val="Compact"/>
              <w:jc w:val="left"/>
            </w:pPr>
            <w:r>
              <w:rPr>
                <w:b/>
                <w:bCs/>
              </w:rPr>
              <w:t xml:space="preserve">List of designated entities</w:t>
            </w:r>
          </w:p>
        </w:tc>
        <w:tc>
          <w:tcPr/>
          <w:p>
            <w:pPr>
              <w:pStyle w:val="Compact"/>
              <w:jc w:val="left"/>
            </w:pPr>
            <w:r>
              <w:rPr>
                <w:b/>
                <w:bCs/>
              </w:rPr>
              <w:t xml:space="preserve">CONFIDENTIAL</w:t>
            </w:r>
          </w:p>
        </w:tc>
        <w:tc>
          <w:tcPr/>
          <w:p>
            <w:pPr>
              <w:pStyle w:val="Compact"/>
              <w:jc w:val="left"/>
            </w:pPr>
            <w:r>
              <w:t xml:space="preserve">Avoid creating target list for attackers</w:t>
            </w:r>
          </w:p>
        </w:tc>
      </w:tr>
      <w:tr>
        <w:tc>
          <w:tcPr/>
          <w:p>
            <w:pPr>
              <w:pStyle w:val="Compact"/>
              <w:jc w:val="left"/>
            </w:pPr>
            <w:r>
              <w:rPr>
                <w:b/>
                <w:bCs/>
              </w:rPr>
              <w:t xml:space="preserve">Aggregate statistics</w:t>
            </w:r>
          </w:p>
        </w:tc>
        <w:tc>
          <w:tcPr/>
          <w:p>
            <w:pPr>
              <w:pStyle w:val="Compact"/>
              <w:jc w:val="left"/>
            </w:pPr>
            <w:r>
              <w:rPr>
                <w:b/>
                <w:bCs/>
              </w:rPr>
              <w:t xml:space="preserve">PUBLIC (anonymized)</w:t>
            </w:r>
          </w:p>
        </w:tc>
        <w:tc>
          <w:tcPr/>
          <w:p>
            <w:pPr>
              <w:pStyle w:val="Compact"/>
              <w:jc w:val="left"/>
            </w:pPr>
            <w:r>
              <w:t xml:space="preserve">Sector learning; accountability</w:t>
            </w:r>
          </w:p>
        </w:tc>
      </w:tr>
      <w:tr>
        <w:tc>
          <w:tcPr/>
          <w:p>
            <w:pPr>
              <w:pStyle w:val="Compact"/>
              <w:jc w:val="left"/>
            </w:pPr>
            <w:r>
              <w:rPr>
                <w:b/>
                <w:bCs/>
              </w:rPr>
              <w:t xml:space="preserve">Incident reports</w:t>
            </w:r>
          </w:p>
        </w:tc>
        <w:tc>
          <w:tcPr/>
          <w:p>
            <w:pPr>
              <w:pStyle w:val="Compact"/>
              <w:jc w:val="left"/>
            </w:pPr>
            <w:r>
              <w:rPr>
                <w:b/>
                <w:bCs/>
              </w:rPr>
              <w:t xml:space="preserve">CONFIDENTIAL</w:t>
            </w:r>
            <w:r>
              <w:t xml:space="preserve"> </w:t>
            </w:r>
            <w:r>
              <w:t xml:space="preserve">(individual);</w:t>
            </w:r>
            <w:r>
              <w:t xml:space="preserve"> </w:t>
            </w:r>
            <w:r>
              <w:rPr>
                <w:b/>
                <w:bCs/>
              </w:rPr>
              <w:t xml:space="preserve">PUBLIC</w:t>
            </w:r>
            <w:r>
              <w:t xml:space="preserve"> </w:t>
            </w:r>
            <w:r>
              <w:t xml:space="preserve">(aggregated/anonymized)</w:t>
            </w:r>
          </w:p>
        </w:tc>
        <w:tc>
          <w:tcPr/>
          <w:p>
            <w:pPr>
              <w:pStyle w:val="Compact"/>
              <w:jc w:val="left"/>
            </w:pPr>
            <w:r>
              <w:t xml:space="preserve">Balance learning vs security</w:t>
            </w:r>
          </w:p>
        </w:tc>
      </w:tr>
    </w:tbl>
    <w:p>
      <w:pPr>
        <w:pStyle w:val="BlockText"/>
      </w:pPr>
      <w:r>
        <w:rPr>
          <w:b/>
          <w:bCs/>
        </w:rPr>
        <w:t xml:space="preserve">South Korea exception:</w:t>
      </w:r>
      <w:r>
        <w:t xml:space="preserve"> </w:t>
      </w:r>
      <w:r>
        <w:t xml:space="preserve">Official Gazette publication of designated CII is required by law, demonstrating that transparency models can work with appropriate security measures.</w:t>
      </w:r>
    </w:p>
    <w:p>
      <w:pPr>
        <w:sectPr>
          <w:footerReference w:type="first" r:id="rId13"/>
          <w:footerReference w:type="default" r:id="rId11"/>
          <w:footerReference w:type="even" r:id="rId10"/>
          <w:type w:val="nextPage"/>
        </w:sectPr>
      </w:pPr>
    </w:p>
    <w:bookmarkEnd w:id="311"/>
    <w:bookmarkEnd w:id="312"/>
    <w:bookmarkStart w:id="319" w:name="Xcd023f1a2dc91168d9339e86dcec626e5800fdc"/>
    <w:p>
      <w:pPr>
        <w:pStyle w:val="Heading1"/>
      </w:pPr>
      <w:r>
        <w:t xml:space="preserve">Updated Recommendations for Framework Design (2025-2026)</w:t>
      </w:r>
    </w:p>
    <w:p>
      <w:pPr>
        <w:pStyle w:val="FirstParagraph"/>
      </w:pPr>
      <w:r>
        <w:t xml:space="preserve">Based on comprehensive analysis and latest global developments:</w:t>
      </w:r>
    </w:p>
    <w:bookmarkStart w:id="313" w:name="adopt-hybrid-criticality-criteria"/>
    <w:p>
      <w:pPr>
        <w:pStyle w:val="Heading2"/>
      </w:pPr>
      <w:r>
        <w:rPr>
          <w:b/>
          <w:bCs/>
        </w:rPr>
        <w:t xml:space="preserve">1. Adopt Hybrid Criticality Criteria</w:t>
      </w:r>
    </w:p>
    <w:p>
      <w:pPr>
        <w:pStyle w:val="Compact"/>
        <w:numPr>
          <w:ilvl w:val="0"/>
          <w:numId w:val="1262"/>
        </w:numPr>
      </w:pPr>
      <w:r>
        <w:rPr>
          <w:b/>
          <w:bCs/>
        </w:rPr>
        <w:t xml:space="preserve">Combine Approaches</w:t>
      </w:r>
      <w:r>
        <w:t xml:space="preserve">: Use explicit thresholds (like Germany’s 30,000 cases, Australia’s ICU presence) for objectivity, supplemented by qualitative assessment for unique critical providers.</w:t>
      </w:r>
      <w:r>
        <w:br/>
      </w:r>
    </w:p>
    <w:p>
      <w:pPr>
        <w:pStyle w:val="Compact"/>
        <w:numPr>
          <w:ilvl w:val="0"/>
          <w:numId w:val="1262"/>
        </w:numPr>
      </w:pPr>
      <w:r>
        <w:rPr>
          <w:b/>
          <w:bCs/>
        </w:rPr>
        <w:t xml:space="preserve">Include Supply Chain</w:t>
      </w:r>
      <w:r>
        <w:t xml:space="preserve">: Explicitly incorporate MSPs and critical suppliers in scope (following UK model).</w:t>
      </w:r>
      <w:r>
        <w:br/>
      </w:r>
    </w:p>
    <w:p>
      <w:pPr>
        <w:pStyle w:val="Compact"/>
        <w:numPr>
          <w:ilvl w:val="0"/>
          <w:numId w:val="1262"/>
        </w:numPr>
      </w:pPr>
      <w:r>
        <w:rPr>
          <w:b/>
          <w:bCs/>
        </w:rPr>
        <w:t xml:space="preserve">Functional + Size-Based</w:t>
      </w:r>
      <w:r>
        <w:t xml:space="preserve">: Combine functional designations (emergency services, blood/organ systems) with size-based thresholds (EU’s ≥50 employees).</w:t>
      </w:r>
    </w:p>
    <w:bookmarkEnd w:id="313"/>
    <w:bookmarkStart w:id="314" w:name="implement-proportional-three-tier-system"/>
    <w:p>
      <w:pPr>
        <w:pStyle w:val="Heading2"/>
      </w:pPr>
      <w:r>
        <w:rPr>
          <w:b/>
          <w:bCs/>
        </w:rPr>
        <w:t xml:space="preserve">2. Implement Proportional Three-Tier System</w:t>
      </w:r>
    </w:p>
    <w:p>
      <w:pPr>
        <w:pStyle w:val="Compact"/>
        <w:numPr>
          <w:ilvl w:val="0"/>
          <w:numId w:val="1263"/>
        </w:numPr>
      </w:pPr>
      <w:r>
        <w:rPr>
          <w:b/>
          <w:bCs/>
        </w:rPr>
        <w:t xml:space="preserve">Tier 1 (Essential/Critical)</w:t>
      </w:r>
      <w:r>
        <w:t xml:space="preserve">: Highest obligations, ex-ante supervision, 24/7 monitoring requirements</w:t>
      </w:r>
      <w:r>
        <w:br/>
      </w:r>
    </w:p>
    <w:p>
      <w:pPr>
        <w:pStyle w:val="Compact"/>
        <w:numPr>
          <w:ilvl w:val="0"/>
          <w:numId w:val="1263"/>
        </w:numPr>
      </w:pPr>
      <w:r>
        <w:rPr>
          <w:b/>
          <w:bCs/>
        </w:rPr>
        <w:t xml:space="preserve">Tier 2 (Important)</w:t>
      </w:r>
      <w:r>
        <w:t xml:space="preserve">: Moderate obligations, ex-post supervision, regular assessments</w:t>
      </w:r>
      <w:r>
        <w:br/>
      </w:r>
    </w:p>
    <w:p>
      <w:pPr>
        <w:pStyle w:val="Compact"/>
        <w:numPr>
          <w:ilvl w:val="0"/>
          <w:numId w:val="1263"/>
        </w:numPr>
      </w:pPr>
      <w:r>
        <w:rPr>
          <w:b/>
          <w:bCs/>
        </w:rPr>
        <w:t xml:space="preserve">Tier 3 (Baseline)</w:t>
      </w:r>
      <w:r>
        <w:t xml:space="preserve">: Basic cyber hygiene, voluntary reporting</w:t>
      </w:r>
      <w:r>
        <w:br/>
      </w:r>
    </w:p>
    <w:p>
      <w:pPr>
        <w:pStyle w:val="Compact"/>
        <w:numPr>
          <w:ilvl w:val="0"/>
          <w:numId w:val="1263"/>
        </w:numPr>
      </w:pPr>
      <w:r>
        <w:rPr>
          <w:b/>
          <w:bCs/>
        </w:rPr>
        <w:t xml:space="preserve">Align Penalties</w:t>
      </w:r>
      <w:r>
        <w:t xml:space="preserve">: Proportionate penalties based on tier and organizational size</w:t>
      </w:r>
    </w:p>
    <w:bookmarkEnd w:id="314"/>
    <w:bookmarkStart w:id="315" w:name="Xff40f0926ba6f37f82af0ef628d6b829541c71f"/>
    <w:p>
      <w:pPr>
        <w:pStyle w:val="Heading2"/>
      </w:pPr>
      <w:r>
        <w:rPr>
          <w:b/>
          <w:bCs/>
        </w:rPr>
        <w:t xml:space="preserve">3. Establish Clear Incident Reporting Thresholds</w:t>
      </w:r>
    </w:p>
    <w:p>
      <w:pPr>
        <w:pStyle w:val="Compact"/>
        <w:numPr>
          <w:ilvl w:val="0"/>
          <w:numId w:val="1264"/>
        </w:numPr>
      </w:pPr>
      <w:r>
        <w:rPr>
          <w:b/>
          <w:bCs/>
        </w:rPr>
        <w:t xml:space="preserve">Adopt UK-Style Metrics</w:t>
      </w:r>
      <w:r>
        <w:t xml:space="preserve">: Implement explicit, quantitative incident thresholds (patient counts, service disruption durations)</w:t>
      </w:r>
      <w:r>
        <w:br/>
      </w:r>
    </w:p>
    <w:p>
      <w:pPr>
        <w:pStyle w:val="Compact"/>
        <w:numPr>
          <w:ilvl w:val="0"/>
          <w:numId w:val="1264"/>
        </w:numPr>
      </w:pPr>
      <w:r>
        <w:rPr>
          <w:b/>
          <w:bCs/>
        </w:rPr>
        <w:t xml:space="preserve">Harmonize Timelines</w:t>
      </w:r>
      <w:r>
        <w:t xml:space="preserve">: Align with emerging global standards (24-hour initial, 72-hour detailed)</w:t>
      </w:r>
      <w:r>
        <w:br/>
      </w:r>
    </w:p>
    <w:p>
      <w:pPr>
        <w:pStyle w:val="Compact"/>
        <w:numPr>
          <w:ilvl w:val="0"/>
          <w:numId w:val="1264"/>
        </w:numPr>
      </w:pPr>
      <w:r>
        <w:rPr>
          <w:b/>
          <w:bCs/>
        </w:rPr>
        <w:t xml:space="preserve">Special Ransomware Reporting</w:t>
      </w:r>
      <w:r>
        <w:t xml:space="preserve">: Consider mandatory ransom payment reporting within 24 hours</w:t>
      </w:r>
    </w:p>
    <w:bookmarkEnd w:id="315"/>
    <w:bookmarkStart w:id="316" w:name="ensure-strategic-transparency"/>
    <w:p>
      <w:pPr>
        <w:pStyle w:val="Heading2"/>
      </w:pPr>
      <w:r>
        <w:rPr>
          <w:b/>
          <w:bCs/>
        </w:rPr>
        <w:t xml:space="preserve">4. Ensure Strategic Transparency</w:t>
      </w:r>
    </w:p>
    <w:p>
      <w:pPr>
        <w:pStyle w:val="Compact"/>
        <w:numPr>
          <w:ilvl w:val="0"/>
          <w:numId w:val="1265"/>
        </w:numPr>
      </w:pPr>
      <w:r>
        <w:rPr>
          <w:b/>
          <w:bCs/>
        </w:rPr>
        <w:t xml:space="preserve">Public Criteria</w:t>
      </w:r>
      <w:r>
        <w:t xml:space="preserve">: Publish clear designation criteria enabling self-assessment</w:t>
      </w:r>
      <w:r>
        <w:br/>
      </w:r>
    </w:p>
    <w:p>
      <w:pPr>
        <w:pStyle w:val="Compact"/>
        <w:numPr>
          <w:ilvl w:val="0"/>
          <w:numId w:val="1265"/>
        </w:numPr>
      </w:pPr>
      <w:r>
        <w:rPr>
          <w:b/>
          <w:bCs/>
        </w:rPr>
        <w:t xml:space="preserve">Confidential Lists</w:t>
      </w:r>
      <w:r>
        <w:t xml:space="preserve">: Maintain confidential entity lists to avoid creating target lists</w:t>
      </w:r>
      <w:r>
        <w:br/>
      </w:r>
    </w:p>
    <w:p>
      <w:pPr>
        <w:pStyle w:val="Compact"/>
        <w:numPr>
          <w:ilvl w:val="0"/>
          <w:numId w:val="1265"/>
        </w:numPr>
      </w:pPr>
      <w:r>
        <w:rPr>
          <w:b/>
          <w:bCs/>
        </w:rPr>
        <w:t xml:space="preserve">Aggregate Reporting</w:t>
      </w:r>
      <w:r>
        <w:t xml:space="preserve">: Publish anonymized sector statistics and case studies for learning</w:t>
      </w:r>
    </w:p>
    <w:bookmarkEnd w:id="316"/>
    <w:bookmarkStart w:id="317" w:name="integrate-all-hazard-resilience"/>
    <w:p>
      <w:pPr>
        <w:pStyle w:val="Heading2"/>
      </w:pPr>
      <w:r>
        <w:rPr>
          <w:b/>
          <w:bCs/>
        </w:rPr>
        <w:t xml:space="preserve">5. Integrate All-Hazard Resilience</w:t>
      </w:r>
    </w:p>
    <w:p>
      <w:pPr>
        <w:pStyle w:val="Compact"/>
        <w:numPr>
          <w:ilvl w:val="0"/>
          <w:numId w:val="1266"/>
        </w:numPr>
      </w:pPr>
      <w:r>
        <w:rPr>
          <w:b/>
          <w:bCs/>
        </w:rPr>
        <w:t xml:space="preserve">Beyond Cybersecurity</w:t>
      </w:r>
      <w:r>
        <w:t xml:space="preserve">: Require business continuity and disaster recovery planning for physical, environmental, and supply chain disruptions</w:t>
      </w:r>
      <w:r>
        <w:br/>
      </w:r>
    </w:p>
    <w:p>
      <w:pPr>
        <w:pStyle w:val="Compact"/>
        <w:numPr>
          <w:ilvl w:val="0"/>
          <w:numId w:val="1266"/>
        </w:numPr>
      </w:pPr>
      <w:r>
        <w:rPr>
          <w:b/>
          <w:bCs/>
        </w:rPr>
        <w:t xml:space="preserve">Regular Testing</w:t>
      </w:r>
      <w:r>
        <w:t xml:space="preserve">: Mandate annual or biennial testing of resilience plans</w:t>
      </w:r>
      <w:r>
        <w:br/>
      </w:r>
    </w:p>
    <w:p>
      <w:pPr>
        <w:pStyle w:val="Compact"/>
        <w:numPr>
          <w:ilvl w:val="0"/>
          <w:numId w:val="1266"/>
        </w:numPr>
      </w:pPr>
      <w:r>
        <w:rPr>
          <w:b/>
          <w:bCs/>
        </w:rPr>
        <w:t xml:space="preserve">Cross-Sector Dependencies</w:t>
      </w:r>
      <w:r>
        <w:t xml:space="preserve">: Map and address interdependencies with other critical infrastructure sectors</w:t>
      </w:r>
    </w:p>
    <w:bookmarkEnd w:id="317"/>
    <w:bookmarkStart w:id="318" w:name="future-proof-for-emerging-technologies"/>
    <w:p>
      <w:pPr>
        <w:pStyle w:val="Heading2"/>
      </w:pPr>
      <w:r>
        <w:rPr>
          <w:b/>
          <w:bCs/>
        </w:rPr>
        <w:t xml:space="preserve">6. Future-Proof for Emerging Technologies</w:t>
      </w:r>
    </w:p>
    <w:p>
      <w:pPr>
        <w:pStyle w:val="Compact"/>
        <w:numPr>
          <w:ilvl w:val="0"/>
          <w:numId w:val="1267"/>
        </w:numPr>
      </w:pPr>
      <w:r>
        <w:rPr>
          <w:b/>
          <w:bCs/>
        </w:rPr>
        <w:t xml:space="preserve">Telehealth Platforms</w:t>
      </w:r>
      <w:r>
        <w:t xml:space="preserve">: Explicitly include national/regional telehealth systems</w:t>
      </w:r>
      <w:r>
        <w:br/>
      </w:r>
    </w:p>
    <w:p>
      <w:pPr>
        <w:pStyle w:val="Compact"/>
        <w:numPr>
          <w:ilvl w:val="0"/>
          <w:numId w:val="1267"/>
        </w:numPr>
      </w:pPr>
      <w:r>
        <w:rPr>
          <w:b/>
          <w:bCs/>
        </w:rPr>
        <w:t xml:space="preserve">AI/ML Systems</w:t>
      </w:r>
      <w:r>
        <w:t xml:space="preserve">: Consider criticality of AI-driven diagnostic and treatment systems</w:t>
      </w:r>
      <w:r>
        <w:br/>
      </w:r>
    </w:p>
    <w:p>
      <w:pPr>
        <w:pStyle w:val="Compact"/>
        <w:numPr>
          <w:ilvl w:val="0"/>
          <w:numId w:val="1267"/>
        </w:numPr>
      </w:pPr>
      <w:r>
        <w:rPr>
          <w:b/>
          <w:bCs/>
        </w:rPr>
        <w:t xml:space="preserve">IoT Medical Devices</w:t>
      </w:r>
      <w:r>
        <w:t xml:space="preserve">: Address security of connected medical device ecosystems</w:t>
      </w:r>
    </w:p>
    <w:p>
      <w:pPr>
        <w:sectPr>
          <w:footerReference w:type="first" r:id="rId13"/>
          <w:footerReference w:type="default" r:id="rId11"/>
          <w:footerReference w:type="even" r:id="rId10"/>
          <w:type w:val="nextPage"/>
        </w:sectPr>
      </w:pPr>
    </w:p>
    <w:bookmarkEnd w:id="318"/>
    <w:bookmarkEnd w:id="319"/>
    <w:bookmarkStart w:id="349" w:name="X2790428f9e0cb99ca6ac3590b1f75212428ad64"/>
    <w:p>
      <w:pPr>
        <w:pStyle w:val="Heading1"/>
      </w:pPr>
      <w:r>
        <w:t xml:space="preserve">Implementation Roadmap for New Jurisdictions</w:t>
      </w:r>
    </w:p>
    <w:bookmarkStart w:id="320" w:name="quick-start-decision-tree"/>
    <w:p>
      <w:pPr>
        <w:pStyle w:val="Heading2"/>
      </w:pPr>
      <w:r>
        <w:t xml:space="preserve">Quick-Start Decision Tree</w:t>
      </w:r>
    </w:p>
    <w:p>
      <w:pPr>
        <w:pStyle w:val="SourceCode"/>
      </w:pPr>
      <w:r>
        <w:rPr>
          <w:rStyle w:val="VerbatimChar"/>
        </w:rPr>
        <w:t xml:space="preserve">START: Is health explicitly listed as a CI sector in existing national law?</w:t>
      </w:r>
      <w:r>
        <w:br/>
      </w:r>
      <w:r>
        <w:rPr>
          <w:rStyle w:val="VerbatimChar"/>
        </w:rPr>
        <w:t xml:space="preserve">  │</w:t>
      </w:r>
      <w:r>
        <w:br/>
      </w:r>
      <w:r>
        <w:rPr>
          <w:rStyle w:val="VerbatimChar"/>
        </w:rPr>
        <w:t xml:space="preserve">  ├─ YES → Proceed to Step 2 (Define health-specific criteria)</w:t>
      </w:r>
      <w:r>
        <w:br/>
      </w:r>
      <w:r>
        <w:rPr>
          <w:rStyle w:val="VerbatimChar"/>
        </w:rPr>
        <w:t xml:space="preserve">  │</w:t>
      </w:r>
      <w:r>
        <w:br/>
      </w:r>
      <w:r>
        <w:rPr>
          <w:rStyle w:val="VerbatimChar"/>
        </w:rPr>
        <w:t xml:space="preserve">  └─ NO → Step 1: Establish legal foundation</w:t>
      </w:r>
      <w:r>
        <w:br/>
      </w:r>
      <w:r>
        <w:rPr>
          <w:rStyle w:val="VerbatimChar"/>
        </w:rPr>
        <w:t xml:space="preserve">           ├─ Option A: Add health to existing CI framework</w:t>
      </w:r>
      <w:r>
        <w:br/>
      </w:r>
      <w:r>
        <w:rPr>
          <w:rStyle w:val="VerbatimChar"/>
        </w:rPr>
        <w:t xml:space="preserve">           ├─ Option B: Create sector-specific cybersecurity law</w:t>
      </w:r>
      <w:r>
        <w:br/>
      </w:r>
      <w:r>
        <w:rPr>
          <w:rStyle w:val="VerbatimChar"/>
        </w:rPr>
        <w:t xml:space="preserve">           └─ Option C: Issue ministerial regulation under existing powers</w:t>
      </w:r>
    </w:p>
    <w:bookmarkEnd w:id="320"/>
    <w:bookmarkStart w:id="321" w:name="X03857929867e8d5cc134202a7395ea7da028586"/>
    <w:p>
      <w:pPr>
        <w:pStyle w:val="Heading2"/>
      </w:pPr>
      <w:r>
        <w:t xml:space="preserve">Model Legislation Elements (Based on Global Best Practices)</w:t>
      </w:r>
    </w:p>
    <w:tbl>
      <w:tblPr>
        <w:tblStyle w:val="Table"/>
        <w:tblW w:type="pct" w:w="5000"/>
        <w:tblLayout w:type="fixed"/>
        <w:tblLook w:firstRow="1" w:lastRow="0" w:firstColumn="0" w:lastColumn="0" w:noHBand="0" w:noVBand="0" w:val="0020"/>
      </w:tblPr>
      <w:tblGrid>
        <w:gridCol w:w="1485"/>
        <w:gridCol w:w="3465"/>
        <w:gridCol w:w="2970"/>
      </w:tblGrid>
      <w:tr>
        <w:trPr>
          <w:tblHeader w:val="on"/>
        </w:trPr>
        <w:tc>
          <w:tcPr/>
          <w:p>
            <w:pPr>
              <w:pStyle w:val="Compact"/>
              <w:jc w:val="left"/>
            </w:pPr>
            <w:r>
              <w:t xml:space="preserve">Element</w:t>
            </w:r>
          </w:p>
        </w:tc>
        <w:tc>
          <w:tcPr/>
          <w:p>
            <w:pPr>
              <w:pStyle w:val="Compact"/>
              <w:jc w:val="left"/>
            </w:pPr>
            <w:r>
              <w:t xml:space="preserve">Recommended Approach</w:t>
            </w:r>
          </w:p>
        </w:tc>
        <w:tc>
          <w:tcPr/>
          <w:p>
            <w:pPr>
              <w:pStyle w:val="Compact"/>
              <w:jc w:val="left"/>
            </w:pPr>
            <w:r>
              <w:t xml:space="preserve">Reference Models</w:t>
            </w:r>
          </w:p>
        </w:tc>
      </w:tr>
      <w:tr>
        <w:tc>
          <w:tcPr/>
          <w:p>
            <w:pPr>
              <w:pStyle w:val="Compact"/>
              <w:jc w:val="left"/>
            </w:pPr>
            <w:r>
              <w:rPr>
                <w:b/>
                <w:bCs/>
              </w:rPr>
              <w:t xml:space="preserve">Definition of</w:t>
            </w:r>
            <w:r>
              <w:rPr>
                <w:b/>
                <w:bCs/>
              </w:rPr>
              <w:t xml:space="preserve"> </w:t>
            </w:r>
            <w:r>
              <w:rPr>
                <w:b/>
                <w:bCs/>
              </w:rPr>
              <w:t xml:space="preserve">“health CI”</w:t>
            </w:r>
          </w:p>
        </w:tc>
        <w:tc>
          <w:tcPr/>
          <w:p>
            <w:pPr>
              <w:pStyle w:val="Compact"/>
              <w:jc w:val="left"/>
            </w:pPr>
            <w:r>
              <w:t xml:space="preserve">Entity-based + functional criteria</w:t>
            </w:r>
          </w:p>
        </w:tc>
        <w:tc>
          <w:tcPr/>
          <w:p>
            <w:pPr>
              <w:pStyle w:val="Compact"/>
              <w:jc w:val="left"/>
            </w:pPr>
            <w:r>
              <w:t xml:space="preserve">EU NIS2 (healthcare providers), Australia (ICU hospitals)</w:t>
            </w:r>
          </w:p>
        </w:tc>
      </w:tr>
      <w:tr>
        <w:tc>
          <w:tcPr/>
          <w:p>
            <w:pPr>
              <w:pStyle w:val="Compact"/>
              <w:jc w:val="left"/>
            </w:pPr>
            <w:r>
              <w:rPr>
                <w:b/>
                <w:bCs/>
              </w:rPr>
              <w:t xml:space="preserve">Designation authority</w:t>
            </w:r>
          </w:p>
        </w:tc>
        <w:tc>
          <w:tcPr/>
          <w:p>
            <w:pPr>
              <w:pStyle w:val="Compact"/>
              <w:jc w:val="left"/>
            </w:pPr>
            <w:r>
              <w:t xml:space="preserve">Health ministry with cybersecurity agency coordination</w:t>
            </w:r>
          </w:p>
        </w:tc>
        <w:tc>
          <w:tcPr/>
          <w:p>
            <w:pPr>
              <w:pStyle w:val="Compact"/>
              <w:jc w:val="left"/>
            </w:pPr>
            <w:r>
              <w:t xml:space="preserve">Hong Kong, Germany, UK</w:t>
            </w:r>
          </w:p>
        </w:tc>
      </w:tr>
      <w:tr>
        <w:tc>
          <w:tcPr/>
          <w:p>
            <w:pPr>
              <w:pStyle w:val="Compact"/>
              <w:jc w:val="left"/>
            </w:pPr>
            <w:r>
              <w:rPr>
                <w:b/>
                <w:bCs/>
              </w:rPr>
              <w:t xml:space="preserve">Scope criteria</w:t>
            </w:r>
          </w:p>
        </w:tc>
        <w:tc>
          <w:tcPr/>
          <w:p>
            <w:pPr>
              <w:pStyle w:val="Compact"/>
              <w:jc w:val="left"/>
            </w:pPr>
            <w:r>
              <w:t xml:space="preserve">Quantitative baseline + qualitative exceptions</w:t>
            </w:r>
          </w:p>
        </w:tc>
        <w:tc>
          <w:tcPr/>
          <w:p>
            <w:pPr>
              <w:pStyle w:val="Compact"/>
              <w:jc w:val="left"/>
            </w:pPr>
            <w:r>
              <w:t xml:space="preserve">Germany + EU hybrid</w:t>
            </w:r>
          </w:p>
        </w:tc>
      </w:tr>
      <w:tr>
        <w:tc>
          <w:tcPr/>
          <w:p>
            <w:pPr>
              <w:pStyle w:val="Compact"/>
              <w:jc w:val="left"/>
            </w:pPr>
            <w:r>
              <w:rPr>
                <w:b/>
                <w:bCs/>
              </w:rPr>
              <w:t xml:space="preserve">Obligations structure</w:t>
            </w:r>
          </w:p>
        </w:tc>
        <w:tc>
          <w:tcPr/>
          <w:p>
            <w:pPr>
              <w:pStyle w:val="Compact"/>
              <w:jc w:val="left"/>
            </w:pPr>
            <w:r>
              <w:t xml:space="preserve">Tiered (Essential/Important or Tier 1/2/3)</w:t>
            </w:r>
          </w:p>
        </w:tc>
        <w:tc>
          <w:tcPr/>
          <w:p>
            <w:pPr>
              <w:pStyle w:val="Compact"/>
              <w:jc w:val="left"/>
            </w:pPr>
            <w:r>
              <w:t xml:space="preserve">EU NIS2, Israel</w:t>
            </w:r>
          </w:p>
        </w:tc>
      </w:tr>
      <w:tr>
        <w:tc>
          <w:tcPr/>
          <w:p>
            <w:pPr>
              <w:pStyle w:val="Compact"/>
              <w:jc w:val="left"/>
            </w:pPr>
            <w:r>
              <w:rPr>
                <w:b/>
                <w:bCs/>
              </w:rPr>
              <w:t xml:space="preserve">Incident reporting</w:t>
            </w:r>
          </w:p>
        </w:tc>
        <w:tc>
          <w:tcPr/>
          <w:p>
            <w:pPr>
              <w:pStyle w:val="Compact"/>
              <w:jc w:val="left"/>
            </w:pPr>
            <w:r>
              <w:t xml:space="preserve">24h early warning / 72h detailed / 30d final</w:t>
            </w:r>
          </w:p>
        </w:tc>
        <w:tc>
          <w:tcPr/>
          <w:p>
            <w:pPr>
              <w:pStyle w:val="Compact"/>
              <w:jc w:val="left"/>
            </w:pPr>
            <w:r>
              <w:t xml:space="preserve">EU NIS2, Norway, Hong Kong</w:t>
            </w:r>
          </w:p>
        </w:tc>
      </w:tr>
      <w:tr>
        <w:tc>
          <w:tcPr/>
          <w:p>
            <w:pPr>
              <w:pStyle w:val="Compact"/>
              <w:jc w:val="left"/>
            </w:pPr>
            <w:r>
              <w:rPr>
                <w:b/>
                <w:bCs/>
              </w:rPr>
              <w:t xml:space="preserve">Penalties</w:t>
            </w:r>
          </w:p>
        </w:tc>
        <w:tc>
          <w:tcPr/>
          <w:p>
            <w:pPr>
              <w:pStyle w:val="Compact"/>
              <w:jc w:val="left"/>
            </w:pPr>
            <w:r>
              <w:t xml:space="preserve">Proportionate to size; administrative fines + compliance orders</w:t>
            </w:r>
          </w:p>
        </w:tc>
        <w:tc>
          <w:tcPr/>
          <w:p>
            <w:pPr>
              <w:pStyle w:val="Compact"/>
              <w:jc w:val="left"/>
            </w:pPr>
            <w:r>
              <w:t xml:space="preserve">EU, Hong Kong</w:t>
            </w:r>
          </w:p>
        </w:tc>
      </w:tr>
      <w:tr>
        <w:tc>
          <w:tcPr/>
          <w:p>
            <w:pPr>
              <w:pStyle w:val="Compact"/>
              <w:jc w:val="left"/>
            </w:pPr>
            <w:r>
              <w:rPr>
                <w:b/>
                <w:bCs/>
              </w:rPr>
              <w:t xml:space="preserve">Review cycle</w:t>
            </w:r>
          </w:p>
        </w:tc>
        <w:tc>
          <w:tcPr/>
          <w:p>
            <w:pPr>
              <w:pStyle w:val="Compact"/>
              <w:jc w:val="left"/>
            </w:pPr>
            <w:r>
              <w:t xml:space="preserve">Mandatory 2-year review of designated list</w:t>
            </w:r>
          </w:p>
        </w:tc>
        <w:tc>
          <w:tcPr/>
          <w:p>
            <w:pPr>
              <w:pStyle w:val="Compact"/>
              <w:jc w:val="left"/>
            </w:pPr>
            <w:r>
              <w:t xml:space="preserve">EU NIS2</w:t>
            </w:r>
          </w:p>
        </w:tc>
      </w:tr>
    </w:tbl>
    <w:bookmarkEnd w:id="321"/>
    <w:bookmarkStart w:id="322" w:name="phase-1-foundation-months-1-6"/>
    <w:p>
      <w:pPr>
        <w:pStyle w:val="Heading2"/>
      </w:pPr>
      <w:r>
        <w:t xml:space="preserve">Phase 1: Foundation (Months 1-6)</w:t>
      </w:r>
    </w:p>
    <w:bookmarkEnd w:id="322"/>
    <w:bookmarkStart w:id="323" w:name="legal-authority-assessment"/>
    <w:p>
      <w:pPr>
        <w:pStyle w:val="Heading2"/>
      </w:pPr>
      <w:r>
        <w:t xml:space="preserve">1.1 Legal Authority Assessment</w:t>
      </w:r>
    </w:p>
    <w:p>
      <w:pPr>
        <w:pStyle w:val="Compact"/>
        <w:numPr>
          <w:ilvl w:val="0"/>
          <w:numId w:val="1268"/>
        </w:numPr>
      </w:pPr>
      <w:r>
        <w:t xml:space="preserve">Review existing cybersecurity/CI laws for health sector applicability</w:t>
      </w:r>
    </w:p>
    <w:p>
      <w:pPr>
        <w:pStyle w:val="Compact"/>
        <w:numPr>
          <w:ilvl w:val="0"/>
          <w:numId w:val="1269"/>
        </w:numPr>
      </w:pPr>
      <w:r>
        <w:t xml:space="preserve">Identify gaps requiring new legislation vs ministerial regulation</w:t>
      </w:r>
    </w:p>
    <w:p>
      <w:pPr>
        <w:pStyle w:val="Compact"/>
        <w:numPr>
          <w:ilvl w:val="0"/>
          <w:numId w:val="1270"/>
        </w:numPr>
      </w:pPr>
      <w:r>
        <w:t xml:space="preserve">Map existing health sector regulatory bodies and their powers</w:t>
      </w:r>
    </w:p>
    <w:bookmarkEnd w:id="323"/>
    <w:bookmarkStart w:id="324" w:name="sector-risk-assessment"/>
    <w:p>
      <w:pPr>
        <w:pStyle w:val="Heading2"/>
      </w:pPr>
      <w:r>
        <w:t xml:space="preserve">1.2 Sector Risk Assessment</w:t>
      </w:r>
    </w:p>
    <w:p>
      <w:pPr>
        <w:pStyle w:val="Compact"/>
        <w:numPr>
          <w:ilvl w:val="0"/>
          <w:numId w:val="1271"/>
        </w:numPr>
      </w:pPr>
      <w:r>
        <w:t xml:space="preserve">Inventory major health information systems in the country</w:t>
      </w:r>
    </w:p>
    <w:p>
      <w:pPr>
        <w:pStyle w:val="Compact"/>
        <w:numPr>
          <w:ilvl w:val="0"/>
          <w:numId w:val="1272"/>
        </w:numPr>
      </w:pPr>
      <w:r>
        <w:t xml:space="preserve">Identify single points of failure (sole providers, national systems)</w:t>
      </w:r>
    </w:p>
    <w:p>
      <w:pPr>
        <w:pStyle w:val="Compact"/>
        <w:numPr>
          <w:ilvl w:val="0"/>
          <w:numId w:val="1273"/>
        </w:numPr>
      </w:pPr>
      <w:r>
        <w:t xml:space="preserve">Assess current incident reporting and cyber hygiene baseline</w:t>
      </w:r>
    </w:p>
    <w:bookmarkEnd w:id="324"/>
    <w:bookmarkStart w:id="325" w:name="stakeholder-mapping"/>
    <w:p>
      <w:pPr>
        <w:pStyle w:val="Heading2"/>
      </w:pPr>
      <w:r>
        <w:t xml:space="preserve">1.3 Stakeholder Mapping</w:t>
      </w:r>
    </w:p>
    <w:p>
      <w:pPr>
        <w:pStyle w:val="Compact"/>
        <w:numPr>
          <w:ilvl w:val="0"/>
          <w:numId w:val="1274"/>
        </w:numPr>
      </w:pPr>
      <w:r>
        <w:t xml:space="preserve">Identify designated authority (cybersecurity agency, health ministry, or hybrid)</w:t>
      </w:r>
    </w:p>
    <w:p>
      <w:pPr>
        <w:pStyle w:val="Compact"/>
        <w:numPr>
          <w:ilvl w:val="0"/>
          <w:numId w:val="1275"/>
        </w:numPr>
      </w:pPr>
      <w:r>
        <w:t xml:space="preserve">Map hospitals, labs, insurers, technology vendors in health sector</w:t>
      </w:r>
    </w:p>
    <w:p>
      <w:pPr>
        <w:pStyle w:val="Compact"/>
        <w:numPr>
          <w:ilvl w:val="0"/>
          <w:numId w:val="1276"/>
        </w:numPr>
      </w:pPr>
      <w:r>
        <w:t xml:space="preserve">Establish working group with sector representatives</w:t>
      </w:r>
    </w:p>
    <w:bookmarkEnd w:id="325"/>
    <w:bookmarkStart w:id="326" w:name="phase-2-design-consultation-months-7-12"/>
    <w:p>
      <w:pPr>
        <w:pStyle w:val="Heading2"/>
      </w:pPr>
      <w:r>
        <w:t xml:space="preserve">Phase 2: Design &amp; Consultation (Months 7-12)</w:t>
      </w:r>
    </w:p>
    <w:bookmarkEnd w:id="326"/>
    <w:bookmarkStart w:id="327" w:name="develop-designation-criteria"/>
    <w:p>
      <w:pPr>
        <w:pStyle w:val="Heading2"/>
      </w:pPr>
      <w:r>
        <w:t xml:space="preserve">2.1 Develop Designation Criteria</w:t>
      </w:r>
    </w:p>
    <w:p>
      <w:pPr>
        <w:pStyle w:val="Compact"/>
        <w:numPr>
          <w:ilvl w:val="0"/>
          <w:numId w:val="1277"/>
        </w:numPr>
      </w:pPr>
      <w:r>
        <w:t xml:space="preserve">Define quantitative thresholds (e.g., bed count, case volume, employee count)</w:t>
      </w:r>
    </w:p>
    <w:p>
      <w:pPr>
        <w:pStyle w:val="Compact"/>
        <w:numPr>
          <w:ilvl w:val="0"/>
          <w:numId w:val="1278"/>
        </w:numPr>
      </w:pPr>
      <w:r>
        <w:t xml:space="preserve">Add qualitative safety-net criteria (sole provider, unique capability)</w:t>
      </w:r>
    </w:p>
    <w:p>
      <w:pPr>
        <w:pStyle w:val="Compact"/>
        <w:numPr>
          <w:ilvl w:val="0"/>
          <w:numId w:val="1279"/>
        </w:numPr>
      </w:pPr>
      <w:r>
        <w:t xml:space="preserve">Draft</w:t>
      </w:r>
      <w:r>
        <w:t xml:space="preserve"> </w:t>
      </w:r>
      <w:r>
        <w:t xml:space="preserve">“regardless of size”</w:t>
      </w:r>
      <w:r>
        <w:t xml:space="preserve"> </w:t>
      </w:r>
      <w:r>
        <w:t xml:space="preserve">exception triggers</w:t>
      </w:r>
    </w:p>
    <w:bookmarkEnd w:id="327"/>
    <w:bookmarkStart w:id="328" w:name="draft-obligations-framework"/>
    <w:p>
      <w:pPr>
        <w:pStyle w:val="Heading2"/>
      </w:pPr>
      <w:r>
        <w:t xml:space="preserve">2.2 Draft Obligations Framework</w:t>
      </w:r>
    </w:p>
    <w:p>
      <w:pPr>
        <w:pStyle w:val="Compact"/>
        <w:numPr>
          <w:ilvl w:val="0"/>
          <w:numId w:val="1280"/>
        </w:numPr>
      </w:pPr>
      <w:r>
        <w:t xml:space="preserve">Tier 1 (Essential): Risk management plan, security officer, 24h reporting, annual audit</w:t>
      </w:r>
    </w:p>
    <w:p>
      <w:pPr>
        <w:pStyle w:val="Compact"/>
        <w:numPr>
          <w:ilvl w:val="0"/>
          <w:numId w:val="1281"/>
        </w:numPr>
      </w:pPr>
      <w:r>
        <w:t xml:space="preserve">Tier 2 (Important): Risk management, 72h reporting, biennial assessment</w:t>
      </w:r>
    </w:p>
    <w:p>
      <w:pPr>
        <w:pStyle w:val="Compact"/>
        <w:numPr>
          <w:ilvl w:val="0"/>
          <w:numId w:val="1282"/>
        </w:numPr>
      </w:pPr>
      <w:r>
        <w:t xml:space="preserve">Tier 3 (Baseline): Basic cyber hygiene, voluntary reporting</w:t>
      </w:r>
    </w:p>
    <w:bookmarkEnd w:id="328"/>
    <w:bookmarkStart w:id="329" w:name="stakeholder-consultation"/>
    <w:p>
      <w:pPr>
        <w:pStyle w:val="Heading2"/>
      </w:pPr>
      <w:r>
        <w:t xml:space="preserve">2.3 Stakeholder Consultation</w:t>
      </w:r>
    </w:p>
    <w:p>
      <w:pPr>
        <w:pStyle w:val="Compact"/>
        <w:numPr>
          <w:ilvl w:val="0"/>
          <w:numId w:val="1283"/>
        </w:numPr>
      </w:pPr>
      <w:r>
        <w:t xml:space="preserve">Publish draft framework for public comment</w:t>
      </w:r>
    </w:p>
    <w:p>
      <w:pPr>
        <w:pStyle w:val="Compact"/>
        <w:numPr>
          <w:ilvl w:val="0"/>
          <w:numId w:val="1284"/>
        </w:numPr>
      </w:pPr>
      <w:r>
        <w:t xml:space="preserve">Conduct workshops with hospital associations, health IT vendors</w:t>
      </w:r>
    </w:p>
    <w:p>
      <w:pPr>
        <w:pStyle w:val="Compact"/>
        <w:numPr>
          <w:ilvl w:val="0"/>
          <w:numId w:val="1285"/>
        </w:numPr>
      </w:pPr>
      <w:r>
        <w:t xml:space="preserve">Align with telecom, energy, finance CI frameworks on cross-sector issues</w:t>
      </w:r>
    </w:p>
    <w:bookmarkEnd w:id="329"/>
    <w:bookmarkStart w:id="330" w:name="Xc6e0fd78d2ef484c967ebdccda7001206bcf956"/>
    <w:p>
      <w:pPr>
        <w:pStyle w:val="Heading2"/>
      </w:pPr>
      <w:r>
        <w:t xml:space="preserve">Phase 3: Pilot Implementation (Months 13-18)</w:t>
      </w:r>
    </w:p>
    <w:bookmarkEnd w:id="330"/>
    <w:bookmarkStart w:id="331" w:name="pilot-designation"/>
    <w:p>
      <w:pPr>
        <w:pStyle w:val="Heading2"/>
      </w:pPr>
      <w:r>
        <w:t xml:space="preserve">3.1 Pilot Designation</w:t>
      </w:r>
    </w:p>
    <w:p>
      <w:pPr>
        <w:pStyle w:val="Compact"/>
        <w:numPr>
          <w:ilvl w:val="0"/>
          <w:numId w:val="1286"/>
        </w:numPr>
      </w:pPr>
      <w:r>
        <w:t xml:space="preserve">Designate 5-10 largest/most critical entities for pilot</w:t>
      </w:r>
    </w:p>
    <w:p>
      <w:pPr>
        <w:pStyle w:val="Compact"/>
        <w:numPr>
          <w:ilvl w:val="0"/>
          <w:numId w:val="1287"/>
        </w:numPr>
      </w:pPr>
      <w:r>
        <w:t xml:space="preserve">Test designation process and notification procedures</w:t>
      </w:r>
    </w:p>
    <w:p>
      <w:pPr>
        <w:pStyle w:val="Compact"/>
        <w:numPr>
          <w:ilvl w:val="0"/>
          <w:numId w:val="1288"/>
        </w:numPr>
      </w:pPr>
      <w:r>
        <w:t xml:space="preserve">Refine criteria based on pilot feedback</w:t>
      </w:r>
    </w:p>
    <w:bookmarkEnd w:id="331"/>
    <w:bookmarkStart w:id="332" w:name="develop-operational-guidance"/>
    <w:p>
      <w:pPr>
        <w:pStyle w:val="Heading2"/>
      </w:pPr>
      <w:r>
        <w:t xml:space="preserve">3.2 Develop Operational Guidance</w:t>
      </w:r>
    </w:p>
    <w:p>
      <w:pPr>
        <w:pStyle w:val="Compact"/>
        <w:numPr>
          <w:ilvl w:val="0"/>
          <w:numId w:val="1289"/>
        </w:numPr>
      </w:pPr>
      <w:r>
        <w:t xml:space="preserve">Create sector-specific security controls guidance (reference: Germany B3S, UK CAF)</w:t>
      </w:r>
    </w:p>
    <w:p>
      <w:pPr>
        <w:pStyle w:val="Compact"/>
        <w:numPr>
          <w:ilvl w:val="0"/>
          <w:numId w:val="1290"/>
        </w:numPr>
      </w:pPr>
      <w:r>
        <w:t xml:space="preserve">Develop incident reporting forms and submission system</w:t>
      </w:r>
    </w:p>
    <w:p>
      <w:pPr>
        <w:pStyle w:val="Compact"/>
        <w:numPr>
          <w:ilvl w:val="0"/>
          <w:numId w:val="1291"/>
        </w:numPr>
      </w:pPr>
      <w:r>
        <w:t xml:space="preserve">Establish information-sharing mechanisms (CERT, sectoral ISAC)</w:t>
      </w:r>
    </w:p>
    <w:bookmarkEnd w:id="332"/>
    <w:bookmarkStart w:id="333" w:name="capacity-building"/>
    <w:p>
      <w:pPr>
        <w:pStyle w:val="Heading2"/>
      </w:pPr>
      <w:r>
        <w:t xml:space="preserve">3.3 Capacity Building</w:t>
      </w:r>
    </w:p>
    <w:p>
      <w:pPr>
        <w:pStyle w:val="Compact"/>
        <w:numPr>
          <w:ilvl w:val="0"/>
          <w:numId w:val="1292"/>
        </w:numPr>
      </w:pPr>
      <w:r>
        <w:t xml:space="preserve">Train designated entities on compliance requirements</w:t>
      </w:r>
    </w:p>
    <w:p>
      <w:pPr>
        <w:pStyle w:val="Compact"/>
        <w:numPr>
          <w:ilvl w:val="0"/>
          <w:numId w:val="1293"/>
        </w:numPr>
      </w:pPr>
      <w:r>
        <w:t xml:space="preserve">Train regulatory staff on supervision and enforcement</w:t>
      </w:r>
    </w:p>
    <w:p>
      <w:pPr>
        <w:pStyle w:val="Compact"/>
        <w:numPr>
          <w:ilvl w:val="0"/>
          <w:numId w:val="1294"/>
        </w:numPr>
      </w:pPr>
      <w:r>
        <w:t xml:space="preserve">Establish help desk for compliance questions</w:t>
      </w:r>
    </w:p>
    <w:bookmarkEnd w:id="333"/>
    <w:bookmarkStart w:id="334" w:name="phase-4-full-implementation-months-19-24"/>
    <w:p>
      <w:pPr>
        <w:pStyle w:val="Heading2"/>
      </w:pPr>
      <w:r>
        <w:t xml:space="preserve">Phase 4: Full Implementation (Months 19-24)</w:t>
      </w:r>
    </w:p>
    <w:bookmarkEnd w:id="334"/>
    <w:bookmarkStart w:id="335" w:name="full-rollout"/>
    <w:p>
      <w:pPr>
        <w:pStyle w:val="Heading2"/>
      </w:pPr>
      <w:r>
        <w:t xml:space="preserve">4.1 Full Rollout</w:t>
      </w:r>
    </w:p>
    <w:p>
      <w:pPr>
        <w:pStyle w:val="Compact"/>
        <w:numPr>
          <w:ilvl w:val="0"/>
          <w:numId w:val="1295"/>
        </w:numPr>
      </w:pPr>
      <w:r>
        <w:t xml:space="preserve">Designate all in-scope entities based on final criteria</w:t>
      </w:r>
    </w:p>
    <w:p>
      <w:pPr>
        <w:pStyle w:val="Compact"/>
        <w:numPr>
          <w:ilvl w:val="0"/>
          <w:numId w:val="1296"/>
        </w:numPr>
      </w:pPr>
      <w:r>
        <w:t xml:space="preserve">Activate mandatory incident reporting</w:t>
      </w:r>
    </w:p>
    <w:p>
      <w:pPr>
        <w:pStyle w:val="Compact"/>
        <w:numPr>
          <w:ilvl w:val="0"/>
          <w:numId w:val="1297"/>
        </w:numPr>
      </w:pPr>
      <w:r>
        <w:t xml:space="preserve">Begin compliance monitoring</w:t>
      </w:r>
    </w:p>
    <w:bookmarkEnd w:id="335"/>
    <w:bookmarkStart w:id="336" w:name="enforcement-framework"/>
    <w:p>
      <w:pPr>
        <w:pStyle w:val="Heading2"/>
      </w:pPr>
      <w:r>
        <w:t xml:space="preserve">4.2 Enforcement Framework</w:t>
      </w:r>
    </w:p>
    <w:p>
      <w:pPr>
        <w:pStyle w:val="Compact"/>
        <w:numPr>
          <w:ilvl w:val="0"/>
          <w:numId w:val="1298"/>
        </w:numPr>
      </w:pPr>
      <w:r>
        <w:t xml:space="preserve">Establish graduated enforcement (warning → compliance order → fine)</w:t>
      </w:r>
    </w:p>
    <w:p>
      <w:pPr>
        <w:pStyle w:val="Compact"/>
        <w:numPr>
          <w:ilvl w:val="0"/>
          <w:numId w:val="1299"/>
        </w:numPr>
      </w:pPr>
      <w:r>
        <w:t xml:space="preserve">Publish anonymized enforcement statistics for sector learning</w:t>
      </w:r>
    </w:p>
    <w:p>
      <w:pPr>
        <w:pStyle w:val="Compact"/>
        <w:numPr>
          <w:ilvl w:val="0"/>
          <w:numId w:val="1300"/>
        </w:numPr>
      </w:pPr>
      <w:r>
        <w:t xml:space="preserve">Create appeals/review mechanism</w:t>
      </w:r>
    </w:p>
    <w:bookmarkEnd w:id="336"/>
    <w:bookmarkStart w:id="337" w:name="cross-sector-integration"/>
    <w:p>
      <w:pPr>
        <w:pStyle w:val="Heading2"/>
      </w:pPr>
      <w:r>
        <w:t xml:space="preserve">4.3 Cross-Sector Integration</w:t>
      </w:r>
    </w:p>
    <w:p>
      <w:pPr>
        <w:pStyle w:val="Compact"/>
        <w:numPr>
          <w:ilvl w:val="0"/>
          <w:numId w:val="1301"/>
        </w:numPr>
      </w:pPr>
      <w:r>
        <w:t xml:space="preserve">Map interdependencies with power, telecom, water CI</w:t>
      </w:r>
    </w:p>
    <w:p>
      <w:pPr>
        <w:pStyle w:val="Compact"/>
        <w:numPr>
          <w:ilvl w:val="0"/>
          <w:numId w:val="1302"/>
        </w:numPr>
      </w:pPr>
      <w:r>
        <w:t xml:space="preserve">Establish joint incident response protocols</w:t>
      </w:r>
    </w:p>
    <w:p>
      <w:pPr>
        <w:pStyle w:val="Compact"/>
        <w:numPr>
          <w:ilvl w:val="0"/>
          <w:numId w:val="1303"/>
        </w:numPr>
      </w:pPr>
      <w:r>
        <w:t xml:space="preserve">Participate in national/regional CI coordination mechanisms</w:t>
      </w:r>
    </w:p>
    <w:bookmarkEnd w:id="337"/>
    <w:bookmarkStart w:id="338" w:name="phase-5-maturity-evolution-ongoing"/>
    <w:p>
      <w:pPr>
        <w:pStyle w:val="Heading2"/>
      </w:pPr>
      <w:r>
        <w:t xml:space="preserve">Phase 5: Maturity &amp; Evolution (Ongoing)</w:t>
      </w:r>
    </w:p>
    <w:bookmarkEnd w:id="338"/>
    <w:bookmarkStart w:id="339" w:name="continuous-improvement"/>
    <w:p>
      <w:pPr>
        <w:pStyle w:val="Heading2"/>
      </w:pPr>
      <w:r>
        <w:t xml:space="preserve">5.1 Continuous Improvement</w:t>
      </w:r>
    </w:p>
    <w:p>
      <w:pPr>
        <w:pStyle w:val="Compact"/>
        <w:numPr>
          <w:ilvl w:val="0"/>
          <w:numId w:val="1304"/>
        </w:numPr>
      </w:pPr>
      <w:r>
        <w:t xml:space="preserve">Conduct annual review of designation criteria effectiveness</w:t>
      </w:r>
    </w:p>
    <w:p>
      <w:pPr>
        <w:pStyle w:val="Compact"/>
        <w:numPr>
          <w:ilvl w:val="0"/>
          <w:numId w:val="1305"/>
        </w:numPr>
      </w:pPr>
      <w:r>
        <w:t xml:space="preserve">Update thresholds based on sector evolution (e.g., telehealth growth)</w:t>
      </w:r>
    </w:p>
    <w:p>
      <w:pPr>
        <w:pStyle w:val="Compact"/>
        <w:numPr>
          <w:ilvl w:val="0"/>
          <w:numId w:val="1306"/>
        </w:numPr>
      </w:pPr>
      <w:r>
        <w:t xml:space="preserve">Incorporate lessons from incident response</w:t>
      </w:r>
    </w:p>
    <w:bookmarkEnd w:id="339"/>
    <w:bookmarkStart w:id="340" w:name="international-alignment"/>
    <w:p>
      <w:pPr>
        <w:pStyle w:val="Heading2"/>
      </w:pPr>
      <w:r>
        <w:t xml:space="preserve">5.2 International Alignment</w:t>
      </w:r>
    </w:p>
    <w:p>
      <w:pPr>
        <w:pStyle w:val="Compact"/>
        <w:numPr>
          <w:ilvl w:val="0"/>
          <w:numId w:val="1307"/>
        </w:numPr>
      </w:pPr>
      <w:r>
        <w:t xml:space="preserve">Monitor and align with regional frameworks (EU NIS2, ASEAN, etc.)</w:t>
      </w:r>
    </w:p>
    <w:p>
      <w:pPr>
        <w:pStyle w:val="Compact"/>
        <w:numPr>
          <w:ilvl w:val="0"/>
          <w:numId w:val="1308"/>
        </w:numPr>
      </w:pPr>
      <w:r>
        <w:t xml:space="preserve">Participate in international information-sharing networks</w:t>
      </w:r>
    </w:p>
    <w:p>
      <w:pPr>
        <w:pStyle w:val="Compact"/>
        <w:numPr>
          <w:ilvl w:val="0"/>
          <w:numId w:val="1309"/>
        </w:numPr>
      </w:pPr>
      <w:r>
        <w:t xml:space="preserve">Consider mutual recognition agreements for cross-border operators</w:t>
      </w:r>
    </w:p>
    <w:bookmarkEnd w:id="340"/>
    <w:bookmarkStart w:id="341" w:name="emerging-technology-integration"/>
    <w:p>
      <w:pPr>
        <w:pStyle w:val="Heading2"/>
      </w:pPr>
      <w:r>
        <w:t xml:space="preserve">5.3 Emerging Technology Integration</w:t>
      </w:r>
    </w:p>
    <w:p>
      <w:pPr>
        <w:pStyle w:val="Compact"/>
        <w:numPr>
          <w:ilvl w:val="0"/>
          <w:numId w:val="1310"/>
        </w:numPr>
      </w:pPr>
      <w:r>
        <w:t xml:space="preserve">Add AI/ML diagnostic systems to scope consideration</w:t>
      </w:r>
    </w:p>
    <w:p>
      <w:pPr>
        <w:pStyle w:val="Compact"/>
        <w:numPr>
          <w:ilvl w:val="0"/>
          <w:numId w:val="1311"/>
        </w:numPr>
      </w:pPr>
      <w:r>
        <w:t xml:space="preserve">Address IoT medical device security</w:t>
      </w:r>
    </w:p>
    <w:p>
      <w:pPr>
        <w:pStyle w:val="Compact"/>
        <w:numPr>
          <w:ilvl w:val="0"/>
          <w:numId w:val="1312"/>
        </w:numPr>
      </w:pPr>
      <w:r>
        <w:t xml:space="preserve">Update for cloud and SaaS health platforms</w:t>
      </w:r>
    </w:p>
    <w:bookmarkEnd w:id="341"/>
    <w:bookmarkStart w:id="342" w:name="conclusion"/>
    <w:p>
      <w:pPr>
        <w:pStyle w:val="Heading2"/>
      </w:pPr>
      <w:r>
        <w:t xml:space="preserve">Conclusion</w:t>
      </w:r>
    </w:p>
    <w:p>
      <w:pPr>
        <w:pStyle w:val="FirstParagraph"/>
      </w:pPr>
      <w:r>
        <w:t xml:space="preserve">This comprehensive analysis of</w:t>
      </w:r>
      <w:r>
        <w:t xml:space="preserve"> </w:t>
      </w:r>
      <w:r>
        <w:rPr>
          <w:b/>
          <w:bCs/>
        </w:rPr>
        <w:t xml:space="preserve">17 jurisdictions</w:t>
      </w:r>
      <w:r>
        <w:t xml:space="preserve"> </w:t>
      </w:r>
      <w:r>
        <w:t xml:space="preserve">with detailed chapter coverage, plus an additional</w:t>
      </w:r>
      <w:r>
        <w:t xml:space="preserve"> </w:t>
      </w:r>
      <w:r>
        <w:rPr>
          <w:b/>
          <w:bCs/>
        </w:rPr>
        <w:t xml:space="preserve">20+ countries</w:t>
      </w:r>
      <w:r>
        <w:t xml:space="preserve"> </w:t>
      </w:r>
      <w:r>
        <w:t xml:space="preserve">surveyed across Latin America, ASEAN, Africa, Middle East, and Central Asia, reveals a global landscape undergoing significant transformation in 2025-2026.</w:t>
      </w:r>
      <w:r>
        <w:t xml:space="preserve"> </w:t>
      </w:r>
      <w:r>
        <w:rPr>
          <w:b/>
          <w:bCs/>
        </w:rPr>
        <w:t xml:space="preserve">Five key trends dominate:</w:t>
      </w:r>
    </w:p>
    <w:p>
      <w:pPr>
        <w:pStyle w:val="Compact"/>
        <w:numPr>
          <w:ilvl w:val="0"/>
          <w:numId w:val="1313"/>
        </w:numPr>
      </w:pPr>
      <w:r>
        <w:rPr>
          <w:b/>
          <w:bCs/>
        </w:rPr>
        <w:t xml:space="preserve">Expanded Scope</w:t>
      </w:r>
      <w:r>
        <w:t xml:space="preserve">: Regulations now explicitly encompass supply chains, with MSPs and critical suppliers facing direct obligations (UK, EU).</w:t>
      </w:r>
      <w:r>
        <w:br/>
      </w:r>
    </w:p>
    <w:p>
      <w:pPr>
        <w:pStyle w:val="Compact"/>
        <w:numPr>
          <w:ilvl w:val="0"/>
          <w:numId w:val="1313"/>
        </w:numPr>
      </w:pPr>
      <w:r>
        <w:rPr>
          <w:b/>
          <w:bCs/>
        </w:rPr>
        <w:t xml:space="preserve">Holistic Resilience</w:t>
      </w:r>
      <w:r>
        <w:t xml:space="preserve">: The shift from pure cybersecurity to all-hazard resilience planning (EU CER Directive) reflects recognition that health systems face multifaceted threats.</w:t>
      </w:r>
      <w:r>
        <w:br/>
      </w:r>
    </w:p>
    <w:p>
      <w:pPr>
        <w:pStyle w:val="Compact"/>
        <w:numPr>
          <w:ilvl w:val="0"/>
          <w:numId w:val="1313"/>
        </w:numPr>
      </w:pPr>
      <w:r>
        <w:rPr>
          <w:b/>
          <w:bCs/>
        </w:rPr>
        <w:t xml:space="preserve">Stricter Reporting</w:t>
      </w:r>
      <w:r>
        <w:t xml:space="preserve">: Convergence towards 12-24 hour early warning and 48-72 hour detailed notification, with specific ransomware payment reporting (24 hours in USA, Australia).</w:t>
      </w:r>
      <w:r>
        <w:br/>
      </w:r>
    </w:p>
    <w:p>
      <w:pPr>
        <w:pStyle w:val="Compact"/>
        <w:numPr>
          <w:ilvl w:val="0"/>
          <w:numId w:val="1313"/>
        </w:numPr>
      </w:pPr>
      <w:r>
        <w:rPr>
          <w:b/>
          <w:bCs/>
        </w:rPr>
        <w:t xml:space="preserve">Enhanced Enforcement</w:t>
      </w:r>
      <w:r>
        <w:t xml:space="preserve">: Moving from voluntary guidance to mandatory requirements with significant penalties (EU up to €10M, Hong Kong up to HK$5M).</w:t>
      </w:r>
    </w:p>
    <w:p>
      <w:pPr>
        <w:pStyle w:val="Compact"/>
        <w:numPr>
          <w:ilvl w:val="0"/>
          <w:numId w:val="1313"/>
        </w:numPr>
      </w:pPr>
      <w:r>
        <w:rPr>
          <w:b/>
          <w:bCs/>
        </w:rPr>
        <w:t xml:space="preserve">New Jurisdictions Entering the Framework</w:t>
      </w:r>
      <w:r>
        <w:t xml:space="preserve">: 2025-2026 sees major new entrants including Hong Kong (CI Ordinance), Switzerland (CSV), Norway (Digital Security Act), and Taiwan (revised CSMA).</w:t>
      </w:r>
    </w:p>
    <w:p>
      <w:pPr>
        <w:pStyle w:val="FirstParagraph"/>
      </w:pPr>
      <w:r>
        <w:t xml:space="preserve">Despite diverse legal traditions and cultural contexts, remarkable consensus exists on which health systems merit highest protection: emergency services, major hospital clinical systems, blood/organ services, and disease surveillance platforms.</w:t>
      </w:r>
      <w:r>
        <w:t xml:space="preserve"> </w:t>
      </w:r>
      <w:r>
        <w:t xml:space="preserve">The most effective frameworks emerging from this global analysis combine</w:t>
      </w:r>
      <w:r>
        <w:t xml:space="preserve"> </w:t>
      </w:r>
      <w:r>
        <w:rPr>
          <w:b/>
          <w:bCs/>
        </w:rPr>
        <w:t xml:space="preserve">transparent, objective criteria</w:t>
      </w:r>
      <w:r>
        <w:t xml:space="preserve"> </w:t>
      </w:r>
      <w:r>
        <w:t xml:space="preserve">(enabling self-assessment) with</w:t>
      </w:r>
      <w:r>
        <w:t xml:space="preserve"> </w:t>
      </w:r>
      <w:r>
        <w:rPr>
          <w:b/>
          <w:bCs/>
        </w:rPr>
        <w:t xml:space="preserve">proportionate, risk-based obligations</w:t>
      </w:r>
      <w:r>
        <w:t xml:space="preserve"> </w:t>
      </w:r>
      <w:r>
        <w:t xml:space="preserve">(ensuring appropriate resource allocation), while maintaining necessary</w:t>
      </w:r>
      <w:r>
        <w:t xml:space="preserve"> </w:t>
      </w:r>
      <w:r>
        <w:rPr>
          <w:b/>
          <w:bCs/>
        </w:rPr>
        <w:t xml:space="preserve">confidentiality over specific asset lists</w:t>
      </w:r>
      <w:r>
        <w:t xml:space="preserve"> </w:t>
      </w:r>
      <w:r>
        <w:t xml:space="preserve">(preserving security).</w:t>
      </w:r>
      <w:r>
        <w:t xml:space="preserve"> </w:t>
      </w:r>
      <w:r>
        <w:t xml:space="preserve">For jurisdictions developing or updating their health critical infrastructure frameworks, the 2025-2026 updates from the UK, EU, US, Australia, Hong Kong, Switzerland, and Norway provide a clear roadmap emphasizing supply chain security, all-hazard resilience, and harmonized incident reporting. These developments, coupled with the foundational principles from established frameworks like Germany’s precise thresholds, Singapore’s system-level approach, and South Korea’s transparent designation process, create a comprehensive model for protecting the digital foundations of healthcare in an increasingly interconnected and threatened world.</w:t>
      </w:r>
    </w:p>
    <w:bookmarkEnd w:id="342"/>
    <w:bookmarkStart w:id="348" w:name="references-global-synthesis"/>
    <w:p>
      <w:pPr>
        <w:pStyle w:val="Heading2"/>
      </w:pPr>
      <w:r>
        <w:t xml:space="preserve">References (Global Synthesis)</w:t>
      </w:r>
    </w:p>
    <w:p>
      <w:pPr>
        <w:pStyle w:val="Compact"/>
        <w:numPr>
          <w:ilvl w:val="0"/>
          <w:numId w:val="1314"/>
        </w:numPr>
      </w:pPr>
      <w:r>
        <w:rPr>
          <w:b/>
          <w:bCs/>
        </w:rPr>
        <w:t xml:space="preserve">Cyber Security Agency of Singapore (CSA).</w:t>
      </w:r>
      <w:r>
        <w:t xml:space="preserve"> </w:t>
      </w:r>
      <w:r>
        <w:rPr>
          <w:b/>
          <w:bCs/>
        </w:rPr>
        <w:t xml:space="preserve">Cybersecurity Act</w:t>
      </w:r>
      <w:r>
        <w:t xml:space="preserve">. (</w:t>
      </w:r>
      <w:hyperlink r:id="rId53">
        <w:r>
          <w:rPr>
            <w:rStyle w:val="Hyperlink"/>
          </w:rPr>
          <w:t xml:space="preserve">CSA</w:t>
        </w:r>
      </w:hyperlink>
      <w:r>
        <w:t xml:space="preserve">)</w:t>
      </w:r>
    </w:p>
    <w:p>
      <w:pPr>
        <w:pStyle w:val="Compact"/>
        <w:numPr>
          <w:ilvl w:val="0"/>
          <w:numId w:val="1314"/>
        </w:numPr>
      </w:pPr>
      <w:r>
        <w:rPr>
          <w:b/>
          <w:bCs/>
        </w:rPr>
        <w:t xml:space="preserve">Cyber Security Agency of Singapore (CSA).</w:t>
      </w:r>
      <w:r>
        <w:t xml:space="preserve"> </w:t>
      </w:r>
      <w:r>
        <w:rPr>
          <w:b/>
          <w:bCs/>
        </w:rPr>
        <w:t xml:space="preserve">Code of Practice for Critical Information Infrastructure Protection (Second Edition)</w:t>
      </w:r>
      <w:r>
        <w:t xml:space="preserve">. (</w:t>
      </w:r>
      <w:hyperlink r:id="rId54">
        <w:r>
          <w:rPr>
            <w:rStyle w:val="Hyperlink"/>
          </w:rPr>
          <w:t xml:space="preserve">CSA</w:t>
        </w:r>
      </w:hyperlink>
      <w:r>
        <w:t xml:space="preserve">)</w:t>
      </w:r>
    </w:p>
    <w:p>
      <w:pPr>
        <w:pStyle w:val="Compact"/>
        <w:numPr>
          <w:ilvl w:val="0"/>
          <w:numId w:val="1314"/>
        </w:numPr>
      </w:pPr>
      <w:r>
        <w:rPr>
          <w:b/>
          <w:bCs/>
        </w:rPr>
        <w:t xml:space="preserve">Cyber Security Agency of Singapore (CSA).</w:t>
      </w:r>
      <w:r>
        <w:t xml:space="preserve"> </w:t>
      </w:r>
      <w:r>
        <w:rPr>
          <w:b/>
          <w:bCs/>
        </w:rPr>
        <w:t xml:space="preserve">Healthcare Cybersecurity Masterplan 2021-2023</w:t>
      </w:r>
      <w:r>
        <w:t xml:space="preserve">.</w:t>
      </w:r>
    </w:p>
    <w:p>
      <w:pPr>
        <w:pStyle w:val="Compact"/>
        <w:numPr>
          <w:ilvl w:val="0"/>
          <w:numId w:val="1314"/>
        </w:numPr>
      </w:pPr>
      <w:r>
        <w:rPr>
          <w:b/>
          <w:bCs/>
        </w:rPr>
        <w:t xml:space="preserve">Australian Government.</w:t>
      </w:r>
      <w:r>
        <w:t xml:space="preserve"> </w:t>
      </w:r>
      <w:r>
        <w:rPr>
          <w:b/>
          <w:bCs/>
        </w:rPr>
        <w:t xml:space="preserve">Security of Critical Infrastructure Act 2018</w:t>
      </w:r>
      <w:r>
        <w:t xml:space="preserve">. (</w:t>
      </w:r>
      <w:hyperlink r:id="rId56">
        <w:r>
          <w:rPr>
            <w:rStyle w:val="Hyperlink"/>
          </w:rPr>
          <w:t xml:space="preserve">Legislation.gov.au</w:t>
        </w:r>
      </w:hyperlink>
      <w:r>
        <w:t xml:space="preserve">)</w:t>
      </w:r>
    </w:p>
    <w:p>
      <w:pPr>
        <w:pStyle w:val="Compact"/>
        <w:numPr>
          <w:ilvl w:val="0"/>
          <w:numId w:val="1314"/>
        </w:numPr>
      </w:pPr>
      <w:r>
        <w:rPr>
          <w:b/>
          <w:bCs/>
        </w:rPr>
        <w:t xml:space="preserve">Australian Government, Department of Home Affairs.</w:t>
      </w:r>
      <w:r>
        <w:t xml:space="preserve"> </w:t>
      </w:r>
      <w:r>
        <w:rPr>
          <w:b/>
          <w:bCs/>
        </w:rPr>
        <w:t xml:space="preserve">Security of Critical Infrastructure (Definitions) Rules 2021</w:t>
      </w:r>
      <w:r>
        <w:t xml:space="preserve">.</w:t>
      </w:r>
    </w:p>
    <w:p>
      <w:pPr>
        <w:pStyle w:val="Compact"/>
        <w:numPr>
          <w:ilvl w:val="0"/>
          <w:numId w:val="1314"/>
        </w:numPr>
      </w:pPr>
      <w:r>
        <w:rPr>
          <w:b/>
          <w:bCs/>
        </w:rPr>
        <w:t xml:space="preserve">Australian Government, Department of Home Affairs.</w:t>
      </w:r>
      <w:r>
        <w:t xml:space="preserve"> </w:t>
      </w:r>
      <w:r>
        <w:rPr>
          <w:b/>
          <w:bCs/>
        </w:rPr>
        <w:t xml:space="preserve">Security of Critical Infrastructure (Risk Management Program) Rules 2023</w:t>
      </w:r>
      <w:r>
        <w:t xml:space="preserve">.</w:t>
      </w:r>
    </w:p>
    <w:p>
      <w:pPr>
        <w:pStyle w:val="Compact"/>
        <w:numPr>
          <w:ilvl w:val="0"/>
          <w:numId w:val="1314"/>
        </w:numPr>
      </w:pPr>
      <w:r>
        <w:rPr>
          <w:b/>
          <w:bCs/>
        </w:rPr>
        <w:t xml:space="preserve">Critical Infrastructure Centre.</w:t>
      </w:r>
      <w:r>
        <w:t xml:space="preserve"> </w:t>
      </w:r>
      <w:r>
        <w:rPr>
          <w:b/>
          <w:bCs/>
        </w:rPr>
        <w:t xml:space="preserve">SOCI Act 2018 for healthcare and medical</w:t>
      </w:r>
      <w:r>
        <w:t xml:space="preserve">. (</w:t>
      </w:r>
      <w:hyperlink r:id="rId98">
        <w:r>
          <w:rPr>
            <w:rStyle w:val="Hyperlink"/>
          </w:rPr>
          <w:t xml:space="preserve">CISC</w:t>
        </w:r>
      </w:hyperlink>
      <w:r>
        <w:t xml:space="preserve">)</w:t>
      </w:r>
    </w:p>
    <w:p>
      <w:pPr>
        <w:pStyle w:val="Compact"/>
        <w:numPr>
          <w:ilvl w:val="0"/>
          <w:numId w:val="1314"/>
        </w:numPr>
      </w:pPr>
      <w:r>
        <w:rPr>
          <w:b/>
          <w:bCs/>
        </w:rPr>
        <w:t xml:space="preserve">UK Parliament.</w:t>
      </w:r>
      <w:r>
        <w:t xml:space="preserve"> </w:t>
      </w:r>
      <w:r>
        <w:rPr>
          <w:b/>
          <w:bCs/>
        </w:rPr>
        <w:t xml:space="preserve">The Network and Information Systems Regulations 2018 (SI 2018/506)</w:t>
      </w:r>
      <w:r>
        <w:t xml:space="preserve">. (</w:t>
      </w:r>
      <w:hyperlink r:id="rId99">
        <w:r>
          <w:rPr>
            <w:rStyle w:val="Hyperlink"/>
          </w:rPr>
          <w:t xml:space="preserve">Legislation.gov.uk</w:t>
        </w:r>
      </w:hyperlink>
      <w:r>
        <w:t xml:space="preserve">)</w:t>
      </w:r>
    </w:p>
    <w:p>
      <w:pPr>
        <w:pStyle w:val="Compact"/>
        <w:numPr>
          <w:ilvl w:val="0"/>
          <w:numId w:val="1314"/>
        </w:numPr>
      </w:pPr>
      <w:r>
        <w:rPr>
          <w:b/>
          <w:bCs/>
        </w:rPr>
        <w:t xml:space="preserve">UK Department of Health and Social Care.</w:t>
      </w:r>
      <w:r>
        <w:t xml:space="preserve"> </w:t>
      </w:r>
      <w:r>
        <w:rPr>
          <w:b/>
          <w:bCs/>
        </w:rPr>
        <w:t xml:space="preserve">The Network and Information Systems Regulations 2018: guide for the health sector in England</w:t>
      </w:r>
      <w:r>
        <w:t xml:space="preserve">. (</w:t>
      </w:r>
      <w:hyperlink r:id="rId101">
        <w:r>
          <w:rPr>
            <w:rStyle w:val="Hyperlink"/>
          </w:rPr>
          <w:t xml:space="preserve">GOV.UK</w:t>
        </w:r>
      </w:hyperlink>
      <w:r>
        <w:t xml:space="preserve">)</w:t>
      </w:r>
    </w:p>
    <w:p>
      <w:pPr>
        <w:pStyle w:val="Compact"/>
        <w:numPr>
          <w:ilvl w:val="0"/>
          <w:numId w:val="1314"/>
        </w:numPr>
      </w:pPr>
      <w:r>
        <w:rPr>
          <w:b/>
          <w:bCs/>
        </w:rPr>
        <w:t xml:space="preserve">UK National Cyber Security Centre.</w:t>
      </w:r>
      <w:r>
        <w:t xml:space="preserve"> </w:t>
      </w:r>
      <w:r>
        <w:rPr>
          <w:b/>
          <w:bCs/>
        </w:rPr>
        <w:t xml:space="preserve">Cyber Assessment Framework (CAF)</w:t>
      </w:r>
      <w:r>
        <w:t xml:space="preserve">. (</w:t>
      </w:r>
      <w:hyperlink r:id="rId121">
        <w:r>
          <w:rPr>
            <w:rStyle w:val="Hyperlink"/>
          </w:rPr>
          <w:t xml:space="preserve">NCSC</w:t>
        </w:r>
      </w:hyperlink>
      <w:r>
        <w:t xml:space="preserve">)</w:t>
      </w:r>
    </w:p>
    <w:p>
      <w:pPr>
        <w:pStyle w:val="Compact"/>
        <w:numPr>
          <w:ilvl w:val="0"/>
          <w:numId w:val="1314"/>
        </w:numPr>
      </w:pPr>
      <w:r>
        <w:rPr>
          <w:b/>
          <w:bCs/>
        </w:rPr>
        <w:t xml:space="preserve">European Parliament and Council.</w:t>
      </w:r>
      <w:r>
        <w:t xml:space="preserve"> </w:t>
      </w:r>
      <w:r>
        <w:rPr>
          <w:b/>
          <w:bCs/>
        </w:rPr>
        <w:t xml:space="preserve">Directive (EU) 2022/2555 (NIS2 Directive)</w:t>
      </w:r>
      <w:r>
        <w:t xml:space="preserve">.</w:t>
      </w:r>
    </w:p>
    <w:p>
      <w:pPr>
        <w:pStyle w:val="Compact"/>
        <w:numPr>
          <w:ilvl w:val="0"/>
          <w:numId w:val="1314"/>
        </w:numPr>
      </w:pPr>
      <w:r>
        <w:rPr>
          <w:b/>
          <w:bCs/>
        </w:rPr>
        <w:t xml:space="preserve">European Commission.</w:t>
      </w:r>
      <w:r>
        <w:t xml:space="preserve"> </w:t>
      </w:r>
      <w:r>
        <w:rPr>
          <w:b/>
          <w:bCs/>
        </w:rPr>
        <w:t xml:space="preserve">FAQs on NIS2 Directive</w:t>
      </w:r>
      <w:r>
        <w:t xml:space="preserve">. (</w:t>
      </w:r>
      <w:hyperlink r:id="rId125">
        <w:r>
          <w:rPr>
            <w:rStyle w:val="Hyperlink"/>
          </w:rPr>
          <w:t xml:space="preserve">European Commission</w:t>
        </w:r>
      </w:hyperlink>
      <w:r>
        <w:t xml:space="preserve">)</w:t>
      </w:r>
    </w:p>
    <w:p>
      <w:pPr>
        <w:pStyle w:val="Compact"/>
        <w:numPr>
          <w:ilvl w:val="0"/>
          <w:numId w:val="1314"/>
        </w:numPr>
      </w:pPr>
      <w:r>
        <w:rPr>
          <w:b/>
          <w:bCs/>
        </w:rPr>
        <w:t xml:space="preserve">European Commission.</w:t>
      </w:r>
      <w:r>
        <w:t xml:space="preserve"> </w:t>
      </w:r>
      <w:r>
        <w:rPr>
          <w:b/>
          <w:bCs/>
        </w:rPr>
        <w:t xml:space="preserve">Infringement proceedings for non-transposition of NIS2</w:t>
      </w:r>
      <w:r>
        <w:t xml:space="preserve">. (</w:t>
      </w:r>
      <w:hyperlink r:id="rId343">
        <w:r>
          <w:rPr>
            <w:rStyle w:val="Hyperlink"/>
          </w:rPr>
          <w:t xml:space="preserve">European Commission</w:t>
        </w:r>
      </w:hyperlink>
      <w:r>
        <w:t xml:space="preserve">)</w:t>
      </w:r>
    </w:p>
    <w:p>
      <w:pPr>
        <w:pStyle w:val="Compact"/>
        <w:numPr>
          <w:ilvl w:val="0"/>
          <w:numId w:val="1314"/>
        </w:numPr>
      </w:pPr>
      <w:r>
        <w:rPr>
          <w:b/>
          <w:bCs/>
        </w:rPr>
        <w:t xml:space="preserve">The White House.</w:t>
      </w:r>
      <w:r>
        <w:t xml:space="preserve"> </w:t>
      </w:r>
      <w:r>
        <w:rPr>
          <w:b/>
          <w:bCs/>
        </w:rPr>
        <w:t xml:space="preserve">Presidential Policy Directive 21 (PPD-21): Critical Infrastructure Security and Resilience</w:t>
      </w:r>
      <w:r>
        <w:t xml:space="preserve">.</w:t>
      </w:r>
    </w:p>
    <w:p>
      <w:pPr>
        <w:pStyle w:val="Compact"/>
        <w:numPr>
          <w:ilvl w:val="0"/>
          <w:numId w:val="1314"/>
        </w:numPr>
      </w:pPr>
      <w:r>
        <w:rPr>
          <w:b/>
          <w:bCs/>
        </w:rPr>
        <w:t xml:space="preserve">Cybersecurity and Infrastructure Security Agency (CISA).</w:t>
      </w:r>
      <w:r>
        <w:t xml:space="preserve"> </w:t>
      </w:r>
      <w:r>
        <w:rPr>
          <w:b/>
          <w:bCs/>
        </w:rPr>
        <w:t xml:space="preserve">National Critical Functions</w:t>
      </w:r>
      <w:r>
        <w:t xml:space="preserve">. (</w:t>
      </w:r>
      <w:hyperlink r:id="rId344">
        <w:r>
          <w:rPr>
            <w:rStyle w:val="Hyperlink"/>
          </w:rPr>
          <w:t xml:space="preserve">CISA</w:t>
        </w:r>
      </w:hyperlink>
      <w:r>
        <w:t xml:space="preserve">)</w:t>
      </w:r>
    </w:p>
    <w:p>
      <w:pPr>
        <w:pStyle w:val="Compact"/>
        <w:numPr>
          <w:ilvl w:val="0"/>
          <w:numId w:val="1314"/>
        </w:numPr>
      </w:pPr>
      <w:r>
        <w:rPr>
          <w:b/>
          <w:bCs/>
        </w:rPr>
        <w:t xml:space="preserve">U.S. Department of Health and Human Services.</w:t>
      </w:r>
      <w:r>
        <w:t xml:space="preserve"> </w:t>
      </w:r>
      <w:r>
        <w:rPr>
          <w:b/>
          <w:bCs/>
        </w:rPr>
        <w:t xml:space="preserve">Health Industry Cybersecurity Practices (HICP)</w:t>
      </w:r>
      <w:r>
        <w:t xml:space="preserve">. (</w:t>
      </w:r>
      <w:hyperlink r:id="rId345">
        <w:r>
          <w:rPr>
            <w:rStyle w:val="Hyperlink"/>
          </w:rPr>
          <w:t xml:space="preserve">405d.hhs.gov</w:t>
        </w:r>
      </w:hyperlink>
      <w:r>
        <w:t xml:space="preserve">)</w:t>
      </w:r>
    </w:p>
    <w:p>
      <w:pPr>
        <w:pStyle w:val="Compact"/>
        <w:numPr>
          <w:ilvl w:val="0"/>
          <w:numId w:val="1314"/>
        </w:numPr>
      </w:pPr>
      <w:r>
        <w:rPr>
          <w:b/>
          <w:bCs/>
        </w:rPr>
        <w:t xml:space="preserve">U.S. Department of Health and Human Services.</w:t>
      </w:r>
      <w:r>
        <w:t xml:space="preserve"> </w:t>
      </w:r>
      <w:r>
        <w:rPr>
          <w:b/>
          <w:bCs/>
        </w:rPr>
        <w:t xml:space="preserve">HIPAA Security Rule</w:t>
      </w:r>
      <w:r>
        <w:t xml:space="preserve">. (</w:t>
      </w:r>
      <w:hyperlink r:id="rId346">
        <w:r>
          <w:rPr>
            <w:rStyle w:val="Hyperlink"/>
          </w:rPr>
          <w:t xml:space="preserve">HHS.gov</w:t>
        </w:r>
      </w:hyperlink>
      <w:r>
        <w:t xml:space="preserve">)</w:t>
      </w:r>
    </w:p>
    <w:p>
      <w:pPr>
        <w:pStyle w:val="Compact"/>
        <w:numPr>
          <w:ilvl w:val="0"/>
          <w:numId w:val="1314"/>
        </w:numPr>
      </w:pPr>
      <w:r>
        <w:rPr>
          <w:b/>
          <w:bCs/>
        </w:rPr>
        <w:t xml:space="preserve">National Conference of State Legislatures.</w:t>
      </w:r>
      <w:r>
        <w:t xml:space="preserve"> </w:t>
      </w:r>
      <w:r>
        <w:rPr>
          <w:b/>
          <w:bCs/>
        </w:rPr>
        <w:t xml:space="preserve">State Critical Infrastructure Laws</w:t>
      </w:r>
      <w:r>
        <w:t xml:space="preserve">. (</w:t>
      </w:r>
      <w:hyperlink r:id="rId347">
        <w:r>
          <w:rPr>
            <w:rStyle w:val="Hyperlink"/>
          </w:rPr>
          <w:t xml:space="preserve">NCSL</w:t>
        </w:r>
      </w:hyperlink>
      <w:r>
        <w:t xml:space="preserve">)</w:t>
      </w:r>
    </w:p>
    <w:p>
      <w:pPr>
        <w:pStyle w:val="Compact"/>
        <w:numPr>
          <w:ilvl w:val="0"/>
          <w:numId w:val="1314"/>
        </w:numPr>
      </w:pPr>
      <w:r>
        <w:rPr>
          <w:b/>
          <w:bCs/>
        </w:rPr>
        <w:t xml:space="preserve">U.S. Government Accountability Office.</w:t>
      </w:r>
      <w:r>
        <w:t xml:space="preserve"> </w:t>
      </w:r>
      <w:r>
        <w:rPr>
          <w:b/>
          <w:bCs/>
        </w:rPr>
        <w:t xml:space="preserve">Federal Health Cybersecurity</w:t>
      </w:r>
      <w:r>
        <w:t xml:space="preserve">. ([GAO][19])</w:t>
      </w:r>
    </w:p>
    <w:p>
      <w:pPr>
        <w:pStyle w:val="Compact"/>
        <w:numPr>
          <w:ilvl w:val="0"/>
          <w:numId w:val="1314"/>
        </w:numPr>
      </w:pPr>
      <w:r>
        <w:rPr>
          <w:b/>
          <w:bCs/>
        </w:rPr>
        <w:t xml:space="preserve">Public Safety Canada.</w:t>
      </w:r>
      <w:r>
        <w:t xml:space="preserve"> </w:t>
      </w:r>
      <w:r>
        <w:rPr>
          <w:b/>
          <w:bCs/>
        </w:rPr>
        <w:t xml:space="preserve">National Strategy for Critical Infrastructure</w:t>
      </w:r>
      <w:r>
        <w:t xml:space="preserve">. ([Public Safety Canada][20])</w:t>
      </w:r>
    </w:p>
    <w:p>
      <w:pPr>
        <w:pStyle w:val="Compact"/>
        <w:numPr>
          <w:ilvl w:val="0"/>
          <w:numId w:val="1314"/>
        </w:numPr>
      </w:pPr>
      <w:r>
        <w:rPr>
          <w:b/>
          <w:bCs/>
        </w:rPr>
        <w:t xml:space="preserve">Ontario Ministry of Health.</w:t>
      </w:r>
      <w:r>
        <w:t xml:space="preserve"> </w:t>
      </w:r>
      <w:r>
        <w:rPr>
          <w:b/>
          <w:bCs/>
        </w:rPr>
        <w:t xml:space="preserve">Emergency Management Framework for Health</w:t>
      </w:r>
      <w:r>
        <w:t xml:space="preserve">. ([Ontario.ca][21])</w:t>
      </w:r>
    </w:p>
    <w:p>
      <w:pPr>
        <w:pStyle w:val="Compact"/>
        <w:numPr>
          <w:ilvl w:val="0"/>
          <w:numId w:val="1314"/>
        </w:numPr>
      </w:pPr>
      <w:r>
        <w:rPr>
          <w:b/>
          <w:bCs/>
        </w:rPr>
        <w:t xml:space="preserve">Canadian Centre for Cyber Security.</w:t>
      </w:r>
      <w:r>
        <w:t xml:space="preserve"> </w:t>
      </w:r>
      <w:r>
        <w:rPr>
          <w:b/>
          <w:bCs/>
        </w:rPr>
        <w:t xml:space="preserve">Cyber Incident Management for Canada’s Health Sector</w:t>
      </w:r>
      <w:r>
        <w:t xml:space="preserve">. ([Cyber.gc.ca][22])</w:t>
      </w:r>
    </w:p>
    <w:p>
      <w:pPr>
        <w:pStyle w:val="Compact"/>
        <w:numPr>
          <w:ilvl w:val="0"/>
          <w:numId w:val="1314"/>
        </w:numPr>
      </w:pPr>
      <w:r>
        <w:rPr>
          <w:b/>
          <w:bCs/>
        </w:rPr>
        <w:t xml:space="preserve">New Zealand Government.</w:t>
      </w:r>
      <w:r>
        <w:t xml:space="preserve"> </w:t>
      </w:r>
      <w:r>
        <w:rPr>
          <w:b/>
          <w:bCs/>
        </w:rPr>
        <w:t xml:space="preserve">Computer Emergency Response Team Act 2016</w:t>
      </w:r>
      <w:r>
        <w:t xml:space="preserve">.</w:t>
      </w:r>
    </w:p>
    <w:p>
      <w:pPr>
        <w:pStyle w:val="Compact"/>
        <w:numPr>
          <w:ilvl w:val="0"/>
          <w:numId w:val="1314"/>
        </w:numPr>
      </w:pPr>
      <w:r>
        <w:rPr>
          <w:b/>
          <w:bCs/>
        </w:rPr>
        <w:t xml:space="preserve">Te Whatu Ora - Health New Zealand.</w:t>
      </w:r>
      <w:r>
        <w:t xml:space="preserve"> </w:t>
      </w:r>
      <w:r>
        <w:rPr>
          <w:b/>
          <w:bCs/>
        </w:rPr>
        <w:t xml:space="preserve">Cybersecurity and Critical Infrastructure Framework (Draft)</w:t>
      </w:r>
      <w:r>
        <w:t xml:space="preserve">.</w:t>
      </w:r>
    </w:p>
    <w:p>
      <w:pPr>
        <w:pStyle w:val="Compact"/>
        <w:numPr>
          <w:ilvl w:val="0"/>
          <w:numId w:val="1314"/>
        </w:numPr>
      </w:pPr>
      <w:r>
        <w:rPr>
          <w:b/>
          <w:bCs/>
        </w:rPr>
        <w:t xml:space="preserve">Bundesamt für Sicherheit in der Informationstechnik (BSI).</w:t>
      </w:r>
      <w:r>
        <w:t xml:space="preserve"> </w:t>
      </w:r>
      <w:r>
        <w:rPr>
          <w:b/>
          <w:bCs/>
        </w:rPr>
        <w:t xml:space="preserve">BSI-KritisV and IT-Sicherheitsgesetz 2.0</w:t>
      </w:r>
      <w:r>
        <w:t xml:space="preserve">. ([BSI][25])</w:t>
      </w:r>
    </w:p>
    <w:p>
      <w:pPr>
        <w:pStyle w:val="Compact"/>
        <w:numPr>
          <w:ilvl w:val="0"/>
          <w:numId w:val="1314"/>
        </w:numPr>
      </w:pPr>
      <w:r>
        <w:rPr>
          <w:b/>
          <w:bCs/>
        </w:rPr>
        <w:t xml:space="preserve">Bundesministerium des Innern und für Heimat.</w:t>
      </w:r>
      <w:r>
        <w:t xml:space="preserve"> </w:t>
      </w:r>
      <w:r>
        <w:rPr>
          <w:b/>
          <w:bCs/>
        </w:rPr>
        <w:t xml:space="preserve">NIS2-Umsetzungsgesetz (NIS2UmsuCG)</w:t>
      </w:r>
      <w:r>
        <w:t xml:space="preserve">. ([BMI][26])</w:t>
      </w:r>
    </w:p>
    <w:p>
      <w:pPr>
        <w:pStyle w:val="Compact"/>
        <w:numPr>
          <w:ilvl w:val="0"/>
          <w:numId w:val="1314"/>
        </w:numPr>
      </w:pPr>
      <w:r>
        <w:rPr>
          <w:b/>
          <w:bCs/>
        </w:rPr>
        <w:t xml:space="preserve">National center of Incident readiness and Strategy for Cybersecurity (NISC), Japan.</w:t>
      </w:r>
      <w:r>
        <w:t xml:space="preserve"> </w:t>
      </w:r>
      <w:r>
        <w:rPr>
          <w:b/>
          <w:bCs/>
        </w:rPr>
        <w:t xml:space="preserve">Cybersecurity Basic Act and Policy Guidelines</w:t>
      </w:r>
      <w:r>
        <w:t xml:space="preserve">. ([NISC][27])</w:t>
      </w:r>
    </w:p>
    <w:p>
      <w:pPr>
        <w:pStyle w:val="Compact"/>
        <w:numPr>
          <w:ilvl w:val="0"/>
          <w:numId w:val="1314"/>
        </w:numPr>
      </w:pPr>
      <w:r>
        <w:rPr>
          <w:b/>
          <w:bCs/>
        </w:rPr>
        <w:t xml:space="preserve">Ministry of Health, Labour and Welfare (MHLW), Japan.</w:t>
      </w:r>
      <w:r>
        <w:t xml:space="preserve"> </w:t>
      </w:r>
      <w:r>
        <w:rPr>
          <w:b/>
          <w:bCs/>
        </w:rPr>
        <w:t xml:space="preserve">Healthcare Information System Security Guidelines</w:t>
      </w:r>
      <w:r>
        <w:t xml:space="preserve">. ([MHLW][28])</w:t>
      </w:r>
    </w:p>
    <w:p>
      <w:pPr>
        <w:pStyle w:val="Compact"/>
        <w:numPr>
          <w:ilvl w:val="0"/>
          <w:numId w:val="1314"/>
        </w:numPr>
      </w:pPr>
      <w:r>
        <w:rPr>
          <w:b/>
          <w:bCs/>
        </w:rPr>
        <w:t xml:space="preserve">Personal Information Protection Commission, Japan.</w:t>
      </w:r>
      <w:r>
        <w:t xml:space="preserve"> </w:t>
      </w:r>
      <w:r>
        <w:rPr>
          <w:b/>
          <w:bCs/>
        </w:rPr>
        <w:t xml:space="preserve">Health Data Breach Reporting</w:t>
      </w:r>
      <w:r>
        <w:t xml:space="preserve">. ([PPC][29])</w:t>
      </w:r>
    </w:p>
    <w:p>
      <w:pPr>
        <w:pStyle w:val="Compact"/>
        <w:numPr>
          <w:ilvl w:val="0"/>
          <w:numId w:val="1314"/>
        </w:numPr>
      </w:pPr>
      <w:r>
        <w:rPr>
          <w:b/>
          <w:bCs/>
        </w:rPr>
        <w:t xml:space="preserve">National People’s Congress, China.</w:t>
      </w:r>
      <w:r>
        <w:t xml:space="preserve"> </w:t>
      </w:r>
      <w:r>
        <w:rPr>
          <w:b/>
          <w:bCs/>
        </w:rPr>
        <w:t xml:space="preserve">Cybersecurity Law of the People’s Republic of China</w:t>
      </w:r>
      <w:r>
        <w:t xml:space="preserve">.</w:t>
      </w:r>
    </w:p>
    <w:p>
      <w:pPr>
        <w:pStyle w:val="Compact"/>
        <w:numPr>
          <w:ilvl w:val="0"/>
          <w:numId w:val="1314"/>
        </w:numPr>
      </w:pPr>
      <w:r>
        <w:rPr>
          <w:b/>
          <w:bCs/>
        </w:rPr>
        <w:t xml:space="preserve">State Council, China.</w:t>
      </w:r>
      <w:r>
        <w:t xml:space="preserve"> </w:t>
      </w:r>
      <w:r>
        <w:rPr>
          <w:b/>
          <w:bCs/>
        </w:rPr>
        <w:t xml:space="preserve">Critical Information Infrastructure Security Protection Regulations</w:t>
      </w:r>
      <w:r>
        <w:t xml:space="preserve">.</w:t>
      </w:r>
    </w:p>
    <w:p>
      <w:pPr>
        <w:pStyle w:val="Compact"/>
        <w:numPr>
          <w:ilvl w:val="0"/>
          <w:numId w:val="1314"/>
        </w:numPr>
      </w:pPr>
      <w:r>
        <w:rPr>
          <w:b/>
          <w:bCs/>
        </w:rPr>
        <w:t xml:space="preserve">Ministry of Public Security, China.</w:t>
      </w:r>
      <w:r>
        <w:t xml:space="preserve"> </w:t>
      </w:r>
      <w:r>
        <w:rPr>
          <w:b/>
          <w:bCs/>
        </w:rPr>
        <w:t xml:space="preserve">Multi-Level Protection Scheme 2.0 Standards</w:t>
      </w:r>
      <w:r>
        <w:t xml:space="preserve">.</w:t>
      </w:r>
    </w:p>
    <w:p>
      <w:pPr>
        <w:pStyle w:val="Compact"/>
        <w:numPr>
          <w:ilvl w:val="0"/>
          <w:numId w:val="1314"/>
        </w:numPr>
      </w:pPr>
      <w:r>
        <w:rPr>
          <w:b/>
          <w:bCs/>
        </w:rPr>
        <w:t xml:space="preserve">National Health Commission, China.</w:t>
      </w:r>
      <w:r>
        <w:t xml:space="preserve"> </w:t>
      </w:r>
      <w:r>
        <w:rPr>
          <w:b/>
          <w:bCs/>
        </w:rPr>
        <w:t xml:space="preserve">Health Critical Information Infrastructure Protection Guidelines</w:t>
      </w:r>
      <w:r>
        <w:t xml:space="preserve">.</w:t>
      </w:r>
    </w:p>
    <w:p>
      <w:pPr>
        <w:pStyle w:val="Compact"/>
        <w:numPr>
          <w:ilvl w:val="0"/>
          <w:numId w:val="1314"/>
        </w:numPr>
      </w:pPr>
      <w:r>
        <w:rPr>
          <w:b/>
          <w:bCs/>
        </w:rPr>
        <w:t xml:space="preserve">Cyberspace Administration of China.</w:t>
      </w:r>
      <w:r>
        <w:t xml:space="preserve"> </w:t>
      </w:r>
      <w:r>
        <w:rPr>
          <w:b/>
          <w:bCs/>
        </w:rPr>
        <w:t xml:space="preserve">CII Security Incident Reporting Requirements</w:t>
      </w:r>
      <w:r>
        <w:t xml:space="preserve">. ([CAC][34])</w:t>
      </w:r>
    </w:p>
    <w:p>
      <w:pPr>
        <w:sectPr>
          <w:footerReference w:type="first" r:id="rId13"/>
          <w:footerReference w:type="default" r:id="rId11"/>
          <w:footerReference w:type="even" r:id="rId10"/>
          <w:type w:val="nextPage"/>
        </w:sectPr>
      </w:pPr>
    </w:p>
    <w:bookmarkEnd w:id="348"/>
    <w:bookmarkEnd w:id="349"/>
    <w:bookmarkStart w:id="352" w:name="Xcea9e0dcb34c0352ea3f82e24737fbe6bcc50ce"/>
    <w:p>
      <w:pPr>
        <w:pStyle w:val="Heading1"/>
      </w:pPr>
      <w:r>
        <w:t xml:space="preserve">Health as a Critical Information / Critical Infrastructure Sector</w:t>
      </w:r>
    </w:p>
    <w:tbl>
      <w:tblPr>
        <w:tblStyle w:val="Table"/>
        <w:tblW w:type="pct" w:w="5000"/>
        <w:tblLayout w:type="fixed"/>
        <w:tblLook w:firstRow="1" w:lastRow="0" w:firstColumn="0" w:lastColumn="0" w:noHBand="0" w:noVBand="0" w:val="0020"/>
      </w:tblPr>
      <w:tblGrid>
        <w:gridCol w:w="576"/>
        <w:gridCol w:w="910"/>
        <w:gridCol w:w="6251"/>
        <w:gridCol w:w="182"/>
      </w:tblGrid>
      <w:tr>
        <w:trPr>
          <w:tblHeader w:val="on"/>
        </w:trPr>
        <w:tc>
          <w:tcPr/>
          <w:p>
            <w:pPr>
              <w:pStyle w:val="Compact"/>
            </w:pPr>
            <w:r>
              <w:t xml:space="preserve">Region</w:t>
            </w:r>
          </w:p>
        </w:tc>
        <w:tc>
          <w:tcPr/>
          <w:p>
            <w:pPr>
              <w:pStyle w:val="Compact"/>
            </w:pPr>
            <w:r>
              <w:t xml:space="preserve">Country</w:t>
            </w:r>
          </w:p>
        </w:tc>
        <w:tc>
          <w:tcPr/>
          <w:p>
            <w:pPr>
              <w:pStyle w:val="Compact"/>
            </w:pPr>
            <w:r>
              <w:t xml:space="preserve">Status (health as CI/CII sector)</w:t>
            </w:r>
          </w:p>
        </w:tc>
        <w:tc>
          <w:tcPr/>
          <w:p>
            <w:pPr>
              <w:pStyle w:val="Compact"/>
            </w:pPr>
            <w:r>
              <w:t xml:space="preserve">Ref(s)</w:t>
            </w:r>
          </w:p>
        </w:tc>
      </w:tr>
      <w:tr>
        <w:tc>
          <w:tcPr/>
          <w:p>
            <w:pPr>
              <w:pStyle w:val="Compact"/>
            </w:pPr>
            <w:r>
              <w:rPr>
                <w:b/>
                <w:bCs/>
              </w:rPr>
              <w:t xml:space="preserve">Latin America</w:t>
            </w:r>
          </w:p>
        </w:tc>
        <w:tc>
          <w:tcPr/>
          <w:p>
            <w:pPr>
              <w:pStyle w:val="Compact"/>
            </w:pPr>
            <w:r>
              <w:rPr>
                <w:b/>
                <w:bCs/>
              </w:rPr>
              <w:t xml:space="preserve">Chile</w:t>
            </w:r>
          </w:p>
        </w:tc>
        <w:tc>
          <w:tcPr/>
          <w:p>
            <w:pPr>
              <w:pStyle w:val="Compact"/>
            </w:pPr>
            <w:r>
              <w:rPr>
                <w:b/>
                <w:bCs/>
              </w:rPr>
              <w:t xml:space="preserve">Explicit (primary):</w:t>
            </w:r>
            <w:r>
              <w:t xml:space="preserve"> </w:t>
            </w:r>
            <w:r>
              <w:t xml:space="preserve">“prestación institucional de servicios de salud” listed as an</w:t>
            </w:r>
            <w:r>
              <w:t xml:space="preserve"> </w:t>
            </w:r>
            <w:r>
              <w:rPr>
                <w:b/>
                <w:bCs/>
              </w:rPr>
              <w:t xml:space="preserve">essential service</w:t>
            </w:r>
            <w:r>
              <w:t xml:space="preserve"> </w:t>
            </w:r>
            <w:r>
              <w:t xml:space="preserve">under the national cybersecurity/critical infrastructure framework</w:t>
            </w:r>
          </w:p>
        </w:tc>
        <w:tc>
          <w:tcPr/>
          <w:p>
            <w:pPr>
              <w:pStyle w:val="Compact"/>
            </w:pPr>
            <w:hyperlink r:id="rId53">
              <w:r>
                <w:rPr>
                  <w:rStyle w:val="Hyperlink"/>
                </w:rPr>
                <w:t xml:space="preserve">1</w:t>
              </w:r>
            </w:hyperlink>
          </w:p>
        </w:tc>
      </w:tr>
      <w:tr>
        <w:tc>
          <w:tcPr/>
          <w:p>
            <w:pPr>
              <w:pStyle w:val="Compact"/>
            </w:pPr>
          </w:p>
        </w:tc>
        <w:tc>
          <w:tcPr/>
          <w:p>
            <w:pPr>
              <w:pStyle w:val="Compact"/>
            </w:pPr>
            <w:r>
              <w:rPr>
                <w:b/>
                <w:bCs/>
              </w:rPr>
              <w:t xml:space="preserve">Mexico</w:t>
            </w:r>
          </w:p>
        </w:tc>
        <w:tc>
          <w:tcPr/>
          <w:p>
            <w:pPr>
              <w:pStyle w:val="Compact"/>
            </w:pPr>
            <w:r>
              <w:rPr>
                <w:b/>
                <w:bCs/>
              </w:rPr>
              <w:t xml:space="preserve">Not confirmed (primary not found in accessible sources):</w:t>
            </w:r>
            <w:r>
              <w:t xml:space="preserve"> </w:t>
            </w:r>
            <w:r>
              <w:t xml:space="preserve">I did not find a government text explicitly listing “health/healthcare” as a CI/CII sector in the sources retrieved for this run</w:t>
            </w:r>
          </w:p>
        </w:tc>
        <w:tc>
          <w:tcPr/>
          <w:p>
            <w:pPr>
              <w:pStyle w:val="Compact"/>
            </w:pPr>
            <w:r>
              <w:t xml:space="preserve">—</w:t>
            </w:r>
          </w:p>
        </w:tc>
      </w:tr>
      <w:tr>
        <w:tc>
          <w:tcPr/>
          <w:p>
            <w:pPr>
              <w:pStyle w:val="Compact"/>
            </w:pPr>
            <w:r>
              <w:rPr>
                <w:b/>
                <w:bCs/>
              </w:rPr>
              <w:t xml:space="preserve">ASEAN</w:t>
            </w:r>
          </w:p>
        </w:tc>
        <w:tc>
          <w:tcPr/>
          <w:p>
            <w:pPr>
              <w:pStyle w:val="Compact"/>
            </w:pPr>
            <w:r>
              <w:rPr>
                <w:b/>
                <w:bCs/>
              </w:rPr>
              <w:t xml:space="preserve">Singapore</w:t>
            </w:r>
          </w:p>
        </w:tc>
        <w:tc>
          <w:tcPr/>
          <w:p>
            <w:pPr>
              <w:pStyle w:val="Compact"/>
            </w:pPr>
            <w:r>
              <w:rPr>
                <w:b/>
                <w:bCs/>
              </w:rPr>
              <w:t xml:space="preserve">Explicit (primary):</w:t>
            </w:r>
            <w:r>
              <w:t xml:space="preserve"> </w:t>
            </w:r>
            <w:r>
              <w:t xml:space="preserve">CSA lists</w:t>
            </w:r>
            <w:r>
              <w:t xml:space="preserve"> </w:t>
            </w:r>
            <w:r>
              <w:rPr>
                <w:b/>
                <w:bCs/>
              </w:rPr>
              <w:t xml:space="preserve">Healthcare</w:t>
            </w:r>
            <w:r>
              <w:t xml:space="preserve"> </w:t>
            </w:r>
            <w:r>
              <w:t xml:space="preserve">among</w:t>
            </w:r>
            <w:r>
              <w:t xml:space="preserve"> </w:t>
            </w:r>
            <w:r>
              <w:rPr>
                <w:b/>
                <w:bCs/>
              </w:rPr>
              <w:t xml:space="preserve">CII sectors</w:t>
            </w:r>
            <w:r>
              <w:t xml:space="preserve"> </w:t>
            </w:r>
            <w:r>
              <w:t xml:space="preserve">under the Cybersecurity Act</w:t>
            </w:r>
          </w:p>
        </w:tc>
        <w:tc>
          <w:tcPr/>
          <w:p>
            <w:pPr>
              <w:pStyle w:val="Compact"/>
            </w:pPr>
            <w:hyperlink r:id="rId54">
              <w:r>
                <w:rPr>
                  <w:rStyle w:val="Hyperlink"/>
                </w:rPr>
                <w:t xml:space="preserve">2</w:t>
              </w:r>
            </w:hyperlink>
          </w:p>
        </w:tc>
      </w:tr>
      <w:tr>
        <w:tc>
          <w:tcPr/>
          <w:p>
            <w:pPr>
              <w:pStyle w:val="Compact"/>
            </w:pPr>
          </w:p>
        </w:tc>
        <w:tc>
          <w:tcPr/>
          <w:p>
            <w:pPr>
              <w:pStyle w:val="Compact"/>
            </w:pPr>
            <w:r>
              <w:rPr>
                <w:b/>
                <w:bCs/>
              </w:rPr>
              <w:t xml:space="preserve">Malaysia</w:t>
            </w:r>
          </w:p>
        </w:tc>
        <w:tc>
          <w:tcPr/>
          <w:p>
            <w:pPr>
              <w:pStyle w:val="Compact"/>
            </w:pPr>
            <w:r>
              <w:rPr>
                <w:b/>
                <w:bCs/>
              </w:rPr>
              <w:t xml:space="preserve">Explicit (primary):</w:t>
            </w:r>
            <w:r>
              <w:t xml:space="preserve"> </w:t>
            </w:r>
            <w:r>
              <w:t xml:space="preserve">NACSA lists</w:t>
            </w:r>
            <w:r>
              <w:t xml:space="preserve"> </w:t>
            </w:r>
            <w:r>
              <w:rPr>
                <w:b/>
                <w:bCs/>
              </w:rPr>
              <w:t xml:space="preserve">Healthcare Services</w:t>
            </w:r>
            <w:r>
              <w:t xml:space="preserve"> </w:t>
            </w:r>
            <w:r>
              <w:t xml:space="preserve">as an NCII sector</w:t>
            </w:r>
          </w:p>
        </w:tc>
        <w:tc>
          <w:tcPr/>
          <w:p>
            <w:pPr>
              <w:pStyle w:val="Compact"/>
            </w:pPr>
            <w:hyperlink r:id="rId55">
              <w:r>
                <w:rPr>
                  <w:rStyle w:val="Hyperlink"/>
                </w:rPr>
                <w:t xml:space="preserve">3</w:t>
              </w:r>
            </w:hyperlink>
          </w:p>
        </w:tc>
      </w:tr>
      <w:tr>
        <w:tc>
          <w:tcPr/>
          <w:p>
            <w:pPr>
              <w:pStyle w:val="Compact"/>
            </w:pPr>
          </w:p>
        </w:tc>
        <w:tc>
          <w:tcPr/>
          <w:p>
            <w:pPr>
              <w:pStyle w:val="Compact"/>
            </w:pPr>
            <w:r>
              <w:rPr>
                <w:b/>
                <w:bCs/>
              </w:rPr>
              <w:t xml:space="preserve">Indonesia</w:t>
            </w:r>
          </w:p>
        </w:tc>
        <w:tc>
          <w:tcPr/>
          <w:p>
            <w:pPr>
              <w:pStyle w:val="Compact"/>
            </w:pPr>
            <w:r>
              <w:rPr>
                <w:b/>
                <w:bCs/>
              </w:rPr>
              <w:t xml:space="preserve">Explicit (primary):</w:t>
            </w:r>
            <w:r>
              <w:t xml:space="preserve"> </w:t>
            </w:r>
            <w:r>
              <w:t xml:space="preserve">official summary of</w:t>
            </w:r>
            <w:r>
              <w:t xml:space="preserve"> </w:t>
            </w:r>
            <w:r>
              <w:rPr>
                <w:b/>
                <w:bCs/>
              </w:rPr>
              <w:t xml:space="preserve">Perpres 82/2022</w:t>
            </w:r>
            <w:r>
              <w:t xml:space="preserve"> </w:t>
            </w:r>
            <w:r>
              <w:t xml:space="preserve">lists</w:t>
            </w:r>
            <w:r>
              <w:t xml:space="preserve"> </w:t>
            </w:r>
            <w:r>
              <w:rPr>
                <w:b/>
                <w:bCs/>
              </w:rPr>
              <w:t xml:space="preserve">Sektor kesehatan</w:t>
            </w:r>
            <w:r>
              <w:t xml:space="preserve"> </w:t>
            </w:r>
            <w:r>
              <w:t xml:space="preserve">as a strategic sector for Vital Information Infrastructure protection</w:t>
            </w:r>
          </w:p>
        </w:tc>
        <w:tc>
          <w:tcPr/>
          <w:p>
            <w:pPr>
              <w:pStyle w:val="Compact"/>
            </w:pPr>
            <w:hyperlink r:id="rId56">
              <w:r>
                <w:rPr>
                  <w:rStyle w:val="Hyperlink"/>
                </w:rPr>
                <w:t xml:space="preserve">4</w:t>
              </w:r>
            </w:hyperlink>
          </w:p>
        </w:tc>
      </w:tr>
      <w:tr>
        <w:tc>
          <w:tcPr/>
          <w:p>
            <w:pPr>
              <w:pStyle w:val="Compact"/>
            </w:pPr>
          </w:p>
        </w:tc>
        <w:tc>
          <w:tcPr/>
          <w:p>
            <w:pPr>
              <w:pStyle w:val="Compact"/>
            </w:pPr>
            <w:r>
              <w:rPr>
                <w:b/>
                <w:bCs/>
              </w:rPr>
              <w:t xml:space="preserve">Thailand</w:t>
            </w:r>
          </w:p>
        </w:tc>
        <w:tc>
          <w:tcPr/>
          <w:p>
            <w:pPr>
              <w:pStyle w:val="Compact"/>
            </w:pPr>
            <w:r>
              <w:rPr>
                <w:b/>
                <w:bCs/>
              </w:rPr>
              <w:t xml:space="preserve">Explicit (secondary):</w:t>
            </w:r>
            <w:r>
              <w:t xml:space="preserve"> </w:t>
            </w:r>
            <w:r>
              <w:t xml:space="preserve">“Public Health” presented as a CII sector under Thailand’s Cybersecurity Act (source is not a government statute page)</w:t>
            </w:r>
          </w:p>
        </w:tc>
        <w:tc>
          <w:tcPr/>
          <w:p>
            <w:pPr>
              <w:pStyle w:val="Compact"/>
            </w:pPr>
            <w:hyperlink r:id="rId57">
              <w:r>
                <w:rPr>
                  <w:rStyle w:val="Hyperlink"/>
                </w:rPr>
                <w:t xml:space="preserve">5</w:t>
              </w:r>
            </w:hyperlink>
          </w:p>
        </w:tc>
      </w:tr>
      <w:tr>
        <w:tc>
          <w:tcPr/>
          <w:p>
            <w:pPr>
              <w:pStyle w:val="Compact"/>
            </w:pPr>
            <w:r>
              <w:rPr>
                <w:b/>
                <w:bCs/>
              </w:rPr>
              <w:t xml:space="preserve">Africa</w:t>
            </w:r>
          </w:p>
        </w:tc>
        <w:tc>
          <w:tcPr/>
          <w:p>
            <w:pPr>
              <w:pStyle w:val="Compact"/>
            </w:pPr>
            <w:r>
              <w:rPr>
                <w:b/>
                <w:bCs/>
              </w:rPr>
              <w:t xml:space="preserve">Ghana</w:t>
            </w:r>
          </w:p>
        </w:tc>
        <w:tc>
          <w:tcPr/>
          <w:p>
            <w:pPr>
              <w:pStyle w:val="Compact"/>
            </w:pPr>
            <w:r>
              <w:rPr>
                <w:b/>
                <w:bCs/>
              </w:rPr>
              <w:t xml:space="preserve">Explicit (primary):</w:t>
            </w:r>
            <w:r>
              <w:t xml:space="preserve"> </w:t>
            </w:r>
            <w:r>
              <w:t xml:space="preserve">CSA directive lists</w:t>
            </w:r>
            <w:r>
              <w:t xml:space="preserve"> </w:t>
            </w:r>
            <w:r>
              <w:rPr>
                <w:b/>
                <w:bCs/>
              </w:rPr>
              <w:t xml:space="preserve">Health</w:t>
            </w:r>
            <w:r>
              <w:t xml:space="preserve"> </w:t>
            </w:r>
            <w:r>
              <w:t xml:space="preserve">as a Critical Information Infrastructure sector</w:t>
            </w:r>
          </w:p>
        </w:tc>
        <w:tc>
          <w:tcPr/>
          <w:p>
            <w:pPr>
              <w:pStyle w:val="Compact"/>
            </w:pPr>
            <w:hyperlink r:id="rId58">
              <w:r>
                <w:rPr>
                  <w:rStyle w:val="Hyperlink"/>
                </w:rPr>
                <w:t xml:space="preserve">6</w:t>
              </w:r>
            </w:hyperlink>
          </w:p>
        </w:tc>
      </w:tr>
      <w:tr>
        <w:tc>
          <w:tcPr/>
          <w:p>
            <w:pPr>
              <w:pStyle w:val="Compact"/>
            </w:pPr>
          </w:p>
        </w:tc>
        <w:tc>
          <w:tcPr/>
          <w:p>
            <w:pPr>
              <w:pStyle w:val="Compact"/>
            </w:pPr>
            <w:r>
              <w:rPr>
                <w:b/>
                <w:bCs/>
              </w:rPr>
              <w:t xml:space="preserve">Kenya</w:t>
            </w:r>
          </w:p>
        </w:tc>
        <w:tc>
          <w:tcPr/>
          <w:p>
            <w:pPr>
              <w:pStyle w:val="Compact"/>
            </w:pPr>
            <w:r>
              <w:rPr>
                <w:b/>
                <w:bCs/>
              </w:rPr>
              <w:t xml:space="preserve">Explicit (primary):</w:t>
            </w:r>
            <w:r>
              <w:t xml:space="preserve"> </w:t>
            </w:r>
            <w:r>
              <w:t xml:space="preserve">national coordination body list includes</w:t>
            </w:r>
            <w:r>
              <w:t xml:space="preserve"> </w:t>
            </w:r>
            <w:r>
              <w:rPr>
                <w:b/>
                <w:bCs/>
              </w:rPr>
              <w:t xml:space="preserve">health</w:t>
            </w:r>
            <w:r>
              <w:t xml:space="preserve"> </w:t>
            </w:r>
            <w:r>
              <w:t xml:space="preserve">among CII sectors</w:t>
            </w:r>
          </w:p>
        </w:tc>
        <w:tc>
          <w:tcPr/>
          <w:p>
            <w:pPr>
              <w:pStyle w:val="Compact"/>
            </w:pPr>
            <w:hyperlink r:id="rId98">
              <w:r>
                <w:rPr>
                  <w:rStyle w:val="Hyperlink"/>
                </w:rPr>
                <w:t xml:space="preserve">7</w:t>
              </w:r>
            </w:hyperlink>
          </w:p>
        </w:tc>
      </w:tr>
      <w:tr>
        <w:tc>
          <w:tcPr/>
          <w:p>
            <w:pPr>
              <w:pStyle w:val="Compact"/>
            </w:pPr>
          </w:p>
        </w:tc>
        <w:tc>
          <w:tcPr/>
          <w:p>
            <w:pPr>
              <w:pStyle w:val="Compact"/>
            </w:pPr>
            <w:r>
              <w:rPr>
                <w:b/>
                <w:bCs/>
              </w:rPr>
              <w:t xml:space="preserve">Nigeria</w:t>
            </w:r>
          </w:p>
        </w:tc>
        <w:tc>
          <w:tcPr/>
          <w:p>
            <w:pPr>
              <w:pStyle w:val="Compact"/>
            </w:pPr>
            <w:r>
              <w:rPr>
                <w:b/>
                <w:bCs/>
              </w:rPr>
              <w:t xml:space="preserve">Explicit (primary):</w:t>
            </w:r>
            <w:r>
              <w:t xml:space="preserve"> </w:t>
            </w:r>
            <w:r>
              <w:t xml:space="preserve">national cybersecurity policy/strategy text includes</w:t>
            </w:r>
            <w:r>
              <w:t xml:space="preserve"> </w:t>
            </w:r>
            <w:r>
              <w:rPr>
                <w:b/>
                <w:bCs/>
              </w:rPr>
              <w:t xml:space="preserve">Public Health and Healthcare Sector</w:t>
            </w:r>
          </w:p>
        </w:tc>
        <w:tc>
          <w:tcPr/>
          <w:p>
            <w:pPr>
              <w:pStyle w:val="Compact"/>
            </w:pPr>
            <w:hyperlink r:id="rId99">
              <w:r>
                <w:rPr>
                  <w:rStyle w:val="Hyperlink"/>
                </w:rPr>
                <w:t xml:space="preserve">8</w:t>
              </w:r>
            </w:hyperlink>
          </w:p>
        </w:tc>
      </w:tr>
      <w:tr>
        <w:tc>
          <w:tcPr/>
          <w:p>
            <w:pPr>
              <w:pStyle w:val="Compact"/>
            </w:pPr>
          </w:p>
        </w:tc>
        <w:tc>
          <w:tcPr/>
          <w:p>
            <w:pPr>
              <w:pStyle w:val="Compact"/>
            </w:pPr>
            <w:r>
              <w:rPr>
                <w:b/>
                <w:bCs/>
              </w:rPr>
              <w:t xml:space="preserve">Egypt</w:t>
            </w:r>
          </w:p>
        </w:tc>
        <w:tc>
          <w:tcPr/>
          <w:p>
            <w:pPr>
              <w:pStyle w:val="Compact"/>
            </w:pPr>
            <w:r>
              <w:rPr>
                <w:b/>
                <w:bCs/>
              </w:rPr>
              <w:t xml:space="preserve">Not confirmed (primary not found in accessible sources):</w:t>
            </w:r>
            <w:r>
              <w:t xml:space="preserve"> </w:t>
            </w:r>
            <w:r>
              <w:t xml:space="preserve">a strategy launch page was found, but the</w:t>
            </w:r>
            <w:r>
              <w:t xml:space="preserve"> </w:t>
            </w:r>
            <w:r>
              <w:rPr>
                <w:b/>
                <w:bCs/>
              </w:rPr>
              <w:t xml:space="preserve">sector list including health</w:t>
            </w:r>
            <w:r>
              <w:t xml:space="preserve"> </w:t>
            </w:r>
            <w:r>
              <w:t xml:space="preserve">was not located in an accessible primary document in this run</w:t>
            </w:r>
          </w:p>
        </w:tc>
        <w:tc>
          <w:tcPr/>
          <w:p>
            <w:pPr>
              <w:pStyle w:val="Compact"/>
            </w:pPr>
            <w:hyperlink r:id="rId101">
              <w:r>
                <w:rPr>
                  <w:rStyle w:val="Hyperlink"/>
                </w:rPr>
                <w:t xml:space="preserve">9</w:t>
              </w:r>
            </w:hyperlink>
          </w:p>
        </w:tc>
      </w:tr>
      <w:tr>
        <w:tc>
          <w:tcPr/>
          <w:p>
            <w:pPr>
              <w:pStyle w:val="Compact"/>
            </w:pPr>
            <w:r>
              <w:rPr>
                <w:b/>
                <w:bCs/>
              </w:rPr>
              <w:t xml:space="preserve">Middle East</w:t>
            </w:r>
          </w:p>
        </w:tc>
        <w:tc>
          <w:tcPr/>
          <w:p>
            <w:pPr>
              <w:pStyle w:val="Compact"/>
            </w:pPr>
            <w:r>
              <w:rPr>
                <w:b/>
                <w:bCs/>
              </w:rPr>
              <w:t xml:space="preserve">Bahrain</w:t>
            </w:r>
          </w:p>
        </w:tc>
        <w:tc>
          <w:tcPr/>
          <w:p>
            <w:pPr>
              <w:pStyle w:val="Compact"/>
            </w:pPr>
            <w:r>
              <w:rPr>
                <w:b/>
                <w:bCs/>
              </w:rPr>
              <w:t xml:space="preserve">Explicit (primary/official):</w:t>
            </w:r>
            <w:r>
              <w:t xml:space="preserve"> </w:t>
            </w:r>
            <w:r>
              <w:t xml:space="preserve">National Cybersecurity Center lists</w:t>
            </w:r>
            <w:r>
              <w:t xml:space="preserve"> </w:t>
            </w:r>
            <w:r>
              <w:rPr>
                <w:b/>
                <w:bCs/>
              </w:rPr>
              <w:t xml:space="preserve">Health Services</w:t>
            </w:r>
            <w:r>
              <w:t xml:space="preserve"> </w:t>
            </w:r>
            <w:r>
              <w:t xml:space="preserve">as a CNI sector</w:t>
            </w:r>
          </w:p>
        </w:tc>
        <w:tc>
          <w:tcPr/>
          <w:p>
            <w:pPr>
              <w:pStyle w:val="Compact"/>
            </w:pPr>
            <w:hyperlink r:id="rId121">
              <w:r>
                <w:rPr>
                  <w:rStyle w:val="Hyperlink"/>
                </w:rPr>
                <w:t xml:space="preserve">10</w:t>
              </w:r>
            </w:hyperlink>
          </w:p>
        </w:tc>
      </w:tr>
      <w:tr>
        <w:tc>
          <w:tcPr/>
          <w:p>
            <w:pPr>
              <w:pStyle w:val="Compact"/>
            </w:pPr>
          </w:p>
        </w:tc>
        <w:tc>
          <w:tcPr/>
          <w:p>
            <w:pPr>
              <w:pStyle w:val="Compact"/>
            </w:pPr>
            <w:r>
              <w:rPr>
                <w:b/>
                <w:bCs/>
              </w:rPr>
              <w:t xml:space="preserve">Qatar</w:t>
            </w:r>
          </w:p>
        </w:tc>
        <w:tc>
          <w:tcPr/>
          <w:p>
            <w:pPr>
              <w:pStyle w:val="Compact"/>
            </w:pPr>
            <w:r>
              <w:rPr>
                <w:b/>
                <w:bCs/>
              </w:rPr>
              <w:t xml:space="preserve">Not confirmed (primary not found in accessible sources):</w:t>
            </w:r>
            <w:r>
              <w:t xml:space="preserve"> </w:t>
            </w:r>
            <w:r>
              <w:t xml:space="preserve">I only retrieved a news report about the strategy launch (no official sector list including health found in this run)</w:t>
            </w:r>
          </w:p>
        </w:tc>
        <w:tc>
          <w:tcPr/>
          <w:p>
            <w:pPr>
              <w:pStyle w:val="Compact"/>
            </w:pPr>
            <w:hyperlink r:id="rId123">
              <w:r>
                <w:rPr>
                  <w:rStyle w:val="Hyperlink"/>
                </w:rPr>
                <w:t xml:space="preserve">11</w:t>
              </w:r>
            </w:hyperlink>
          </w:p>
        </w:tc>
      </w:tr>
      <w:tr>
        <w:tc>
          <w:tcPr/>
          <w:p>
            <w:pPr>
              <w:pStyle w:val="Compact"/>
            </w:pPr>
          </w:p>
        </w:tc>
        <w:tc>
          <w:tcPr/>
          <w:p>
            <w:pPr>
              <w:pStyle w:val="Compact"/>
            </w:pPr>
            <w:r>
              <w:rPr>
                <w:b/>
                <w:bCs/>
              </w:rPr>
              <w:t xml:space="preserve">United Arab Emirates (UAE)</w:t>
            </w:r>
          </w:p>
        </w:tc>
        <w:tc>
          <w:tcPr/>
          <w:p>
            <w:pPr>
              <w:pStyle w:val="Compact"/>
            </w:pPr>
            <w:r>
              <w:rPr>
                <w:b/>
                <w:bCs/>
              </w:rPr>
              <w:t xml:space="preserve">Explicit (official portal copy):</w:t>
            </w:r>
            <w:r>
              <w:t xml:space="preserve"> </w:t>
            </w:r>
            <w:r>
              <w:t xml:space="preserve">lists</w:t>
            </w:r>
            <w:r>
              <w:t xml:space="preserve"> </w:t>
            </w:r>
            <w:r>
              <w:rPr>
                <w:b/>
                <w:bCs/>
              </w:rPr>
              <w:t xml:space="preserve">Health services</w:t>
            </w:r>
            <w:r>
              <w:t xml:space="preserve"> </w:t>
            </w:r>
            <w:r>
              <w:t xml:space="preserve">among protected critical asset sectors</w:t>
            </w:r>
          </w:p>
        </w:tc>
        <w:tc>
          <w:tcPr/>
          <w:p>
            <w:pPr>
              <w:pStyle w:val="Compact"/>
            </w:pPr>
            <w:hyperlink r:id="rId125">
              <w:r>
                <w:rPr>
                  <w:rStyle w:val="Hyperlink"/>
                </w:rPr>
                <w:t xml:space="preserve">12</w:t>
              </w:r>
            </w:hyperlink>
          </w:p>
        </w:tc>
      </w:tr>
      <w:tr>
        <w:tc>
          <w:tcPr/>
          <w:p>
            <w:pPr>
              <w:pStyle w:val="Compact"/>
            </w:pPr>
            <w:r>
              <w:rPr>
                <w:b/>
                <w:bCs/>
              </w:rPr>
              <w:t xml:space="preserve">Central Asia</w:t>
            </w:r>
          </w:p>
        </w:tc>
        <w:tc>
          <w:tcPr/>
          <w:p>
            <w:pPr>
              <w:pStyle w:val="Compact"/>
            </w:pPr>
            <w:r>
              <w:rPr>
                <w:b/>
                <w:bCs/>
              </w:rPr>
              <w:t xml:space="preserve">Kazakhstan</w:t>
            </w:r>
          </w:p>
        </w:tc>
        <w:tc>
          <w:tcPr/>
          <w:p>
            <w:pPr>
              <w:pStyle w:val="Compact"/>
            </w:pPr>
            <w:r>
              <w:rPr>
                <w:b/>
                <w:bCs/>
              </w:rPr>
              <w:t xml:space="preserve">Explicit (primary):</w:t>
            </w:r>
            <w:r>
              <w:t xml:space="preserve"> </w:t>
            </w:r>
            <w:r>
              <w:t xml:space="preserve">definition/rules for “critical information and communication infrastructure” explicitly include</w:t>
            </w:r>
            <w:r>
              <w:t xml:space="preserve"> </w:t>
            </w:r>
            <w:r>
              <w:rPr>
                <w:b/>
                <w:bCs/>
              </w:rPr>
              <w:t xml:space="preserve">healthcare</w:t>
            </w:r>
          </w:p>
        </w:tc>
        <w:tc>
          <w:tcPr/>
          <w:p>
            <w:pPr>
              <w:pStyle w:val="Compact"/>
            </w:pPr>
            <w:hyperlink r:id="rId343">
              <w:r>
                <w:rPr>
                  <w:rStyle w:val="Hyperlink"/>
                </w:rPr>
                <w:t xml:space="preserve">13</w:t>
              </w:r>
            </w:hyperlink>
          </w:p>
        </w:tc>
      </w:tr>
      <w:tr>
        <w:tc>
          <w:tcPr/>
          <w:p>
            <w:pPr>
              <w:pStyle w:val="Compact"/>
            </w:pPr>
          </w:p>
        </w:tc>
        <w:tc>
          <w:tcPr/>
          <w:p>
            <w:pPr>
              <w:pStyle w:val="Compact"/>
            </w:pPr>
            <w:r>
              <w:rPr>
                <w:b/>
                <w:bCs/>
              </w:rPr>
              <w:t xml:space="preserve">Kyrgyz Republic</w:t>
            </w:r>
          </w:p>
        </w:tc>
        <w:tc>
          <w:tcPr/>
          <w:p>
            <w:pPr>
              <w:pStyle w:val="Compact"/>
            </w:pPr>
            <w:r>
              <w:rPr>
                <w:b/>
                <w:bCs/>
              </w:rPr>
              <w:t xml:space="preserve">Explicit (primary):</w:t>
            </w:r>
            <w:r>
              <w:t xml:space="preserve"> </w:t>
            </w:r>
            <w:r>
              <w:t xml:space="preserve">definition of “critical information infrastructure” includes the field of</w:t>
            </w:r>
            <w:r>
              <w:t xml:space="preserve"> </w:t>
            </w:r>
            <w:r>
              <w:rPr>
                <w:b/>
                <w:bCs/>
              </w:rPr>
              <w:t xml:space="preserve">healthcare</w:t>
            </w:r>
          </w:p>
        </w:tc>
        <w:tc>
          <w:tcPr/>
          <w:p>
            <w:pPr>
              <w:pStyle w:val="Compact"/>
            </w:pPr>
            <w:hyperlink r:id="rId350">
              <w:r>
                <w:rPr>
                  <w:rStyle w:val="Hyperlink"/>
                </w:rPr>
                <w:t xml:space="preserve">14</w:t>
              </w:r>
            </w:hyperlink>
          </w:p>
        </w:tc>
      </w:tr>
      <w:tr>
        <w:tc>
          <w:tcPr/>
          <w:p>
            <w:pPr>
              <w:pStyle w:val="Compact"/>
            </w:pPr>
            <w:r>
              <w:rPr>
                <w:b/>
                <w:bCs/>
              </w:rPr>
              <w:t xml:space="preserve">Southern Africa</w:t>
            </w:r>
          </w:p>
        </w:tc>
        <w:tc>
          <w:tcPr/>
          <w:p>
            <w:pPr>
              <w:pStyle w:val="Compact"/>
            </w:pPr>
            <w:r>
              <w:rPr>
                <w:b/>
                <w:bCs/>
              </w:rPr>
              <w:t xml:space="preserve">Zambia</w:t>
            </w:r>
          </w:p>
        </w:tc>
        <w:tc>
          <w:tcPr/>
          <w:p>
            <w:pPr>
              <w:pStyle w:val="Compact"/>
            </w:pPr>
            <w:r>
              <w:rPr>
                <w:b/>
                <w:bCs/>
              </w:rPr>
              <w:t xml:space="preserve">Explicit (primary):</w:t>
            </w:r>
            <w:r>
              <w:t xml:space="preserve"> </w:t>
            </w:r>
            <w:r>
              <w:t xml:space="preserve">Cyber Security Act defines “critical sector” and explicitly includes</w:t>
            </w:r>
            <w:r>
              <w:t xml:space="preserve"> </w:t>
            </w:r>
            <w:r>
              <w:rPr>
                <w:b/>
                <w:bCs/>
              </w:rPr>
              <w:t xml:space="preserve">health</w:t>
            </w:r>
          </w:p>
        </w:tc>
        <w:tc>
          <w:tcPr/>
          <w:p>
            <w:pPr>
              <w:pStyle w:val="Compact"/>
            </w:pPr>
            <w:hyperlink r:id="rId344">
              <w:r>
                <w:rPr>
                  <w:rStyle w:val="Hyperlink"/>
                </w:rPr>
                <w:t xml:space="preserve">15</w:t>
              </w:r>
            </w:hyperlink>
          </w:p>
        </w:tc>
      </w:tr>
      <w:tr>
        <w:tc>
          <w:tcPr/>
          <w:p>
            <w:pPr>
              <w:pStyle w:val="Compact"/>
            </w:pPr>
          </w:p>
        </w:tc>
        <w:tc>
          <w:tcPr/>
          <w:p>
            <w:pPr>
              <w:pStyle w:val="Compact"/>
            </w:pPr>
            <w:r>
              <w:rPr>
                <w:b/>
                <w:bCs/>
              </w:rPr>
              <w:t xml:space="preserve">Botswana</w:t>
            </w:r>
          </w:p>
        </w:tc>
        <w:tc>
          <w:tcPr/>
          <w:p>
            <w:pPr>
              <w:pStyle w:val="Compact"/>
            </w:pPr>
            <w:r>
              <w:rPr>
                <w:b/>
                <w:bCs/>
              </w:rPr>
              <w:t xml:space="preserve">Explicit (primary):</w:t>
            </w:r>
            <w:r>
              <w:t xml:space="preserve"> </w:t>
            </w:r>
            <w:r>
              <w:t xml:space="preserve">national cybersecurity strategy lists critical infrastructure sectors including</w:t>
            </w:r>
            <w:r>
              <w:t xml:space="preserve"> </w:t>
            </w:r>
            <w:r>
              <w:rPr>
                <w:b/>
                <w:bCs/>
              </w:rPr>
              <w:t xml:space="preserve">health</w:t>
            </w:r>
          </w:p>
        </w:tc>
        <w:tc>
          <w:tcPr/>
          <w:p>
            <w:pPr>
              <w:pStyle w:val="Compact"/>
            </w:pPr>
            <w:hyperlink r:id="rId345">
              <w:r>
                <w:rPr>
                  <w:rStyle w:val="Hyperlink"/>
                </w:rPr>
                <w:t xml:space="preserve">16</w:t>
              </w:r>
            </w:hyperlink>
          </w:p>
        </w:tc>
      </w:tr>
      <w:tr>
        <w:tc>
          <w:tcPr/>
          <w:p>
            <w:pPr>
              <w:pStyle w:val="Compact"/>
            </w:pPr>
            <w:r>
              <w:rPr>
                <w:b/>
                <w:bCs/>
              </w:rPr>
              <w:t xml:space="preserve">Eastern Europe</w:t>
            </w:r>
          </w:p>
        </w:tc>
        <w:tc>
          <w:tcPr/>
          <w:p>
            <w:pPr>
              <w:pStyle w:val="Compact"/>
            </w:pPr>
            <w:r>
              <w:rPr>
                <w:b/>
                <w:bCs/>
              </w:rPr>
              <w:t xml:space="preserve">Russia</w:t>
            </w:r>
          </w:p>
        </w:tc>
        <w:tc>
          <w:tcPr/>
          <w:p>
            <w:pPr>
              <w:pStyle w:val="Compact"/>
            </w:pPr>
            <w:r>
              <w:rPr>
                <w:b/>
                <w:bCs/>
              </w:rPr>
              <w:t xml:space="preserve">Explicit (secondary compilation of legal text):</w:t>
            </w:r>
            <w:r>
              <w:t xml:space="preserve"> </w:t>
            </w:r>
            <w:r>
              <w:t xml:space="preserve">law scope statement includes systems functioning in the sphere of</w:t>
            </w:r>
            <w:r>
              <w:t xml:space="preserve"> </w:t>
            </w:r>
            <w:r>
              <w:rPr>
                <w:b/>
                <w:bCs/>
              </w:rPr>
              <w:t xml:space="preserve">healthcare (здравоохранения)</w:t>
            </w:r>
          </w:p>
        </w:tc>
        <w:tc>
          <w:tcPr/>
          <w:p>
            <w:pPr>
              <w:pStyle w:val="Compact"/>
            </w:pPr>
            <w:hyperlink r:id="rId346">
              <w:r>
                <w:rPr>
                  <w:rStyle w:val="Hyperlink"/>
                </w:rPr>
                <w:t xml:space="preserve">17</w:t>
              </w:r>
            </w:hyperlink>
          </w:p>
        </w:tc>
      </w:tr>
      <w:tr>
        <w:tc>
          <w:tcPr/>
          <w:p>
            <w:pPr>
              <w:pStyle w:val="Compact"/>
            </w:pPr>
          </w:p>
        </w:tc>
        <w:tc>
          <w:tcPr/>
          <w:p>
            <w:pPr>
              <w:pStyle w:val="Compact"/>
            </w:pPr>
            <w:r>
              <w:rPr>
                <w:b/>
                <w:bCs/>
              </w:rPr>
              <w:t xml:space="preserve">Ukraine</w:t>
            </w:r>
          </w:p>
        </w:tc>
        <w:tc>
          <w:tcPr/>
          <w:p>
            <w:pPr>
              <w:pStyle w:val="Compact"/>
            </w:pPr>
            <w:r>
              <w:rPr>
                <w:b/>
                <w:bCs/>
              </w:rPr>
              <w:t xml:space="preserve">Not confirmed (primary not found in accessible sources):</w:t>
            </w:r>
            <w:r>
              <w:t xml:space="preserve"> </w:t>
            </w:r>
            <w:r>
              <w:t xml:space="preserve">I retrieved official legal portals for “critical infrastructure” concepts, but not an accessible sector list explicitly naming health in this run</w:t>
            </w:r>
          </w:p>
        </w:tc>
        <w:tc>
          <w:tcPr/>
          <w:p>
            <w:pPr>
              <w:pStyle w:val="Compact"/>
            </w:pPr>
            <w:hyperlink r:id="rId347">
              <w:r>
                <w:rPr>
                  <w:rStyle w:val="Hyperlink"/>
                </w:rPr>
                <w:t xml:space="preserve">18</w:t>
              </w:r>
            </w:hyperlink>
          </w:p>
        </w:tc>
      </w:tr>
    </w:tbl>
    <w:bookmarkStart w:id="351" w:name="references-global-overview"/>
    <w:p>
      <w:pPr>
        <w:pStyle w:val="Heading2"/>
      </w:pPr>
      <w:r>
        <w:t xml:space="preserve">References (Global Overview)</w:t>
      </w:r>
    </w:p>
    <w:p>
      <w:pPr>
        <w:pStyle w:val="Compact"/>
        <w:numPr>
          <w:ilvl w:val="0"/>
          <w:numId w:val="1315"/>
        </w:numPr>
      </w:pPr>
      <w:r>
        <w:rPr>
          <w:b/>
          <w:bCs/>
        </w:rPr>
        <w:t xml:space="preserve">Government of Chile (Ministerio del Interior / CSIRT Gov).</w:t>
      </w:r>
      <w:r>
        <w:t xml:space="preserve"> </w:t>
      </w:r>
      <w:r>
        <w:rPr>
          <w:b/>
          <w:bCs/>
        </w:rPr>
        <w:t xml:space="preserve">Framework for Essential Services</w:t>
      </w:r>
      <w:r>
        <w:t xml:space="preserve">. (</w:t>
      </w:r>
      <w:hyperlink r:id="rId53">
        <w:r>
          <w:rPr>
            <w:rStyle w:val="Hyperlink"/>
          </w:rPr>
          <w:t xml:space="preserve">Interior.gob.cl</w:t>
        </w:r>
      </w:hyperlink>
      <w:r>
        <w:t xml:space="preserve">)</w:t>
      </w:r>
    </w:p>
    <w:p>
      <w:pPr>
        <w:pStyle w:val="Compact"/>
        <w:numPr>
          <w:ilvl w:val="0"/>
          <w:numId w:val="1315"/>
        </w:numPr>
      </w:pPr>
      <w:r>
        <w:rPr>
          <w:b/>
          <w:bCs/>
        </w:rPr>
        <w:t xml:space="preserve">Cyber Security Agency of Singapore (CSA).</w:t>
      </w:r>
      <w:r>
        <w:t xml:space="preserve"> </w:t>
      </w:r>
      <w:r>
        <w:rPr>
          <w:b/>
          <w:bCs/>
        </w:rPr>
        <w:t xml:space="preserve">Cybersecurity Act: CII Sectors</w:t>
      </w:r>
      <w:r>
        <w:t xml:space="preserve">. (</w:t>
      </w:r>
      <w:hyperlink r:id="rId54">
        <w:r>
          <w:rPr>
            <w:rStyle w:val="Hyperlink"/>
          </w:rPr>
          <w:t xml:space="preserve">CSA</w:t>
        </w:r>
      </w:hyperlink>
      <w:r>
        <w:t xml:space="preserve">)</w:t>
      </w:r>
    </w:p>
    <w:p>
      <w:pPr>
        <w:pStyle w:val="Compact"/>
        <w:numPr>
          <w:ilvl w:val="0"/>
          <w:numId w:val="1315"/>
        </w:numPr>
      </w:pPr>
      <w:r>
        <w:rPr>
          <w:b/>
          <w:bCs/>
        </w:rPr>
        <w:t xml:space="preserve">National Cyber Security Agency (NACSA), Malaysia.</w:t>
      </w:r>
      <w:r>
        <w:t xml:space="preserve"> </w:t>
      </w:r>
      <w:r>
        <w:rPr>
          <w:b/>
          <w:bCs/>
        </w:rPr>
        <w:t xml:space="preserve">NCII Sectors Listing</w:t>
      </w:r>
      <w:r>
        <w:t xml:space="preserve">. (</w:t>
      </w:r>
      <w:hyperlink r:id="rId55">
        <w:r>
          <w:rPr>
            <w:rStyle w:val="Hyperlink"/>
          </w:rPr>
          <w:t xml:space="preserve">NACSA</w:t>
        </w:r>
      </w:hyperlink>
      <w:r>
        <w:t xml:space="preserve">)</w:t>
      </w:r>
    </w:p>
    <w:p>
      <w:pPr>
        <w:pStyle w:val="Compact"/>
        <w:numPr>
          <w:ilvl w:val="0"/>
          <w:numId w:val="1315"/>
        </w:numPr>
      </w:pPr>
      <w:r>
        <w:rPr>
          <w:b/>
          <w:bCs/>
        </w:rPr>
        <w:t xml:space="preserve">Sekretariat Kabinet Republik Indonesia (Setkab).</w:t>
      </w:r>
      <w:r>
        <w:t xml:space="preserve"> </w:t>
      </w:r>
      <w:r>
        <w:rPr>
          <w:b/>
          <w:bCs/>
        </w:rPr>
        <w:t xml:space="preserve">Perpres 82/2022 Summary</w:t>
      </w:r>
      <w:r>
        <w:t xml:space="preserve">. (</w:t>
      </w:r>
      <w:hyperlink r:id="rId56">
        <w:r>
          <w:rPr>
            <w:rStyle w:val="Hyperlink"/>
          </w:rPr>
          <w:t xml:space="preserve">Setkab.go.id</w:t>
        </w:r>
      </w:hyperlink>
      <w:r>
        <w:t xml:space="preserve">)</w:t>
      </w:r>
    </w:p>
    <w:p>
      <w:pPr>
        <w:pStyle w:val="Compact"/>
        <w:numPr>
          <w:ilvl w:val="0"/>
          <w:numId w:val="1315"/>
        </w:numPr>
      </w:pPr>
      <w:r>
        <w:rPr>
          <w:b/>
          <w:bCs/>
        </w:rPr>
        <w:t xml:space="preserve">Thailand Cybersecurity Act Overview</w:t>
      </w:r>
      <w:r>
        <w:t xml:space="preserve">. (</w:t>
      </w:r>
      <w:hyperlink r:id="rId57">
        <w:r>
          <w:rPr>
            <w:rStyle w:val="Hyperlink"/>
          </w:rPr>
          <w:t xml:space="preserve">ABB</w:t>
        </w:r>
      </w:hyperlink>
      <w:r>
        <w:t xml:space="preserve">)</w:t>
      </w:r>
    </w:p>
    <w:p>
      <w:pPr>
        <w:pStyle w:val="Compact"/>
        <w:numPr>
          <w:ilvl w:val="0"/>
          <w:numId w:val="1315"/>
        </w:numPr>
      </w:pPr>
      <w:r>
        <w:rPr>
          <w:b/>
          <w:bCs/>
        </w:rPr>
        <w:t xml:space="preserve">Cyber Security Authority, Ghana.</w:t>
      </w:r>
      <w:r>
        <w:t xml:space="preserve"> </w:t>
      </w:r>
      <w:r>
        <w:rPr>
          <w:b/>
          <w:bCs/>
        </w:rPr>
        <w:t xml:space="preserve">CII Sector Directive</w:t>
      </w:r>
      <w:r>
        <w:t xml:space="preserve">. (</w:t>
      </w:r>
      <w:hyperlink r:id="rId58">
        <w:r>
          <w:rPr>
            <w:rStyle w:val="Hyperlink"/>
          </w:rPr>
          <w:t xml:space="preserve">CSA.gov.gh</w:t>
        </w:r>
      </w:hyperlink>
      <w:r>
        <w:t xml:space="preserve">)</w:t>
      </w:r>
    </w:p>
    <w:p>
      <w:pPr>
        <w:pStyle w:val="Compact"/>
        <w:numPr>
          <w:ilvl w:val="0"/>
          <w:numId w:val="1315"/>
        </w:numPr>
      </w:pPr>
      <w:r>
        <w:rPr>
          <w:b/>
          <w:bCs/>
        </w:rPr>
        <w:t xml:space="preserve">National Cybersecurity Coordination Committee (NC4), Kenya.</w:t>
      </w:r>
      <w:r>
        <w:t xml:space="preserve"> </w:t>
      </w:r>
      <w:r>
        <w:rPr>
          <w:b/>
          <w:bCs/>
        </w:rPr>
        <w:t xml:space="preserve">CII Sector Listing</w:t>
      </w:r>
      <w:r>
        <w:t xml:space="preserve">. (</w:t>
      </w:r>
      <w:hyperlink r:id="rId98">
        <w:r>
          <w:rPr>
            <w:rStyle w:val="Hyperlink"/>
          </w:rPr>
          <w:t xml:space="preserve">NC4</w:t>
        </w:r>
      </w:hyperlink>
      <w:r>
        <w:t xml:space="preserve">)</w:t>
      </w:r>
    </w:p>
    <w:p>
      <w:pPr>
        <w:pStyle w:val="Compact"/>
        <w:numPr>
          <w:ilvl w:val="0"/>
          <w:numId w:val="1315"/>
        </w:numPr>
      </w:pPr>
      <w:r>
        <w:rPr>
          <w:b/>
          <w:bCs/>
        </w:rPr>
        <w:t xml:space="preserve">ngCERT (Nigeria).</w:t>
      </w:r>
      <w:r>
        <w:t xml:space="preserve"> </w:t>
      </w:r>
      <w:r>
        <w:rPr>
          <w:b/>
          <w:bCs/>
        </w:rPr>
        <w:t xml:space="preserve">National Cybersecurity Policy &amp; Strategy</w:t>
      </w:r>
      <w:r>
        <w:t xml:space="preserve">. (</w:t>
      </w:r>
      <w:hyperlink r:id="rId99">
        <w:r>
          <w:rPr>
            <w:rStyle w:val="Hyperlink"/>
          </w:rPr>
          <w:t xml:space="preserve">ngCERT</w:t>
        </w:r>
      </w:hyperlink>
      <w:r>
        <w:t xml:space="preserve">)</w:t>
      </w:r>
    </w:p>
    <w:p>
      <w:pPr>
        <w:pStyle w:val="Compact"/>
        <w:numPr>
          <w:ilvl w:val="0"/>
          <w:numId w:val="1315"/>
        </w:numPr>
      </w:pPr>
      <w:r>
        <w:rPr>
          <w:b/>
          <w:bCs/>
        </w:rPr>
        <w:t xml:space="preserve">EG-CERT (Egypt).</w:t>
      </w:r>
      <w:r>
        <w:t xml:space="preserve"> </w:t>
      </w:r>
      <w:r>
        <w:rPr>
          <w:b/>
          <w:bCs/>
        </w:rPr>
        <w:t xml:space="preserve">National Cybersecurity Strategy 2023-2027</w:t>
      </w:r>
      <w:r>
        <w:t xml:space="preserve">. (</w:t>
      </w:r>
      <w:hyperlink r:id="rId101">
        <w:r>
          <w:rPr>
            <w:rStyle w:val="Hyperlink"/>
          </w:rPr>
          <w:t xml:space="preserve">egcert.eg</w:t>
        </w:r>
      </w:hyperlink>
      <w:r>
        <w:t xml:space="preserve">)</w:t>
      </w:r>
    </w:p>
    <w:p>
      <w:pPr>
        <w:pStyle w:val="Compact"/>
        <w:numPr>
          <w:ilvl w:val="0"/>
          <w:numId w:val="1315"/>
        </w:numPr>
      </w:pPr>
      <w:r>
        <w:rPr>
          <w:b/>
          <w:bCs/>
        </w:rPr>
        <w:t xml:space="preserve">Bahrain National Cybersecurity Center.</w:t>
      </w:r>
      <w:r>
        <w:t xml:space="preserve"> </w:t>
      </w:r>
      <w:r>
        <w:rPr>
          <w:b/>
          <w:bCs/>
        </w:rPr>
        <w:t xml:space="preserve">CNI Sectors List</w:t>
      </w:r>
      <w:r>
        <w:t xml:space="preserve">. (</w:t>
      </w:r>
      <w:hyperlink r:id="rId121">
        <w:r>
          <w:rPr>
            <w:rStyle w:val="Hyperlink"/>
          </w:rPr>
          <w:t xml:space="preserve">NCSC.gov.bh</w:t>
        </w:r>
      </w:hyperlink>
      <w:r>
        <w:t xml:space="preserve">)</w:t>
      </w:r>
    </w:p>
    <w:p>
      <w:pPr>
        <w:pStyle w:val="Compact"/>
        <w:numPr>
          <w:ilvl w:val="0"/>
          <w:numId w:val="1315"/>
        </w:numPr>
      </w:pPr>
      <w:r>
        <w:rPr>
          <w:b/>
          <w:bCs/>
        </w:rPr>
        <w:t xml:space="preserve">The Peninsula Qatar.</w:t>
      </w:r>
      <w:r>
        <w:t xml:space="preserve"> </w:t>
      </w:r>
      <w:r>
        <w:rPr>
          <w:b/>
          <w:bCs/>
        </w:rPr>
        <w:t xml:space="preserve">Qatar Strategy Launch Report</w:t>
      </w:r>
      <w:r>
        <w:t xml:space="preserve">. (</w:t>
      </w:r>
      <w:hyperlink r:id="rId123">
        <w:r>
          <w:rPr>
            <w:rStyle w:val="Hyperlink"/>
          </w:rPr>
          <w:t xml:space="preserve">The Peninsula</w:t>
        </w:r>
      </w:hyperlink>
      <w:r>
        <w:t xml:space="preserve">)</w:t>
      </w:r>
    </w:p>
    <w:p>
      <w:pPr>
        <w:pStyle w:val="Compact"/>
        <w:numPr>
          <w:ilvl w:val="0"/>
          <w:numId w:val="1315"/>
        </w:numPr>
      </w:pPr>
      <w:r>
        <w:rPr>
          <w:b/>
          <w:bCs/>
        </w:rPr>
        <w:t xml:space="preserve">UNODC.</w:t>
      </w:r>
      <w:r>
        <w:t xml:space="preserve"> </w:t>
      </w:r>
      <w:r>
        <w:rPr>
          <w:b/>
          <w:bCs/>
        </w:rPr>
        <w:t xml:space="preserve">UAE National Cybersecurity Strategy Summary</w:t>
      </w:r>
      <w:r>
        <w:t xml:space="preserve">. (</w:t>
      </w:r>
      <w:hyperlink r:id="rId125">
        <w:r>
          <w:rPr>
            <w:rStyle w:val="Hyperlink"/>
          </w:rPr>
          <w:t xml:space="preserve">UNODC</w:t>
        </w:r>
      </w:hyperlink>
      <w:r>
        <w:t xml:space="preserve">)</w:t>
      </w:r>
    </w:p>
    <w:p>
      <w:pPr>
        <w:pStyle w:val="Compact"/>
        <w:numPr>
          <w:ilvl w:val="0"/>
          <w:numId w:val="1315"/>
        </w:numPr>
      </w:pPr>
      <w:r>
        <w:rPr>
          <w:b/>
          <w:bCs/>
        </w:rPr>
        <w:t xml:space="preserve">Republic of Kazakhstan.</w:t>
      </w:r>
      <w:r>
        <w:t xml:space="preserve"> </w:t>
      </w:r>
      <w:r>
        <w:rPr>
          <w:b/>
          <w:bCs/>
        </w:rPr>
        <w:t xml:space="preserve">“Adilet” LIS: CIIC Rules</w:t>
      </w:r>
      <w:r>
        <w:t xml:space="preserve">. (</w:t>
      </w:r>
      <w:hyperlink r:id="rId343">
        <w:r>
          <w:rPr>
            <w:rStyle w:val="Hyperlink"/>
          </w:rPr>
          <w:t xml:space="preserve">Adilet</w:t>
        </w:r>
      </w:hyperlink>
      <w:r>
        <w:t xml:space="preserve">)</w:t>
      </w:r>
    </w:p>
    <w:p>
      <w:pPr>
        <w:pStyle w:val="Compact"/>
        <w:numPr>
          <w:ilvl w:val="0"/>
          <w:numId w:val="1315"/>
        </w:numPr>
      </w:pPr>
      <w:r>
        <w:rPr>
          <w:b/>
          <w:bCs/>
        </w:rPr>
        <w:t xml:space="preserve">Kyrgyz Republic.</w:t>
      </w:r>
      <w:r>
        <w:t xml:space="preserve"> </w:t>
      </w:r>
      <w:r>
        <w:rPr>
          <w:b/>
          <w:bCs/>
        </w:rPr>
        <w:t xml:space="preserve">Regulation for Information Protection in SIS</w:t>
      </w:r>
      <w:r>
        <w:t xml:space="preserve">. (</w:t>
      </w:r>
      <w:hyperlink r:id="rId350">
        <w:r>
          <w:rPr>
            <w:rStyle w:val="Hyperlink"/>
          </w:rPr>
          <w:t xml:space="preserve">dpa.gov.kg</w:t>
        </w:r>
      </w:hyperlink>
      <w:r>
        <w:t xml:space="preserve">)</w:t>
      </w:r>
    </w:p>
    <w:p>
      <w:pPr>
        <w:pStyle w:val="Compact"/>
        <w:numPr>
          <w:ilvl w:val="0"/>
          <w:numId w:val="1315"/>
        </w:numPr>
      </w:pPr>
      <w:r>
        <w:rPr>
          <w:b/>
          <w:bCs/>
        </w:rPr>
        <w:t xml:space="preserve">Republic of Zambia.</w:t>
      </w:r>
      <w:r>
        <w:t xml:space="preserve"> </w:t>
      </w:r>
      <w:r>
        <w:rPr>
          <w:b/>
          <w:bCs/>
        </w:rPr>
        <w:t xml:space="preserve">Cyber Security Act, 2025</w:t>
      </w:r>
      <w:r>
        <w:t xml:space="preserve">. (</w:t>
      </w:r>
      <w:hyperlink r:id="rId344">
        <w:r>
          <w:rPr>
            <w:rStyle w:val="Hyperlink"/>
          </w:rPr>
          <w:t xml:space="preserve">ZambiaLII</w:t>
        </w:r>
      </w:hyperlink>
      <w:r>
        <w:t xml:space="preserve">)</w:t>
      </w:r>
    </w:p>
    <w:p>
      <w:pPr>
        <w:pStyle w:val="Compact"/>
        <w:numPr>
          <w:ilvl w:val="0"/>
          <w:numId w:val="1315"/>
        </w:numPr>
      </w:pPr>
      <w:r>
        <w:rPr>
          <w:b/>
          <w:bCs/>
        </w:rPr>
        <w:t xml:space="preserve">Republic of Botswana.</w:t>
      </w:r>
      <w:r>
        <w:t xml:space="preserve"> </w:t>
      </w:r>
      <w:r>
        <w:rPr>
          <w:b/>
          <w:bCs/>
        </w:rPr>
        <w:t xml:space="preserve">National Cybersecurity Strategy</w:t>
      </w:r>
      <w:r>
        <w:t xml:space="preserve">. (</w:t>
      </w:r>
      <w:hyperlink r:id="rId345">
        <w:r>
          <w:rPr>
            <w:rStyle w:val="Hyperlink"/>
          </w:rPr>
          <w:t xml:space="preserve">BoCRA</w:t>
        </w:r>
      </w:hyperlink>
      <w:r>
        <w:t xml:space="preserve">)</w:t>
      </w:r>
    </w:p>
    <w:p>
      <w:pPr>
        <w:pStyle w:val="Compact"/>
        <w:numPr>
          <w:ilvl w:val="0"/>
          <w:numId w:val="1315"/>
        </w:numPr>
      </w:pPr>
      <w:r>
        <w:rPr>
          <w:b/>
          <w:bCs/>
        </w:rPr>
        <w:t xml:space="preserve">Kaspersky Regulhub.</w:t>
      </w:r>
      <w:r>
        <w:t xml:space="preserve"> </w:t>
      </w:r>
      <w:r>
        <w:rPr>
          <w:b/>
          <w:bCs/>
        </w:rPr>
        <w:t xml:space="preserve">Russia 187-FZ Scope List</w:t>
      </w:r>
      <w:r>
        <w:t xml:space="preserve">. (</w:t>
      </w:r>
      <w:hyperlink r:id="rId346">
        <w:r>
          <w:rPr>
            <w:rStyle w:val="Hyperlink"/>
          </w:rPr>
          <w:t xml:space="preserve">Regulhub</w:t>
        </w:r>
      </w:hyperlink>
      <w:r>
        <w:t xml:space="preserve">)</w:t>
      </w:r>
    </w:p>
    <w:p>
      <w:pPr>
        <w:pStyle w:val="Compact"/>
        <w:numPr>
          <w:ilvl w:val="0"/>
          <w:numId w:val="1315"/>
        </w:numPr>
      </w:pPr>
      <w:r>
        <w:rPr>
          <w:b/>
          <w:bCs/>
        </w:rPr>
        <w:t xml:space="preserve">Verkhovna Rada.</w:t>
      </w:r>
      <w:r>
        <w:t xml:space="preserve"> </w:t>
      </w:r>
      <w:r>
        <w:rPr>
          <w:b/>
          <w:bCs/>
        </w:rPr>
        <w:t xml:space="preserve">Official Legal Portal of Ukraine</w:t>
      </w:r>
      <w:r>
        <w:t xml:space="preserve">. (</w:t>
      </w:r>
      <w:hyperlink r:id="rId347">
        <w:r>
          <w:rPr>
            <w:rStyle w:val="Hyperlink"/>
          </w:rPr>
          <w:t xml:space="preserve">Rada.gov.ua</w:t>
        </w:r>
      </w:hyperlink>
      <w:r>
        <w:t xml:space="preserve">)</w:t>
      </w:r>
    </w:p>
    <w:p>
      <w:pPr>
        <w:sectPr>
          <w:footerReference w:type="first" r:id="rId13"/>
          <w:footerReference w:type="default" r:id="rId11"/>
          <w:footerReference w:type="even" r:id="rId10"/>
          <w:type w:val="nextPage"/>
        </w:sectPr>
      </w:pPr>
    </w:p>
    <w:bookmarkEnd w:id="351"/>
    <w:bookmarkEnd w:id="352"/>
    <w:bookmarkStart w:id="412" w:name="X08c392bacdc7e2ae4b6e28aaeb3c929e1947b22"/>
    <w:p>
      <w:pPr>
        <w:pStyle w:val="Heading1"/>
      </w:pPr>
      <w:r>
        <w:t xml:space="preserve">Health Sector Critical Information Infrastructure: Metrics and Grading Framework</w:t>
      </w:r>
    </w:p>
    <w:bookmarkStart w:id="353" w:name="introduction"/>
    <w:p>
      <w:pPr>
        <w:pStyle w:val="Heading2"/>
      </w:pPr>
      <w:r>
        <w:t xml:space="preserve">Introduction</w:t>
      </w:r>
    </w:p>
    <w:p>
      <w:pPr>
        <w:pStyle w:val="FirstParagraph"/>
      </w:pPr>
      <w:r>
        <w:t xml:space="preserve">This chapter synthesizes the comprehensive analysis of 17 jurisdictions to define a</w:t>
      </w:r>
      <w:r>
        <w:t xml:space="preserve"> </w:t>
      </w:r>
      <w:r>
        <w:rPr>
          <w:b/>
          <w:bCs/>
        </w:rPr>
        <w:t xml:space="preserve">metrics-based framework</w:t>
      </w:r>
      <w:r>
        <w:t xml:space="preserve"> </w:t>
      </w:r>
      <w:r>
        <w:t xml:space="preserve">for identifying and classifying health sector entities as</w:t>
      </w:r>
      <w:r>
        <w:t xml:space="preserve"> </w:t>
      </w:r>
      <w:r>
        <w:rPr>
          <w:b/>
          <w:bCs/>
        </w:rPr>
        <w:t xml:space="preserve">Critical Information Infrastructure (CII)</w:t>
      </w:r>
      <w:r>
        <w:t xml:space="preserve">. The framework combines quantitative thresholds with qualitative criteria, drawing on global best practices to create a practical, adaptable approach.</w:t>
      </w:r>
    </w:p>
    <w:p>
      <w:r>
        <w:pict>
          <v:rect style="width:0;height:1.5pt" o:hralign="center" o:hrstd="t" o:hr="t"/>
        </w:pict>
      </w:r>
    </w:p>
    <w:bookmarkEnd w:id="353"/>
    <w:bookmarkStart w:id="357" w:name="part-1-designation-metrics"/>
    <w:p>
      <w:pPr>
        <w:pStyle w:val="Heading2"/>
      </w:pPr>
      <w:r>
        <w:t xml:space="preserve">Part 1: Designation Metrics</w:t>
      </w:r>
    </w:p>
    <w:bookmarkStart w:id="354" w:name="X0f8d6382e291c338260622cddab28b2a186ff09"/>
    <w:p>
      <w:pPr>
        <w:pStyle w:val="Heading3"/>
      </w:pPr>
      <w:r>
        <w:t xml:space="preserve">1.1 Quantitative Thresholds (Direct Evidence from Global Frameworks)</w:t>
      </w:r>
    </w:p>
    <w:tbl>
      <w:tblPr>
        <w:tblStyle w:val="Table"/>
        <w:tblW w:type="pct" w:w="5000"/>
        <w:tblLayout w:type="fixed"/>
        <w:tblLook w:firstRow="1" w:lastRow="0" w:firstColumn="0" w:lastColumn="0" w:noHBand="0" w:noVBand="0" w:val="0020"/>
      </w:tblPr>
      <w:tblGrid>
        <w:gridCol w:w="2071"/>
        <w:gridCol w:w="1340"/>
        <w:gridCol w:w="2558"/>
        <w:gridCol w:w="1949"/>
      </w:tblGrid>
      <w:tr>
        <w:trPr>
          <w:tblHeader w:val="on"/>
        </w:trPr>
        <w:tc>
          <w:tcPr/>
          <w:p>
            <w:pPr>
              <w:pStyle w:val="Compact"/>
              <w:jc w:val="left"/>
            </w:pPr>
            <w:r>
              <w:t xml:space="preserve">Metric Category</w:t>
            </w:r>
          </w:p>
        </w:tc>
        <w:tc>
          <w:tcPr/>
          <w:p>
            <w:pPr>
              <w:pStyle w:val="Compact"/>
              <w:jc w:val="left"/>
            </w:pPr>
            <w:r>
              <w:t xml:space="preserve">Threshold</w:t>
            </w:r>
          </w:p>
        </w:tc>
        <w:tc>
          <w:tcPr/>
          <w:p>
            <w:pPr>
              <w:pStyle w:val="Compact"/>
              <w:jc w:val="left"/>
            </w:pPr>
            <w:r>
              <w:t xml:space="preserve">Jurisdiction Source</w:t>
            </w:r>
          </w:p>
        </w:tc>
        <w:tc>
          <w:tcPr/>
          <w:p>
            <w:pPr>
              <w:pStyle w:val="Compact"/>
              <w:jc w:val="left"/>
            </w:pPr>
            <w:r>
              <w:t xml:space="preserve">Evidence Level</w:t>
            </w:r>
          </w:p>
        </w:tc>
      </w:tr>
      <w:tr>
        <w:tc>
          <w:tcPr/>
          <w:p>
            <w:pPr>
              <w:pStyle w:val="Compact"/>
              <w:jc w:val="left"/>
            </w:pPr>
            <w:r>
              <w:rPr>
                <w:b/>
                <w:bCs/>
              </w:rPr>
              <w:t xml:space="preserve">Inpatient case volume</w:t>
            </w:r>
          </w:p>
        </w:tc>
        <w:tc>
          <w:tcPr/>
          <w:p>
            <w:pPr>
              <w:pStyle w:val="Compact"/>
              <w:jc w:val="left"/>
            </w:pPr>
            <w:r>
              <w:t xml:space="preserve">≥30,000 full inpatient cases/year</w:t>
            </w:r>
          </w:p>
        </w:tc>
        <w:tc>
          <w:tcPr/>
          <w:p>
            <w:pPr>
              <w:pStyle w:val="Compact"/>
              <w:jc w:val="left"/>
            </w:pPr>
            <w:r>
              <w:t xml:space="preserve">Germany (BSI-KritisV Anhang 5)</w:t>
            </w:r>
          </w:p>
        </w:tc>
        <w:tc>
          <w:tcPr/>
          <w:p>
            <w:pPr>
              <w:pStyle w:val="Compact"/>
              <w:jc w:val="left"/>
            </w:pPr>
            <w:r>
              <w:t xml:space="preserve">Explicit</w:t>
            </w:r>
          </w:p>
        </w:tc>
      </w:tr>
      <w:tr>
        <w:tc>
          <w:tcPr/>
          <w:p>
            <w:pPr>
              <w:pStyle w:val="Compact"/>
              <w:jc w:val="left"/>
            </w:pPr>
            <w:r>
              <w:rPr>
                <w:b/>
                <w:bCs/>
              </w:rPr>
              <w:t xml:space="preserve">ICU presence</w:t>
            </w:r>
          </w:p>
        </w:tc>
        <w:tc>
          <w:tcPr/>
          <w:p>
            <w:pPr>
              <w:pStyle w:val="Compact"/>
              <w:jc w:val="left"/>
            </w:pPr>
            <w:r>
              <w:t xml:space="preserve">Hospital has a general ICU (capable of mechanical ventilation for several days + invasive cardiovascular monitoring)</w:t>
            </w:r>
          </w:p>
        </w:tc>
        <w:tc>
          <w:tcPr/>
          <w:p>
            <w:pPr>
              <w:pStyle w:val="Compact"/>
              <w:jc w:val="left"/>
            </w:pPr>
            <w:r>
              <w:t xml:space="preserve">Australia (SOCI Act 2018)</w:t>
            </w:r>
          </w:p>
        </w:tc>
        <w:tc>
          <w:tcPr/>
          <w:p>
            <w:pPr>
              <w:pStyle w:val="Compact"/>
              <w:jc w:val="left"/>
            </w:pPr>
            <w:r>
              <w:t xml:space="preserve">Explicit</w:t>
            </w:r>
          </w:p>
        </w:tc>
      </w:tr>
      <w:tr>
        <w:tc>
          <w:tcPr/>
          <w:p>
            <w:pPr>
              <w:pStyle w:val="Compact"/>
              <w:jc w:val="left"/>
            </w:pPr>
            <w:r>
              <w:rPr>
                <w:b/>
                <w:bCs/>
              </w:rPr>
              <w:t xml:space="preserve">Organization size</w:t>
            </w:r>
          </w:p>
        </w:tc>
        <w:tc>
          <w:tcPr/>
          <w:p>
            <w:pPr>
              <w:pStyle w:val="Compact"/>
              <w:jc w:val="left"/>
            </w:pPr>
            <w:r>
              <w:t xml:space="preserve">≥50 employees OR €10M+ annual turnover</w:t>
            </w:r>
          </w:p>
        </w:tc>
        <w:tc>
          <w:tcPr/>
          <w:p>
            <w:pPr>
              <w:pStyle w:val="Compact"/>
              <w:jc w:val="left"/>
            </w:pPr>
            <w:r>
              <w:t xml:space="preserve">EU NIS2 Directive</w:t>
            </w:r>
          </w:p>
        </w:tc>
        <w:tc>
          <w:tcPr/>
          <w:p>
            <w:pPr>
              <w:pStyle w:val="Compact"/>
              <w:jc w:val="left"/>
            </w:pPr>
            <w:r>
              <w:t xml:space="preserve">Explicit</w:t>
            </w:r>
          </w:p>
        </w:tc>
      </w:tr>
      <w:tr>
        <w:tc>
          <w:tcPr/>
          <w:p>
            <w:pPr>
              <w:pStyle w:val="Compact"/>
              <w:jc w:val="left"/>
            </w:pPr>
            <w:r>
              <w:rPr>
                <w:b/>
                <w:bCs/>
              </w:rPr>
              <w:t xml:space="preserve">Laboratory throughput</w:t>
            </w:r>
          </w:p>
        </w:tc>
        <w:tc>
          <w:tcPr/>
          <w:p>
            <w:pPr>
              <w:pStyle w:val="Compact"/>
              <w:jc w:val="left"/>
            </w:pPr>
            <w:r>
              <w:t xml:space="preserve">≥1,500,000 diagnostic tests/year</w:t>
            </w:r>
          </w:p>
        </w:tc>
        <w:tc>
          <w:tcPr/>
          <w:p>
            <w:pPr>
              <w:pStyle w:val="Compact"/>
              <w:jc w:val="left"/>
            </w:pPr>
            <w:r>
              <w:t xml:space="preserve">Germany (BSI-KritisV)</w:t>
            </w:r>
          </w:p>
        </w:tc>
        <w:tc>
          <w:tcPr/>
          <w:p>
            <w:pPr>
              <w:pStyle w:val="Compact"/>
              <w:jc w:val="left"/>
            </w:pPr>
            <w:r>
              <w:t xml:space="preserve">Explicit</w:t>
            </w:r>
          </w:p>
        </w:tc>
      </w:tr>
      <w:tr>
        <w:tc>
          <w:tcPr/>
          <w:p>
            <w:pPr>
              <w:pStyle w:val="Compact"/>
              <w:jc w:val="left"/>
            </w:pPr>
            <w:r>
              <w:rPr>
                <w:b/>
                <w:bCs/>
              </w:rPr>
              <w:t xml:space="preserve">Blood/plasma production</w:t>
            </w:r>
          </w:p>
        </w:tc>
        <w:tc>
          <w:tcPr/>
          <w:p>
            <w:pPr>
              <w:pStyle w:val="Compact"/>
              <w:jc w:val="left"/>
            </w:pPr>
            <w:r>
              <w:t xml:space="preserve">≥34,000 products manufactured or marketed/year</w:t>
            </w:r>
          </w:p>
        </w:tc>
        <w:tc>
          <w:tcPr/>
          <w:p>
            <w:pPr>
              <w:pStyle w:val="Compact"/>
              <w:jc w:val="left"/>
            </w:pPr>
            <w:r>
              <w:t xml:space="preserve">Germany (BSI-KritisV)</w:t>
            </w:r>
          </w:p>
        </w:tc>
        <w:tc>
          <w:tcPr/>
          <w:p>
            <w:pPr>
              <w:pStyle w:val="Compact"/>
              <w:jc w:val="left"/>
            </w:pPr>
            <w:r>
              <w:t xml:space="preserve">Explicit</w:t>
            </w:r>
          </w:p>
        </w:tc>
      </w:tr>
      <w:tr>
        <w:tc>
          <w:tcPr/>
          <w:p>
            <w:pPr>
              <w:pStyle w:val="Compact"/>
              <w:jc w:val="left"/>
            </w:pPr>
            <w:r>
              <w:rPr>
                <w:b/>
                <w:bCs/>
              </w:rPr>
              <w:t xml:space="preserve">Customer impact (national)</w:t>
            </w:r>
          </w:p>
        </w:tc>
        <w:tc>
          <w:tcPr/>
          <w:p>
            <w:pPr>
              <w:pStyle w:val="Compact"/>
              <w:jc w:val="left"/>
            </w:pPr>
            <w:r>
              <w:t xml:space="preserve">Service loss affecting &gt;100,000 customers</w:t>
            </w:r>
          </w:p>
        </w:tc>
        <w:tc>
          <w:tcPr/>
          <w:p>
            <w:pPr>
              <w:pStyle w:val="Compact"/>
              <w:jc w:val="left"/>
            </w:pPr>
            <w:r>
              <w:t xml:space="preserve">New Zealand (NVA 2023)</w:t>
            </w:r>
          </w:p>
        </w:tc>
        <w:tc>
          <w:tcPr/>
          <w:p>
            <w:pPr>
              <w:pStyle w:val="Compact"/>
              <w:jc w:val="left"/>
            </w:pPr>
            <w:r>
              <w:t xml:space="preserve">Explicit</w:t>
            </w:r>
          </w:p>
        </w:tc>
      </w:tr>
      <w:tr>
        <w:tc>
          <w:tcPr/>
          <w:p>
            <w:pPr>
              <w:pStyle w:val="Compact"/>
              <w:jc w:val="left"/>
            </w:pPr>
            <w:r>
              <w:rPr>
                <w:b/>
                <w:bCs/>
              </w:rPr>
              <w:t xml:space="preserve">Customer impact (regional)</w:t>
            </w:r>
          </w:p>
        </w:tc>
        <w:tc>
          <w:tcPr/>
          <w:p>
            <w:pPr>
              <w:pStyle w:val="Compact"/>
              <w:jc w:val="left"/>
            </w:pPr>
            <w:r>
              <w:t xml:space="preserve">Service loss affecting 20,000–100,000 customers</w:t>
            </w:r>
          </w:p>
        </w:tc>
        <w:tc>
          <w:tcPr/>
          <w:p>
            <w:pPr>
              <w:pStyle w:val="Compact"/>
              <w:jc w:val="left"/>
            </w:pPr>
            <w:r>
              <w:t xml:space="preserve">New Zealand (NVA 2023)</w:t>
            </w:r>
          </w:p>
        </w:tc>
        <w:tc>
          <w:tcPr/>
          <w:p>
            <w:pPr>
              <w:pStyle w:val="Compact"/>
              <w:jc w:val="left"/>
            </w:pPr>
            <w:r>
              <w:t xml:space="preserve">Explicit</w:t>
            </w:r>
          </w:p>
        </w:tc>
      </w:tr>
    </w:tbl>
    <w:bookmarkEnd w:id="354"/>
    <w:bookmarkStart w:id="356" w:name="qualitative-designation-criteria"/>
    <w:p>
      <w:pPr>
        <w:pStyle w:val="Heading3"/>
      </w:pPr>
      <w:r>
        <w:t xml:space="preserve">1.2 Qualitative Designation Criteria</w:t>
      </w:r>
    </w:p>
    <w:bookmarkStart w:id="355" w:name="Xa063072a6853053f1a6389ede47066e2047aaba"/>
    <w:p>
      <w:pPr>
        <w:pStyle w:val="Heading4"/>
      </w:pPr>
      <w:r>
        <w:t xml:space="preserve">Functional Criticality Criteria (from 17 jurisdictions)</w:t>
      </w:r>
    </w:p>
    <w:tbl>
      <w:tblPr>
        <w:tblStyle w:val="Table"/>
        <w:tblW w:type="pct" w:w="5000"/>
        <w:tblLayout w:type="fixed"/>
        <w:tblLook w:firstRow="1" w:lastRow="0" w:firstColumn="0" w:lastColumn="0" w:noHBand="0" w:noVBand="0" w:val="0020"/>
      </w:tblPr>
      <w:tblGrid>
        <w:gridCol w:w="1853"/>
        <w:gridCol w:w="2190"/>
        <w:gridCol w:w="3875"/>
      </w:tblGrid>
      <w:tr>
        <w:trPr>
          <w:tblHeader w:val="on"/>
        </w:trPr>
        <w:tc>
          <w:tcPr/>
          <w:p>
            <w:pPr>
              <w:pStyle w:val="Compact"/>
              <w:jc w:val="left"/>
            </w:pPr>
            <w:r>
              <w:t xml:space="preserve">Criterion</w:t>
            </w:r>
          </w:p>
        </w:tc>
        <w:tc>
          <w:tcPr/>
          <w:p>
            <w:pPr>
              <w:pStyle w:val="Compact"/>
              <w:jc w:val="left"/>
            </w:pPr>
            <w:r>
              <w:t xml:space="preserve">Description</w:t>
            </w:r>
          </w:p>
        </w:tc>
        <w:tc>
          <w:tcPr/>
          <w:p>
            <w:pPr>
              <w:pStyle w:val="Compact"/>
              <w:jc w:val="left"/>
            </w:pPr>
            <w:r>
              <w:t xml:space="preserve">Jurisdiction Examples</w:t>
            </w:r>
          </w:p>
        </w:tc>
      </w:tr>
      <w:tr>
        <w:tc>
          <w:tcPr/>
          <w:p>
            <w:pPr>
              <w:pStyle w:val="Compact"/>
              <w:jc w:val="left"/>
            </w:pPr>
            <w:r>
              <w:rPr>
                <w:b/>
                <w:bCs/>
              </w:rPr>
              <w:t xml:space="preserve">Sole provider</w:t>
            </w:r>
          </w:p>
        </w:tc>
        <w:tc>
          <w:tcPr/>
          <w:p>
            <w:pPr>
              <w:pStyle w:val="Compact"/>
              <w:jc w:val="left"/>
            </w:pPr>
            <w:r>
              <w:t xml:space="preserve">Entity is the only provider of an essential service in a geographic area</w:t>
            </w:r>
          </w:p>
        </w:tc>
        <w:tc>
          <w:tcPr/>
          <w:p>
            <w:pPr>
              <w:pStyle w:val="Compact"/>
              <w:jc w:val="left"/>
            </w:pPr>
            <w:r>
              <w:t xml:space="preserve">EU NIS2, UK, Singapore</w:t>
            </w:r>
          </w:p>
        </w:tc>
      </w:tr>
      <w:tr>
        <w:tc>
          <w:tcPr/>
          <w:p>
            <w:pPr>
              <w:pStyle w:val="Compact"/>
              <w:jc w:val="left"/>
            </w:pPr>
            <w:r>
              <w:rPr>
                <w:b/>
                <w:bCs/>
              </w:rPr>
              <w:t xml:space="preserve">Debilitating effect</w:t>
            </w:r>
          </w:p>
        </w:tc>
        <w:tc>
          <w:tcPr/>
          <w:p>
            <w:pPr>
              <w:pStyle w:val="Compact"/>
              <w:jc w:val="left"/>
            </w:pPr>
            <w:r>
              <w:t xml:space="preserve">System compromise would have a debilitating effect on service availability</w:t>
            </w:r>
          </w:p>
        </w:tc>
        <w:tc>
          <w:tcPr/>
          <w:p>
            <w:pPr>
              <w:pStyle w:val="Compact"/>
              <w:jc w:val="left"/>
            </w:pPr>
            <w:r>
              <w:t xml:space="preserve">Singapore (Cybersecurity Act)</w:t>
            </w:r>
          </w:p>
        </w:tc>
      </w:tr>
      <w:tr>
        <w:tc>
          <w:tcPr/>
          <w:p>
            <w:pPr>
              <w:pStyle w:val="Compact"/>
              <w:jc w:val="left"/>
            </w:pPr>
            <w:r>
              <w:rPr>
                <w:b/>
                <w:bCs/>
              </w:rPr>
              <w:t xml:space="preserve">Public health impact</w:t>
            </w:r>
          </w:p>
        </w:tc>
        <w:tc>
          <w:tcPr/>
          <w:p>
            <w:pPr>
              <w:pStyle w:val="Compact"/>
              <w:jc w:val="left"/>
            </w:pPr>
            <w:r>
              <w:t xml:space="preserve">Disruption could seriously affect public health or safety</w:t>
            </w:r>
          </w:p>
        </w:tc>
        <w:tc>
          <w:tcPr/>
          <w:p>
            <w:pPr>
              <w:pStyle w:val="Compact"/>
              <w:jc w:val="left"/>
            </w:pPr>
            <w:r>
              <w:t xml:space="preserve">EU NIS2, Norway, Thailand, France</w:t>
            </w:r>
          </w:p>
        </w:tc>
      </w:tr>
      <w:tr>
        <w:tc>
          <w:tcPr/>
          <w:p>
            <w:pPr>
              <w:pStyle w:val="Compact"/>
              <w:jc w:val="left"/>
            </w:pPr>
            <w:r>
              <w:rPr>
                <w:b/>
                <w:bCs/>
              </w:rPr>
              <w:t xml:space="preserve">Cross-border impact</w:t>
            </w:r>
          </w:p>
        </w:tc>
        <w:tc>
          <w:tcPr/>
          <w:p>
            <w:pPr>
              <w:pStyle w:val="Compact"/>
              <w:jc w:val="left"/>
            </w:pPr>
            <w:r>
              <w:t xml:space="preserve">Significant systemic risk with potential cross-border effects</w:t>
            </w:r>
          </w:p>
        </w:tc>
        <w:tc>
          <w:tcPr/>
          <w:p>
            <w:pPr>
              <w:pStyle w:val="Compact"/>
              <w:jc w:val="left"/>
            </w:pPr>
            <w:r>
              <w:t xml:space="preserve">EU NIS2</w:t>
            </w:r>
          </w:p>
        </w:tc>
      </w:tr>
      <w:tr>
        <w:tc>
          <w:tcPr/>
          <w:p>
            <w:pPr>
              <w:pStyle w:val="Compact"/>
              <w:jc w:val="left"/>
            </w:pPr>
            <w:r>
              <w:rPr>
                <w:b/>
                <w:bCs/>
              </w:rPr>
              <w:t xml:space="preserve">Life-safety dependency</w:t>
            </w:r>
          </w:p>
        </w:tc>
        <w:tc>
          <w:tcPr/>
          <w:p>
            <w:pPr>
              <w:pStyle w:val="Compact"/>
              <w:jc w:val="left"/>
            </w:pPr>
            <w:r>
              <w:t xml:space="preserve">Direct dependency for life-critical patient care</w:t>
            </w:r>
          </w:p>
        </w:tc>
        <w:tc>
          <w:tcPr/>
          <w:p>
            <w:pPr>
              <w:pStyle w:val="Compact"/>
              <w:jc w:val="left"/>
            </w:pPr>
            <w:r>
              <w:t xml:space="preserve">All 17 jurisdictions</w:t>
            </w:r>
          </w:p>
        </w:tc>
      </w:tr>
      <w:tr>
        <w:tc>
          <w:tcPr/>
          <w:p>
            <w:pPr>
              <w:pStyle w:val="Compact"/>
              <w:jc w:val="left"/>
            </w:pPr>
            <w:r>
              <w:rPr>
                <w:b/>
                <w:bCs/>
              </w:rPr>
              <w:t xml:space="preserve">National/regional importance</w:t>
            </w:r>
          </w:p>
        </w:tc>
        <w:tc>
          <w:tcPr/>
          <w:p>
            <w:pPr>
              <w:pStyle w:val="Compact"/>
              <w:jc w:val="left"/>
            </w:pPr>
            <w:r>
              <w:t xml:space="preserve">Critical due to specific importance at national or regional level</w:t>
            </w:r>
          </w:p>
        </w:tc>
        <w:tc>
          <w:tcPr/>
          <w:p>
            <w:pPr>
              <w:pStyle w:val="Compact"/>
              <w:jc w:val="left"/>
            </w:pPr>
            <w:r>
              <w:t xml:space="preserve">EU NIS2, South Korea</w:t>
            </w:r>
          </w:p>
        </w:tc>
      </w:tr>
      <w:tr>
        <w:tc>
          <w:tcPr/>
          <w:p>
            <w:pPr>
              <w:pStyle w:val="Compact"/>
              <w:jc w:val="left"/>
            </w:pPr>
            <w:r>
              <w:rPr>
                <w:b/>
                <w:bCs/>
              </w:rPr>
              <w:t xml:space="preserve">Core function essentiality</w:t>
            </w:r>
          </w:p>
        </w:tc>
        <w:tc>
          <w:tcPr/>
          <w:p>
            <w:pPr>
              <w:pStyle w:val="Compact"/>
              <w:jc w:val="left"/>
            </w:pPr>
            <w:r>
              <w:t xml:space="preserve">System is essential to the core function of the infrastructure</w:t>
            </w:r>
          </w:p>
        </w:tc>
        <w:tc>
          <w:tcPr/>
          <w:p>
            <w:pPr>
              <w:pStyle w:val="Compact"/>
              <w:jc w:val="left"/>
            </w:pPr>
            <w:r>
              <w:t xml:space="preserve">Hong Kong</w:t>
            </w:r>
          </w:p>
        </w:tc>
      </w:tr>
      <w:tr>
        <w:tc>
          <w:tcPr/>
          <w:p>
            <w:pPr>
              <w:pStyle w:val="Compact"/>
              <w:jc w:val="left"/>
            </w:pPr>
            <w:r>
              <w:rPr>
                <w:b/>
                <w:bCs/>
              </w:rPr>
              <w:t xml:space="preserve">Substitutability</w:t>
            </w:r>
          </w:p>
        </w:tc>
        <w:tc>
          <w:tcPr/>
          <w:p>
            <w:pPr>
              <w:pStyle w:val="Compact"/>
              <w:jc w:val="left"/>
            </w:pPr>
            <w:r>
              <w:t xml:space="preserve">Difficult to substitute or replace</w:t>
            </w:r>
          </w:p>
        </w:tc>
        <w:tc>
          <w:tcPr/>
          <w:p>
            <w:pPr>
              <w:pStyle w:val="Compact"/>
              <w:jc w:val="left"/>
            </w:pPr>
            <w:r>
              <w:t xml:space="preserve">France, Hong Kong</w:t>
            </w:r>
          </w:p>
        </w:tc>
      </w:tr>
    </w:tbl>
    <w:p>
      <w:r>
        <w:pict>
          <v:rect style="width:0;height:1.5pt" o:hralign="center" o:hrstd="t" o:hr="t"/>
        </w:pict>
      </w:r>
    </w:p>
    <w:bookmarkEnd w:id="355"/>
    <w:bookmarkEnd w:id="356"/>
    <w:bookmarkEnd w:id="357"/>
    <w:bookmarkStart w:id="363" w:name="Xd0bd1a97e50c16631ca7a4f9372500c0088372a"/>
    <w:p>
      <w:pPr>
        <w:pStyle w:val="Heading2"/>
      </w:pPr>
      <w:r>
        <w:t xml:space="preserve">Part 2: Multi-Tier Classification Framework</w:t>
      </w:r>
    </w:p>
    <w:bookmarkStart w:id="358" w:name="recommended-three-tier-model"/>
    <w:p>
      <w:pPr>
        <w:pStyle w:val="Heading3"/>
      </w:pPr>
      <w:r>
        <w:t xml:space="preserve">2.1 Recommended Three-Tier Model</w:t>
      </w:r>
    </w:p>
    <w:p>
      <w:pPr>
        <w:pStyle w:val="FirstParagraph"/>
      </w:pPr>
      <w:r>
        <w:t xml:space="preserve">Based on global synthesis, a</w:t>
      </w:r>
      <w:r>
        <w:t xml:space="preserve"> </w:t>
      </w:r>
      <w:r>
        <w:rPr>
          <w:b/>
          <w:bCs/>
        </w:rPr>
        <w:t xml:space="preserve">three-tier classification</w:t>
      </w:r>
      <w:r>
        <w:t xml:space="preserve"> </w:t>
      </w:r>
      <w:r>
        <w:t xml:space="preserve">balances precision with administrative feasibility:</w:t>
      </w:r>
    </w:p>
    <w:p>
      <w:pPr>
        <w:pStyle w:val="SourceCode"/>
      </w:pPr>
      <w:r>
        <w:rPr>
          <w:rStyle w:val="VerbatimChar"/>
        </w:rPr>
        <w:t xml:space="preserve">┌─────────────────────────────────────────────────────────────────┐</w:t>
      </w:r>
      <w:r>
        <w:br/>
      </w:r>
      <w:r>
        <w:rPr>
          <w:rStyle w:val="VerbatimChar"/>
        </w:rPr>
        <w:t xml:space="preserve">│                     TIER 1: ESSENTIAL                           │</w:t>
      </w:r>
      <w:r>
        <w:br/>
      </w:r>
      <w:r>
        <w:rPr>
          <w:rStyle w:val="VerbatimChar"/>
        </w:rPr>
        <w:t xml:space="preserve">│     (Highest obligations, ex-ante supervision, 24/7 monitoring) │</w:t>
      </w:r>
      <w:r>
        <w:br/>
      </w:r>
      <w:r>
        <w:rPr>
          <w:rStyle w:val="VerbatimChar"/>
        </w:rPr>
        <w:t xml:space="preserve">├─────────────────────────────────────────────────────────────────┤</w:t>
      </w:r>
      <w:r>
        <w:br/>
      </w:r>
      <w:r>
        <w:rPr>
          <w:rStyle w:val="VerbatimChar"/>
        </w:rPr>
        <w:t xml:space="preserve">│                     TIER 2: IMPORTANT                           │</w:t>
      </w:r>
      <w:r>
        <w:br/>
      </w:r>
      <w:r>
        <w:rPr>
          <w:rStyle w:val="VerbatimChar"/>
        </w:rPr>
        <w:t xml:space="preserve">│     (Moderate obligations, ex-post supervision, regular audits) │</w:t>
      </w:r>
      <w:r>
        <w:br/>
      </w:r>
      <w:r>
        <w:rPr>
          <w:rStyle w:val="VerbatimChar"/>
        </w:rPr>
        <w:t xml:space="preserve">├─────────────────────────────────────────────────────────────────┤</w:t>
      </w:r>
      <w:r>
        <w:br/>
      </w:r>
      <w:r>
        <w:rPr>
          <w:rStyle w:val="VerbatimChar"/>
        </w:rPr>
        <w:t xml:space="preserve">│                     TIER 3: BASELINE                            │</w:t>
      </w:r>
      <w:r>
        <w:br/>
      </w:r>
      <w:r>
        <w:rPr>
          <w:rStyle w:val="VerbatimChar"/>
        </w:rPr>
        <w:t xml:space="preserve">│     (Basic cyber hygiene, voluntary reporting, self-assessment) │</w:t>
      </w:r>
      <w:r>
        <w:br/>
      </w:r>
      <w:r>
        <w:rPr>
          <w:rStyle w:val="VerbatimChar"/>
        </w:rPr>
        <w:t xml:space="preserve">└─────────────────────────────────────────────────────────────────┘</w:t>
      </w:r>
    </w:p>
    <w:bookmarkEnd w:id="358"/>
    <w:bookmarkStart w:id="362" w:name="tier-definitions-and-criteria"/>
    <w:p>
      <w:pPr>
        <w:pStyle w:val="Heading3"/>
      </w:pPr>
      <w:r>
        <w:t xml:space="preserve">2.2 Tier Definitions and Criteria</w:t>
      </w:r>
    </w:p>
    <w:bookmarkStart w:id="359" w:name="tier-1-essential-critical"/>
    <w:p>
      <w:pPr>
        <w:pStyle w:val="Heading4"/>
      </w:pPr>
      <w:r>
        <w:t xml:space="preserve">TIER 1: Essential (Critical)</w:t>
      </w:r>
    </w:p>
    <w:tbl>
      <w:tblPr>
        <w:tblStyle w:val="Table"/>
        <w:tblW w:type="pct" w:w="5000"/>
        <w:tblLayout w:type="fixed"/>
        <w:tblLook w:firstRow="1" w:lastRow="0" w:firstColumn="0" w:lastColumn="0" w:noHBand="0" w:noVBand="0" w:val="0020"/>
      </w:tblPr>
      <w:tblGrid>
        <w:gridCol w:w="2489"/>
        <w:gridCol w:w="3620"/>
        <w:gridCol w:w="1810"/>
      </w:tblGrid>
      <w:tr>
        <w:trPr>
          <w:tblHeader w:val="on"/>
        </w:trPr>
        <w:tc>
          <w:tcPr/>
          <w:p>
            <w:pPr>
              <w:pStyle w:val="Compact"/>
              <w:jc w:val="left"/>
            </w:pPr>
            <w:r>
              <w:t xml:space="preserve">Criterion</w:t>
            </w:r>
          </w:p>
        </w:tc>
        <w:tc>
          <w:tcPr/>
          <w:p>
            <w:pPr>
              <w:pStyle w:val="Compact"/>
              <w:jc w:val="left"/>
            </w:pPr>
            <w:r>
              <w:t xml:space="preserve">Threshold/Test</w:t>
            </w:r>
          </w:p>
        </w:tc>
        <w:tc>
          <w:tcPr/>
          <w:p>
            <w:pPr>
              <w:pStyle w:val="Compact"/>
              <w:jc w:val="left"/>
            </w:pPr>
            <w:r>
              <w:t xml:space="preserve">Weight</w:t>
            </w:r>
          </w:p>
        </w:tc>
      </w:tr>
      <w:tr>
        <w:tc>
          <w:tcPr/>
          <w:p>
            <w:pPr>
              <w:pStyle w:val="Compact"/>
              <w:jc w:val="left"/>
            </w:pPr>
            <w:r>
              <w:rPr>
                <w:b/>
                <w:bCs/>
              </w:rPr>
              <w:t xml:space="preserve">Quantitative Size</w:t>
            </w:r>
          </w:p>
        </w:tc>
        <w:tc>
          <w:tcPr/>
          <w:p>
            <w:pPr>
              <w:pStyle w:val="Compact"/>
              <w:jc w:val="left"/>
            </w:pPr>
            <w:r>
              <w:t xml:space="preserve">Meets ANY explicit threshold (e.g., ≥30,000 cases/year OR ≥50 employees)</w:t>
            </w:r>
          </w:p>
        </w:tc>
        <w:tc>
          <w:tcPr/>
          <w:p>
            <w:pPr>
              <w:pStyle w:val="Compact"/>
              <w:jc w:val="left"/>
            </w:pPr>
            <w:r>
              <w:t xml:space="preserve">High</w:t>
            </w:r>
          </w:p>
        </w:tc>
      </w:tr>
      <w:tr>
        <w:tc>
          <w:tcPr/>
          <w:p>
            <w:pPr>
              <w:pStyle w:val="Compact"/>
              <w:jc w:val="left"/>
            </w:pPr>
            <w:r>
              <w:rPr>
                <w:b/>
                <w:bCs/>
              </w:rPr>
              <w:t xml:space="preserve">ICU/Emergency Capability</w:t>
            </w:r>
          </w:p>
        </w:tc>
        <w:tc>
          <w:tcPr/>
          <w:p>
            <w:pPr>
              <w:pStyle w:val="Compact"/>
              <w:jc w:val="left"/>
            </w:pPr>
            <w:r>
              <w:t xml:space="preserve">Hospital with ICU and/or major trauma/emergency department</w:t>
            </w:r>
          </w:p>
        </w:tc>
        <w:tc>
          <w:tcPr/>
          <w:p>
            <w:pPr>
              <w:pStyle w:val="Compact"/>
              <w:jc w:val="left"/>
            </w:pPr>
            <w:r>
              <w:t xml:space="preserve">High</w:t>
            </w:r>
          </w:p>
        </w:tc>
      </w:tr>
      <w:tr>
        <w:tc>
          <w:tcPr/>
          <w:p>
            <w:pPr>
              <w:pStyle w:val="Compact"/>
              <w:jc w:val="left"/>
            </w:pPr>
            <w:r>
              <w:rPr>
                <w:b/>
                <w:bCs/>
              </w:rPr>
              <w:t xml:space="preserve">National System</w:t>
            </w:r>
          </w:p>
        </w:tc>
        <w:tc>
          <w:tcPr/>
          <w:p>
            <w:pPr>
              <w:pStyle w:val="Compact"/>
              <w:jc w:val="left"/>
            </w:pPr>
            <w:r>
              <w:t xml:space="preserve">Operates a national-level health information system</w:t>
            </w:r>
          </w:p>
        </w:tc>
        <w:tc>
          <w:tcPr/>
          <w:p>
            <w:pPr>
              <w:pStyle w:val="Compact"/>
              <w:jc w:val="left"/>
            </w:pPr>
            <w:r>
              <w:t xml:space="preserve">High</w:t>
            </w:r>
          </w:p>
        </w:tc>
      </w:tr>
      <w:tr>
        <w:tc>
          <w:tcPr/>
          <w:p>
            <w:pPr>
              <w:pStyle w:val="Compact"/>
              <w:jc w:val="left"/>
            </w:pPr>
            <w:r>
              <w:rPr>
                <w:b/>
                <w:bCs/>
              </w:rPr>
              <w:t xml:space="preserve">Sole Provider</w:t>
            </w:r>
          </w:p>
        </w:tc>
        <w:tc>
          <w:tcPr/>
          <w:p>
            <w:pPr>
              <w:pStyle w:val="Compact"/>
              <w:jc w:val="left"/>
            </w:pPr>
            <w:r>
              <w:t xml:space="preserve">Only provider of essential health service in region</w:t>
            </w:r>
          </w:p>
        </w:tc>
        <w:tc>
          <w:tcPr/>
          <w:p>
            <w:pPr>
              <w:pStyle w:val="Compact"/>
              <w:jc w:val="left"/>
            </w:pPr>
            <w:r>
              <w:t xml:space="preserve">High</w:t>
            </w:r>
          </w:p>
        </w:tc>
      </w:tr>
      <w:tr>
        <w:tc>
          <w:tcPr/>
          <w:p>
            <w:pPr>
              <w:pStyle w:val="Compact"/>
              <w:jc w:val="left"/>
            </w:pPr>
            <w:r>
              <w:rPr>
                <w:b/>
                <w:bCs/>
              </w:rPr>
              <w:t xml:space="preserve">Blood/Organ Services</w:t>
            </w:r>
          </w:p>
        </w:tc>
        <w:tc>
          <w:tcPr/>
          <w:p>
            <w:pPr>
              <w:pStyle w:val="Compact"/>
              <w:jc w:val="left"/>
            </w:pPr>
            <w:r>
              <w:t xml:space="preserve">Operates blood bank, organ allocation, or transfusion services at national/regional level</w:t>
            </w:r>
          </w:p>
        </w:tc>
        <w:tc>
          <w:tcPr/>
          <w:p>
            <w:pPr>
              <w:pStyle w:val="Compact"/>
              <w:jc w:val="left"/>
            </w:pPr>
            <w:r>
              <w:t xml:space="preserve">High</w:t>
            </w:r>
          </w:p>
        </w:tc>
      </w:tr>
      <w:tr>
        <w:tc>
          <w:tcPr/>
          <w:p>
            <w:pPr>
              <w:pStyle w:val="Compact"/>
              <w:jc w:val="left"/>
            </w:pPr>
            <w:r>
              <w:rPr>
                <w:b/>
                <w:bCs/>
              </w:rPr>
              <w:t xml:space="preserve">Disease Surveillance</w:t>
            </w:r>
          </w:p>
        </w:tc>
        <w:tc>
          <w:tcPr/>
          <w:p>
            <w:pPr>
              <w:pStyle w:val="Compact"/>
              <w:jc w:val="left"/>
            </w:pPr>
            <w:r>
              <w:t xml:space="preserve">Operates infectious disease surveillance at national/regional level</w:t>
            </w:r>
          </w:p>
        </w:tc>
        <w:tc>
          <w:tcPr/>
          <w:p>
            <w:pPr>
              <w:pStyle w:val="Compact"/>
              <w:jc w:val="left"/>
            </w:pPr>
            <w:r>
              <w:t xml:space="preserve">High</w:t>
            </w:r>
          </w:p>
        </w:tc>
      </w:tr>
    </w:tbl>
    <w:p>
      <w:pPr>
        <w:pStyle w:val="BodyText"/>
      </w:pPr>
      <w:r>
        <w:rPr>
          <w:b/>
          <w:bCs/>
        </w:rPr>
        <w:t xml:space="preserve">Examples of Tier 1 Entities:</w:t>
      </w:r>
      <w:r>
        <w:t xml:space="preserve"> </w:t>
      </w:r>
      <w:r>
        <w:t xml:space="preserve">- Major hospitals with ICU and emergency departments</w:t>
      </w:r>
      <w:r>
        <w:t xml:space="preserve"> </w:t>
      </w:r>
      <w:r>
        <w:t xml:space="preserve">- National/regional health information exchanges (EHR platforms)</w:t>
      </w:r>
      <w:r>
        <w:t xml:space="preserve"> </w:t>
      </w:r>
      <w:r>
        <w:t xml:space="preserve">- National blood and organ allocation services</w:t>
      </w:r>
      <w:r>
        <w:t xml:space="preserve"> </w:t>
      </w:r>
      <w:r>
        <w:t xml:space="preserve">- Disease surveillance and epidemic response systems</w:t>
      </w:r>
      <w:r>
        <w:t xml:space="preserve"> </w:t>
      </w:r>
      <w:r>
        <w:t xml:space="preserve">- Emergency ambulance dispatch systems (CAD)</w:t>
      </w:r>
      <w:r>
        <w:t xml:space="preserve"> </w:t>
      </w:r>
      <w:r>
        <w:t xml:space="preserve">- Class III Grade A hospitals (China terminology)</w:t>
      </w:r>
    </w:p>
    <w:p>
      <w:r>
        <w:pict>
          <v:rect style="width:0;height:1.5pt" o:hralign="center" o:hrstd="t" o:hr="t"/>
        </w:pict>
      </w:r>
    </w:p>
    <w:bookmarkEnd w:id="359"/>
    <w:bookmarkStart w:id="360" w:name="tier-2-important"/>
    <w:p>
      <w:pPr>
        <w:pStyle w:val="Heading4"/>
      </w:pPr>
      <w:r>
        <w:t xml:space="preserve">TIER 2: Important</w:t>
      </w:r>
    </w:p>
    <w:tbl>
      <w:tblPr>
        <w:tblStyle w:val="Table"/>
        <w:tblW w:type="pct" w:w="5000"/>
        <w:tblLayout w:type="fixed"/>
        <w:tblLook w:firstRow="1" w:lastRow="0" w:firstColumn="0" w:lastColumn="0" w:noHBand="0" w:noVBand="0" w:val="0020"/>
      </w:tblPr>
      <w:tblGrid>
        <w:gridCol w:w="2489"/>
        <w:gridCol w:w="3620"/>
        <w:gridCol w:w="1810"/>
      </w:tblGrid>
      <w:tr>
        <w:trPr>
          <w:tblHeader w:val="on"/>
        </w:trPr>
        <w:tc>
          <w:tcPr/>
          <w:p>
            <w:pPr>
              <w:pStyle w:val="Compact"/>
              <w:jc w:val="left"/>
            </w:pPr>
            <w:r>
              <w:t xml:space="preserve">Criterion</w:t>
            </w:r>
          </w:p>
        </w:tc>
        <w:tc>
          <w:tcPr/>
          <w:p>
            <w:pPr>
              <w:pStyle w:val="Compact"/>
              <w:jc w:val="left"/>
            </w:pPr>
            <w:r>
              <w:t xml:space="preserve">Threshold/Test</w:t>
            </w:r>
          </w:p>
        </w:tc>
        <w:tc>
          <w:tcPr/>
          <w:p>
            <w:pPr>
              <w:pStyle w:val="Compact"/>
              <w:jc w:val="left"/>
            </w:pPr>
            <w:r>
              <w:t xml:space="preserve">Weight</w:t>
            </w:r>
          </w:p>
        </w:tc>
      </w:tr>
      <w:tr>
        <w:tc>
          <w:tcPr/>
          <w:p>
            <w:pPr>
              <w:pStyle w:val="Compact"/>
              <w:jc w:val="left"/>
            </w:pPr>
            <w:r>
              <w:rPr>
                <w:b/>
                <w:bCs/>
              </w:rPr>
              <w:t xml:space="preserve">Moderate Size</w:t>
            </w:r>
          </w:p>
        </w:tc>
        <w:tc>
          <w:tcPr/>
          <w:p>
            <w:pPr>
              <w:pStyle w:val="Compact"/>
              <w:jc w:val="left"/>
            </w:pPr>
            <w:r>
              <w:t xml:space="preserve">Employs 10-49 OR €2M-€10M turnover</w:t>
            </w:r>
          </w:p>
        </w:tc>
        <w:tc>
          <w:tcPr/>
          <w:p>
            <w:pPr>
              <w:pStyle w:val="Compact"/>
              <w:jc w:val="left"/>
            </w:pPr>
            <w:r>
              <w:t xml:space="preserve">Medium</w:t>
            </w:r>
          </w:p>
        </w:tc>
      </w:tr>
      <w:tr>
        <w:tc>
          <w:tcPr/>
          <w:p>
            <w:pPr>
              <w:pStyle w:val="Compact"/>
              <w:jc w:val="left"/>
            </w:pPr>
            <w:r>
              <w:rPr>
                <w:b/>
                <w:bCs/>
              </w:rPr>
              <w:t xml:space="preserve">Regional Service</w:t>
            </w:r>
          </w:p>
        </w:tc>
        <w:tc>
          <w:tcPr/>
          <w:p>
            <w:pPr>
              <w:pStyle w:val="Compact"/>
              <w:jc w:val="left"/>
            </w:pPr>
            <w:r>
              <w:t xml:space="preserve">Provides essential services at regional/metropolitan level</w:t>
            </w:r>
          </w:p>
        </w:tc>
        <w:tc>
          <w:tcPr/>
          <w:p>
            <w:pPr>
              <w:pStyle w:val="Compact"/>
              <w:jc w:val="left"/>
            </w:pPr>
            <w:r>
              <w:t xml:space="preserve">Medium</w:t>
            </w:r>
          </w:p>
        </w:tc>
      </w:tr>
      <w:tr>
        <w:tc>
          <w:tcPr/>
          <w:p>
            <w:pPr>
              <w:pStyle w:val="Compact"/>
              <w:jc w:val="left"/>
            </w:pPr>
            <w:r>
              <w:rPr>
                <w:b/>
                <w:bCs/>
              </w:rPr>
              <w:t xml:space="preserve">Supply Chain Criticality</w:t>
            </w:r>
          </w:p>
        </w:tc>
        <w:tc>
          <w:tcPr/>
          <w:p>
            <w:pPr>
              <w:pStyle w:val="Compact"/>
              <w:jc w:val="left"/>
            </w:pPr>
            <w:r>
              <w:t xml:space="preserve">Key supplier to Tier 1 entities</w:t>
            </w:r>
          </w:p>
        </w:tc>
        <w:tc>
          <w:tcPr/>
          <w:p>
            <w:pPr>
              <w:pStyle w:val="Compact"/>
              <w:jc w:val="left"/>
            </w:pPr>
            <w:r>
              <w:t xml:space="preserve">Medium</w:t>
            </w:r>
          </w:p>
        </w:tc>
      </w:tr>
      <w:tr>
        <w:tc>
          <w:tcPr/>
          <w:p>
            <w:pPr>
              <w:pStyle w:val="Compact"/>
              <w:jc w:val="left"/>
            </w:pPr>
            <w:r>
              <w:rPr>
                <w:b/>
                <w:bCs/>
              </w:rPr>
              <w:t xml:space="preserve">Specialty Care</w:t>
            </w:r>
          </w:p>
        </w:tc>
        <w:tc>
          <w:tcPr/>
          <w:p>
            <w:pPr>
              <w:pStyle w:val="Compact"/>
              <w:jc w:val="left"/>
            </w:pPr>
            <w:r>
              <w:t xml:space="preserve">Specialty hospital or referral center</w:t>
            </w:r>
          </w:p>
        </w:tc>
        <w:tc>
          <w:tcPr/>
          <w:p>
            <w:pPr>
              <w:pStyle w:val="Compact"/>
              <w:jc w:val="left"/>
            </w:pPr>
            <w:r>
              <w:t xml:space="preserve">Medium</w:t>
            </w:r>
          </w:p>
        </w:tc>
      </w:tr>
      <w:tr>
        <w:tc>
          <w:tcPr/>
          <w:p>
            <w:pPr>
              <w:pStyle w:val="Compact"/>
              <w:jc w:val="left"/>
            </w:pPr>
            <w:r>
              <w:rPr>
                <w:b/>
                <w:bCs/>
              </w:rPr>
              <w:t xml:space="preserve">Diagnostic Services</w:t>
            </w:r>
          </w:p>
        </w:tc>
        <w:tc>
          <w:tcPr/>
          <w:p>
            <w:pPr>
              <w:pStyle w:val="Compact"/>
              <w:jc w:val="left"/>
            </w:pPr>
            <w:r>
              <w:t xml:space="preserve">Medical laboratories (reference/diagnostic)</w:t>
            </w:r>
          </w:p>
        </w:tc>
        <w:tc>
          <w:tcPr/>
          <w:p>
            <w:pPr>
              <w:pStyle w:val="Compact"/>
              <w:jc w:val="left"/>
            </w:pPr>
            <w:r>
              <w:t xml:space="preserve">Medium</w:t>
            </w:r>
          </w:p>
        </w:tc>
      </w:tr>
      <w:tr>
        <w:tc>
          <w:tcPr/>
          <w:p>
            <w:pPr>
              <w:pStyle w:val="Compact"/>
              <w:jc w:val="left"/>
            </w:pPr>
            <w:r>
              <w:rPr>
                <w:b/>
                <w:bCs/>
              </w:rPr>
              <w:t xml:space="preserve">Pharmaceutical</w:t>
            </w:r>
          </w:p>
        </w:tc>
        <w:tc>
          <w:tcPr/>
          <w:p>
            <w:pPr>
              <w:pStyle w:val="Compact"/>
              <w:jc w:val="left"/>
            </w:pPr>
            <w:r>
              <w:t xml:space="preserve">Pharmaceutical manufacturers/distributors</w:t>
            </w:r>
          </w:p>
        </w:tc>
        <w:tc>
          <w:tcPr/>
          <w:p>
            <w:pPr>
              <w:pStyle w:val="Compact"/>
              <w:jc w:val="left"/>
            </w:pPr>
            <w:r>
              <w:t xml:space="preserve">Medium</w:t>
            </w:r>
          </w:p>
        </w:tc>
      </w:tr>
    </w:tbl>
    <w:p>
      <w:pPr>
        <w:pStyle w:val="BodyText"/>
      </w:pPr>
      <w:r>
        <w:rPr>
          <w:b/>
          <w:bCs/>
        </w:rPr>
        <w:t xml:space="preserve">Examples of Tier 2 Entities:</w:t>
      </w:r>
      <w:r>
        <w:t xml:space="preserve"> </w:t>
      </w:r>
      <w:r>
        <w:t xml:space="preserve">- Community hospitals without ICU but with significant ED</w:t>
      </w:r>
      <w:r>
        <w:t xml:space="preserve"> </w:t>
      </w:r>
      <w:r>
        <w:t xml:space="preserve">- Reference and diagnostic laboratories</w:t>
      </w:r>
      <w:r>
        <w:t xml:space="preserve"> </w:t>
      </w:r>
      <w:r>
        <w:t xml:space="preserve">- Pharmaceutical manufacturers and distributors</w:t>
      </w:r>
      <w:r>
        <w:t xml:space="preserve"> </w:t>
      </w:r>
      <w:r>
        <w:t xml:space="preserve">- Medical device manufacturers (especially IVD and implantables)</w:t>
      </w:r>
      <w:r>
        <w:t xml:space="preserve"> </w:t>
      </w:r>
      <w:r>
        <w:t xml:space="preserve">- Regional immunization registries</w:t>
      </w:r>
      <w:r>
        <w:t xml:space="preserve"> </w:t>
      </w:r>
      <w:r>
        <w:t xml:space="preserve">- Managed service providers (MSPs) serving health sector</w:t>
      </w:r>
    </w:p>
    <w:p>
      <w:r>
        <w:pict>
          <v:rect style="width:0;height:1.5pt" o:hralign="center" o:hrstd="t" o:hr="t"/>
        </w:pict>
      </w:r>
    </w:p>
    <w:bookmarkEnd w:id="360"/>
    <w:bookmarkStart w:id="361" w:name="tier-3-baseline"/>
    <w:p>
      <w:pPr>
        <w:pStyle w:val="Heading4"/>
      </w:pPr>
      <w:r>
        <w:t xml:space="preserve">TIER 3: Baseline</w:t>
      </w:r>
    </w:p>
    <w:tbl>
      <w:tblPr>
        <w:tblStyle w:val="Table"/>
        <w:tblW w:type="pct" w:w="5000"/>
        <w:tblLayout w:type="fixed"/>
        <w:tblLook w:firstRow="1" w:lastRow="0" w:firstColumn="0" w:lastColumn="0" w:noHBand="0" w:noVBand="0" w:val="0020"/>
      </w:tblPr>
      <w:tblGrid>
        <w:gridCol w:w="2489"/>
        <w:gridCol w:w="3620"/>
        <w:gridCol w:w="1810"/>
      </w:tblGrid>
      <w:tr>
        <w:trPr>
          <w:tblHeader w:val="on"/>
        </w:trPr>
        <w:tc>
          <w:tcPr/>
          <w:p>
            <w:pPr>
              <w:pStyle w:val="Compact"/>
              <w:jc w:val="left"/>
            </w:pPr>
            <w:r>
              <w:t xml:space="preserve">Criterion</w:t>
            </w:r>
          </w:p>
        </w:tc>
        <w:tc>
          <w:tcPr/>
          <w:p>
            <w:pPr>
              <w:pStyle w:val="Compact"/>
              <w:jc w:val="left"/>
            </w:pPr>
            <w:r>
              <w:t xml:space="preserve">Threshold/Test</w:t>
            </w:r>
          </w:p>
        </w:tc>
        <w:tc>
          <w:tcPr/>
          <w:p>
            <w:pPr>
              <w:pStyle w:val="Compact"/>
              <w:jc w:val="left"/>
            </w:pPr>
            <w:r>
              <w:t xml:space="preserve">Weight</w:t>
            </w:r>
          </w:p>
        </w:tc>
      </w:tr>
      <w:tr>
        <w:tc>
          <w:tcPr/>
          <w:p>
            <w:pPr>
              <w:pStyle w:val="Compact"/>
              <w:jc w:val="left"/>
            </w:pPr>
            <w:r>
              <w:rPr>
                <w:b/>
                <w:bCs/>
              </w:rPr>
              <w:t xml:space="preserve">Small Enterprise</w:t>
            </w:r>
          </w:p>
        </w:tc>
        <w:tc>
          <w:tcPr/>
          <w:p>
            <w:pPr>
              <w:pStyle w:val="Compact"/>
              <w:jc w:val="left"/>
            </w:pPr>
            <w:r>
              <w:t xml:space="preserve">&lt;10 employees AND &lt;€2M turnover</w:t>
            </w:r>
          </w:p>
        </w:tc>
        <w:tc>
          <w:tcPr/>
          <w:p>
            <w:pPr>
              <w:pStyle w:val="Compact"/>
              <w:jc w:val="left"/>
            </w:pPr>
            <w:r>
              <w:t xml:space="preserve">Low</w:t>
            </w:r>
          </w:p>
        </w:tc>
      </w:tr>
      <w:tr>
        <w:tc>
          <w:tcPr/>
          <w:p>
            <w:pPr>
              <w:pStyle w:val="Compact"/>
              <w:jc w:val="left"/>
            </w:pPr>
            <w:r>
              <w:rPr>
                <w:b/>
                <w:bCs/>
              </w:rPr>
              <w:t xml:space="preserve">Local Service</w:t>
            </w:r>
          </w:p>
        </w:tc>
        <w:tc>
          <w:tcPr/>
          <w:p>
            <w:pPr>
              <w:pStyle w:val="Compact"/>
              <w:jc w:val="left"/>
            </w:pPr>
            <w:r>
              <w:t xml:space="preserve">Provides primarily local/community services</w:t>
            </w:r>
          </w:p>
        </w:tc>
        <w:tc>
          <w:tcPr/>
          <w:p>
            <w:pPr>
              <w:pStyle w:val="Compact"/>
              <w:jc w:val="left"/>
            </w:pPr>
            <w:r>
              <w:t xml:space="preserve">Low</w:t>
            </w:r>
          </w:p>
        </w:tc>
      </w:tr>
      <w:tr>
        <w:tc>
          <w:tcPr/>
          <w:p>
            <w:pPr>
              <w:pStyle w:val="Compact"/>
              <w:jc w:val="left"/>
            </w:pPr>
            <w:r>
              <w:rPr>
                <w:b/>
                <w:bCs/>
              </w:rPr>
              <w:t xml:space="preserve">Redundancy Available</w:t>
            </w:r>
          </w:p>
        </w:tc>
        <w:tc>
          <w:tcPr/>
          <w:p>
            <w:pPr>
              <w:pStyle w:val="Compact"/>
              <w:jc w:val="left"/>
            </w:pPr>
            <w:r>
              <w:t xml:space="preserve">Alternative providers exist in the service area</w:t>
            </w:r>
          </w:p>
        </w:tc>
        <w:tc>
          <w:tcPr/>
          <w:p>
            <w:pPr>
              <w:pStyle w:val="Compact"/>
              <w:jc w:val="left"/>
            </w:pPr>
            <w:r>
              <w:t xml:space="preserve">Low</w:t>
            </w:r>
          </w:p>
        </w:tc>
      </w:tr>
      <w:tr>
        <w:tc>
          <w:tcPr/>
          <w:p>
            <w:pPr>
              <w:pStyle w:val="Compact"/>
              <w:jc w:val="left"/>
            </w:pPr>
            <w:r>
              <w:rPr>
                <w:b/>
                <w:bCs/>
              </w:rPr>
              <w:t xml:space="preserve">Non-acute Care</w:t>
            </w:r>
          </w:p>
        </w:tc>
        <w:tc>
          <w:tcPr/>
          <w:p>
            <w:pPr>
              <w:pStyle w:val="Compact"/>
              <w:jc w:val="left"/>
            </w:pPr>
            <w:r>
              <w:t xml:space="preserve">Outpatient specialty, primary care, wellness</w:t>
            </w:r>
          </w:p>
        </w:tc>
        <w:tc>
          <w:tcPr/>
          <w:p>
            <w:pPr>
              <w:pStyle w:val="Compact"/>
              <w:jc w:val="left"/>
            </w:pPr>
            <w:r>
              <w:t xml:space="preserve">Low</w:t>
            </w:r>
          </w:p>
        </w:tc>
      </w:tr>
    </w:tbl>
    <w:p>
      <w:pPr>
        <w:pStyle w:val="BodyText"/>
      </w:pPr>
      <w:r>
        <w:rPr>
          <w:b/>
          <w:bCs/>
        </w:rPr>
        <w:t xml:space="preserve">Examples of Tier 3 Entities:</w:t>
      </w:r>
      <w:r>
        <w:t xml:space="preserve"> </w:t>
      </w:r>
      <w:r>
        <w:t xml:space="preserve">- Primary care/GP clinics (unless sole provider)</w:t>
      </w:r>
      <w:r>
        <w:t xml:space="preserve"> </w:t>
      </w:r>
      <w:r>
        <w:t xml:space="preserve">- Outpatient specialty clinics</w:t>
      </w:r>
      <w:r>
        <w:t xml:space="preserve"> </w:t>
      </w:r>
      <w:r>
        <w:t xml:space="preserve">- Dental practices</w:t>
      </w:r>
      <w:r>
        <w:t xml:space="preserve"> </w:t>
      </w:r>
      <w:r>
        <w:t xml:space="preserve">- Allied health providers</w:t>
      </w:r>
      <w:r>
        <w:t xml:space="preserve"> </w:t>
      </w:r>
      <w:r>
        <w:t xml:space="preserve">- Health research institutions (non-pandemic)</w:t>
      </w:r>
    </w:p>
    <w:p>
      <w:r>
        <w:pict>
          <v:rect style="width:0;height:1.5pt" o:hralign="center" o:hrstd="t" o:hr="t"/>
        </w:pict>
      </w:r>
    </w:p>
    <w:bookmarkEnd w:id="361"/>
    <w:bookmarkEnd w:id="362"/>
    <w:bookmarkEnd w:id="363"/>
    <w:bookmarkStart w:id="367" w:name="part-3-scoring-methodology"/>
    <w:p>
      <w:pPr>
        <w:pStyle w:val="Heading2"/>
      </w:pPr>
      <w:r>
        <w:t xml:space="preserve">Part 3: Scoring Methodology</w:t>
      </w:r>
    </w:p>
    <w:bookmarkStart w:id="364" w:name="weighted-scoring-matrix"/>
    <w:p>
      <w:pPr>
        <w:pStyle w:val="Heading3"/>
      </w:pPr>
      <w:r>
        <w:t xml:space="preserve">3.1 Weighted Scoring Matrix</w:t>
      </w:r>
    </w:p>
    <w:p>
      <w:pPr>
        <w:pStyle w:val="FirstParagraph"/>
      </w:pPr>
      <w:r>
        <w:t xml:space="preserve">A</w:t>
      </w:r>
      <w:r>
        <w:t xml:space="preserve"> </w:t>
      </w:r>
      <w:r>
        <w:rPr>
          <w:b/>
          <w:bCs/>
        </w:rPr>
        <w:t xml:space="preserve">point-based scoring system</w:t>
      </w:r>
      <w:r>
        <w:t xml:space="preserve"> </w:t>
      </w:r>
      <w:r>
        <w:t xml:space="preserve">translates criteria into tier classification: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Domain</w:t>
            </w:r>
          </w:p>
        </w:tc>
        <w:tc>
          <w:tcPr/>
          <w:p>
            <w:pPr>
              <w:pStyle w:val="Compact"/>
              <w:jc w:val="left"/>
            </w:pPr>
            <w:r>
              <w:t xml:space="preserve">Criterion</w:t>
            </w:r>
          </w:p>
        </w:tc>
        <w:tc>
          <w:tcPr/>
          <w:p>
            <w:pPr>
              <w:pStyle w:val="Compact"/>
              <w:jc w:val="center"/>
            </w:pPr>
            <w:r>
              <w:t xml:space="preserve">Points</w:t>
            </w:r>
          </w:p>
        </w:tc>
        <w:tc>
          <w:tcPr/>
          <w:p>
            <w:pPr>
              <w:pStyle w:val="Compact"/>
              <w:jc w:val="center"/>
            </w:pPr>
            <w:r>
              <w:t xml:space="preserve">Max Points</w:t>
            </w:r>
          </w:p>
        </w:tc>
      </w:tr>
      <w:tr>
        <w:tc>
          <w:tcPr/>
          <w:p>
            <w:pPr>
              <w:pStyle w:val="Compact"/>
              <w:jc w:val="left"/>
            </w:pPr>
            <w:r>
              <w:rPr>
                <w:b/>
                <w:bCs/>
              </w:rPr>
              <w:t xml:space="preserve">A. Scale</w:t>
            </w:r>
          </w:p>
        </w:tc>
        <w:tc>
          <w:tcPr/>
          <w:p>
            <w:pPr>
              <w:pStyle w:val="Compact"/>
            </w:pPr>
          </w:p>
        </w:tc>
        <w:tc>
          <w:tcPr/>
          <w:p>
            <w:pPr>
              <w:pStyle w:val="Compact"/>
            </w:pPr>
          </w:p>
        </w:tc>
        <w:tc>
          <w:tcPr/>
          <w:p>
            <w:pPr>
              <w:pStyle w:val="Compact"/>
              <w:jc w:val="center"/>
            </w:pPr>
            <w:r>
              <w:rPr>
                <w:b/>
                <w:bCs/>
              </w:rPr>
              <w:t xml:space="preserve">30</w:t>
            </w:r>
          </w:p>
        </w:tc>
      </w:tr>
      <w:tr>
        <w:tc>
          <w:tcPr/>
          <w:p>
            <w:pPr>
              <w:pStyle w:val="Compact"/>
            </w:pPr>
          </w:p>
        </w:tc>
        <w:tc>
          <w:tcPr/>
          <w:p>
            <w:pPr>
              <w:pStyle w:val="Compact"/>
              <w:jc w:val="left"/>
            </w:pPr>
            <w:r>
              <w:t xml:space="preserve">≥30,000 inpatient cases/year</w:t>
            </w:r>
          </w:p>
        </w:tc>
        <w:tc>
          <w:tcPr/>
          <w:p>
            <w:pPr>
              <w:pStyle w:val="Compact"/>
              <w:jc w:val="center"/>
            </w:pPr>
            <w:r>
              <w:t xml:space="preserve">30</w:t>
            </w:r>
          </w:p>
        </w:tc>
        <w:tc>
          <w:tcPr/>
          <w:p>
            <w:pPr>
              <w:pStyle w:val="Compact"/>
            </w:pPr>
          </w:p>
        </w:tc>
      </w:tr>
      <w:tr>
        <w:tc>
          <w:tcPr/>
          <w:p>
            <w:pPr>
              <w:pStyle w:val="Compact"/>
            </w:pPr>
          </w:p>
        </w:tc>
        <w:tc>
          <w:tcPr/>
          <w:p>
            <w:pPr>
              <w:pStyle w:val="Compact"/>
              <w:jc w:val="left"/>
            </w:pPr>
            <w:r>
              <w:t xml:space="preserve">15,000–29,999 cases/year</w:t>
            </w:r>
          </w:p>
        </w:tc>
        <w:tc>
          <w:tcPr/>
          <w:p>
            <w:pPr>
              <w:pStyle w:val="Compact"/>
              <w:jc w:val="center"/>
            </w:pPr>
            <w:r>
              <w:t xml:space="preserve">20</w:t>
            </w:r>
          </w:p>
        </w:tc>
        <w:tc>
          <w:tcPr/>
          <w:p>
            <w:pPr>
              <w:pStyle w:val="Compact"/>
            </w:pPr>
          </w:p>
        </w:tc>
      </w:tr>
      <w:tr>
        <w:tc>
          <w:tcPr/>
          <w:p>
            <w:pPr>
              <w:pStyle w:val="Compact"/>
            </w:pPr>
          </w:p>
        </w:tc>
        <w:tc>
          <w:tcPr/>
          <w:p>
            <w:pPr>
              <w:pStyle w:val="Compact"/>
              <w:jc w:val="left"/>
            </w:pPr>
            <w:r>
              <w:t xml:space="preserve">5,000–14,999 cases/year</w:t>
            </w:r>
          </w:p>
        </w:tc>
        <w:tc>
          <w:tcPr/>
          <w:p>
            <w:pPr>
              <w:pStyle w:val="Compact"/>
              <w:jc w:val="center"/>
            </w:pPr>
            <w:r>
              <w:t xml:space="preserve">10</w:t>
            </w:r>
          </w:p>
        </w:tc>
        <w:tc>
          <w:tcPr/>
          <w:p>
            <w:pPr>
              <w:pStyle w:val="Compact"/>
            </w:pPr>
          </w:p>
        </w:tc>
      </w:tr>
      <w:tr>
        <w:tc>
          <w:tcPr/>
          <w:p>
            <w:pPr>
              <w:pStyle w:val="Compact"/>
            </w:pPr>
          </w:p>
        </w:tc>
        <w:tc>
          <w:tcPr/>
          <w:p>
            <w:pPr>
              <w:pStyle w:val="Compact"/>
              <w:jc w:val="left"/>
            </w:pPr>
            <w:r>
              <w:t xml:space="preserve">&lt;5,000 cases/year</w:t>
            </w:r>
          </w:p>
        </w:tc>
        <w:tc>
          <w:tcPr/>
          <w:p>
            <w:pPr>
              <w:pStyle w:val="Compact"/>
              <w:jc w:val="center"/>
            </w:pPr>
            <w:r>
              <w:t xml:space="preserve">5</w:t>
            </w:r>
          </w:p>
        </w:tc>
        <w:tc>
          <w:tcPr/>
          <w:p>
            <w:pPr>
              <w:pStyle w:val="Compact"/>
            </w:pPr>
          </w:p>
        </w:tc>
      </w:tr>
      <w:tr>
        <w:tc>
          <w:tcPr/>
          <w:p>
            <w:pPr>
              <w:pStyle w:val="Compact"/>
              <w:jc w:val="left"/>
            </w:pPr>
            <w:r>
              <w:rPr>
                <w:b/>
                <w:bCs/>
              </w:rPr>
              <w:t xml:space="preserve">B. Capability</w:t>
            </w:r>
          </w:p>
        </w:tc>
        <w:tc>
          <w:tcPr/>
          <w:p>
            <w:pPr>
              <w:pStyle w:val="Compact"/>
            </w:pPr>
          </w:p>
        </w:tc>
        <w:tc>
          <w:tcPr/>
          <w:p>
            <w:pPr>
              <w:pStyle w:val="Compact"/>
            </w:pPr>
          </w:p>
        </w:tc>
        <w:tc>
          <w:tcPr/>
          <w:p>
            <w:pPr>
              <w:pStyle w:val="Compact"/>
              <w:jc w:val="center"/>
            </w:pPr>
            <w:r>
              <w:rPr>
                <w:b/>
                <w:bCs/>
              </w:rPr>
              <w:t xml:space="preserve">25</w:t>
            </w:r>
          </w:p>
        </w:tc>
      </w:tr>
      <w:tr>
        <w:tc>
          <w:tcPr/>
          <w:p>
            <w:pPr>
              <w:pStyle w:val="Compact"/>
            </w:pPr>
          </w:p>
        </w:tc>
        <w:tc>
          <w:tcPr/>
          <w:p>
            <w:pPr>
              <w:pStyle w:val="Compact"/>
              <w:jc w:val="left"/>
            </w:pPr>
            <w:r>
              <w:t xml:space="preserve">General ICU present</w:t>
            </w:r>
          </w:p>
        </w:tc>
        <w:tc>
          <w:tcPr/>
          <w:p>
            <w:pPr>
              <w:pStyle w:val="Compact"/>
              <w:jc w:val="center"/>
            </w:pPr>
            <w:r>
              <w:t xml:space="preserve">25</w:t>
            </w:r>
          </w:p>
        </w:tc>
        <w:tc>
          <w:tcPr/>
          <w:p>
            <w:pPr>
              <w:pStyle w:val="Compact"/>
            </w:pPr>
          </w:p>
        </w:tc>
      </w:tr>
      <w:tr>
        <w:tc>
          <w:tcPr/>
          <w:p>
            <w:pPr>
              <w:pStyle w:val="Compact"/>
            </w:pPr>
          </w:p>
        </w:tc>
        <w:tc>
          <w:tcPr/>
          <w:p>
            <w:pPr>
              <w:pStyle w:val="Compact"/>
              <w:jc w:val="left"/>
            </w:pPr>
            <w:r>
              <w:t xml:space="preserve">High-dependency unit (no ICU)</w:t>
            </w:r>
          </w:p>
        </w:tc>
        <w:tc>
          <w:tcPr/>
          <w:p>
            <w:pPr>
              <w:pStyle w:val="Compact"/>
              <w:jc w:val="center"/>
            </w:pPr>
            <w:r>
              <w:t xml:space="preserve">15</w:t>
            </w:r>
          </w:p>
        </w:tc>
        <w:tc>
          <w:tcPr/>
          <w:p>
            <w:pPr>
              <w:pStyle w:val="Compact"/>
            </w:pPr>
          </w:p>
        </w:tc>
      </w:tr>
      <w:tr>
        <w:tc>
          <w:tcPr/>
          <w:p>
            <w:pPr>
              <w:pStyle w:val="Compact"/>
            </w:pPr>
          </w:p>
        </w:tc>
        <w:tc>
          <w:tcPr/>
          <w:p>
            <w:pPr>
              <w:pStyle w:val="Compact"/>
              <w:jc w:val="left"/>
            </w:pPr>
            <w:r>
              <w:t xml:space="preserve">Emergency department only</w:t>
            </w:r>
          </w:p>
        </w:tc>
        <w:tc>
          <w:tcPr/>
          <w:p>
            <w:pPr>
              <w:pStyle w:val="Compact"/>
              <w:jc w:val="center"/>
            </w:pPr>
            <w:r>
              <w:t xml:space="preserve">10</w:t>
            </w:r>
          </w:p>
        </w:tc>
        <w:tc>
          <w:tcPr/>
          <w:p>
            <w:pPr>
              <w:pStyle w:val="Compact"/>
            </w:pPr>
          </w:p>
        </w:tc>
      </w:tr>
      <w:tr>
        <w:tc>
          <w:tcPr/>
          <w:p>
            <w:pPr>
              <w:pStyle w:val="Compact"/>
            </w:pPr>
          </w:p>
        </w:tc>
        <w:tc>
          <w:tcPr/>
          <w:p>
            <w:pPr>
              <w:pStyle w:val="Compact"/>
              <w:jc w:val="left"/>
            </w:pPr>
            <w:r>
              <w:t xml:space="preserve">No acute care capability</w:t>
            </w:r>
          </w:p>
        </w:tc>
        <w:tc>
          <w:tcPr/>
          <w:p>
            <w:pPr>
              <w:pStyle w:val="Compact"/>
              <w:jc w:val="center"/>
            </w:pPr>
            <w:r>
              <w:t xml:space="preserve">0</w:t>
            </w:r>
          </w:p>
        </w:tc>
        <w:tc>
          <w:tcPr/>
          <w:p>
            <w:pPr>
              <w:pStyle w:val="Compact"/>
            </w:pPr>
          </w:p>
        </w:tc>
      </w:tr>
      <w:tr>
        <w:tc>
          <w:tcPr/>
          <w:p>
            <w:pPr>
              <w:pStyle w:val="Compact"/>
              <w:jc w:val="left"/>
            </w:pPr>
            <w:r>
              <w:rPr>
                <w:b/>
                <w:bCs/>
              </w:rPr>
              <w:t xml:space="preserve">C. Functions</w:t>
            </w:r>
          </w:p>
        </w:tc>
        <w:tc>
          <w:tcPr/>
          <w:p>
            <w:pPr>
              <w:pStyle w:val="Compact"/>
            </w:pPr>
          </w:p>
        </w:tc>
        <w:tc>
          <w:tcPr/>
          <w:p>
            <w:pPr>
              <w:pStyle w:val="Compact"/>
            </w:pPr>
          </w:p>
        </w:tc>
        <w:tc>
          <w:tcPr/>
          <w:p>
            <w:pPr>
              <w:pStyle w:val="Compact"/>
              <w:jc w:val="center"/>
            </w:pPr>
            <w:r>
              <w:rPr>
                <w:b/>
                <w:bCs/>
              </w:rPr>
              <w:t xml:space="preserve">25</w:t>
            </w:r>
          </w:p>
        </w:tc>
      </w:tr>
      <w:tr>
        <w:tc>
          <w:tcPr/>
          <w:p>
            <w:pPr>
              <w:pStyle w:val="Compact"/>
            </w:pPr>
          </w:p>
        </w:tc>
        <w:tc>
          <w:tcPr/>
          <w:p>
            <w:pPr>
              <w:pStyle w:val="Compact"/>
              <w:jc w:val="left"/>
            </w:pPr>
            <w:r>
              <w:t xml:space="preserve">Emergency dispatch (111/999/911)</w:t>
            </w:r>
          </w:p>
        </w:tc>
        <w:tc>
          <w:tcPr/>
          <w:p>
            <w:pPr>
              <w:pStyle w:val="Compact"/>
              <w:jc w:val="center"/>
            </w:pPr>
            <w:r>
              <w:t xml:space="preserve">25</w:t>
            </w:r>
          </w:p>
        </w:tc>
        <w:tc>
          <w:tcPr/>
          <w:p>
            <w:pPr>
              <w:pStyle w:val="Compact"/>
            </w:pPr>
          </w:p>
        </w:tc>
      </w:tr>
      <w:tr>
        <w:tc>
          <w:tcPr/>
          <w:p>
            <w:pPr>
              <w:pStyle w:val="Compact"/>
            </w:pPr>
          </w:p>
        </w:tc>
        <w:tc>
          <w:tcPr/>
          <w:p>
            <w:pPr>
              <w:pStyle w:val="Compact"/>
              <w:jc w:val="left"/>
            </w:pPr>
            <w:r>
              <w:t xml:space="preserve">Blood bank/transfusion services</w:t>
            </w:r>
          </w:p>
        </w:tc>
        <w:tc>
          <w:tcPr/>
          <w:p>
            <w:pPr>
              <w:pStyle w:val="Compact"/>
              <w:jc w:val="center"/>
            </w:pPr>
            <w:r>
              <w:t xml:space="preserve">20</w:t>
            </w:r>
          </w:p>
        </w:tc>
        <w:tc>
          <w:tcPr/>
          <w:p>
            <w:pPr>
              <w:pStyle w:val="Compact"/>
            </w:pPr>
          </w:p>
        </w:tc>
      </w:tr>
      <w:tr>
        <w:tc>
          <w:tcPr/>
          <w:p>
            <w:pPr>
              <w:pStyle w:val="Compact"/>
            </w:pPr>
          </w:p>
        </w:tc>
        <w:tc>
          <w:tcPr/>
          <w:p>
            <w:pPr>
              <w:pStyle w:val="Compact"/>
              <w:jc w:val="left"/>
            </w:pPr>
            <w:r>
              <w:t xml:space="preserve">Disease surveillance (national/regional)</w:t>
            </w:r>
          </w:p>
        </w:tc>
        <w:tc>
          <w:tcPr/>
          <w:p>
            <w:pPr>
              <w:pStyle w:val="Compact"/>
              <w:jc w:val="center"/>
            </w:pPr>
            <w:r>
              <w:t xml:space="preserve">20</w:t>
            </w:r>
          </w:p>
        </w:tc>
        <w:tc>
          <w:tcPr/>
          <w:p>
            <w:pPr>
              <w:pStyle w:val="Compact"/>
            </w:pPr>
          </w:p>
        </w:tc>
      </w:tr>
      <w:tr>
        <w:tc>
          <w:tcPr/>
          <w:p>
            <w:pPr>
              <w:pStyle w:val="Compact"/>
            </w:pPr>
          </w:p>
        </w:tc>
        <w:tc>
          <w:tcPr/>
          <w:p>
            <w:pPr>
              <w:pStyle w:val="Compact"/>
              <w:jc w:val="left"/>
            </w:pPr>
            <w:r>
              <w:t xml:space="preserve">Organ allocation services</w:t>
            </w:r>
          </w:p>
        </w:tc>
        <w:tc>
          <w:tcPr/>
          <w:p>
            <w:pPr>
              <w:pStyle w:val="Compact"/>
              <w:jc w:val="center"/>
            </w:pPr>
            <w:r>
              <w:t xml:space="preserve">20</w:t>
            </w:r>
          </w:p>
        </w:tc>
        <w:tc>
          <w:tcPr/>
          <w:p>
            <w:pPr>
              <w:pStyle w:val="Compact"/>
            </w:pPr>
          </w:p>
        </w:tc>
      </w:tr>
      <w:tr>
        <w:tc>
          <w:tcPr/>
          <w:p>
            <w:pPr>
              <w:pStyle w:val="Compact"/>
            </w:pPr>
          </w:p>
        </w:tc>
        <w:tc>
          <w:tcPr/>
          <w:p>
            <w:pPr>
              <w:pStyle w:val="Compact"/>
              <w:jc w:val="left"/>
            </w:pPr>
            <w:r>
              <w:t xml:space="preserve">National EHR/HIE platform</w:t>
            </w:r>
          </w:p>
        </w:tc>
        <w:tc>
          <w:tcPr/>
          <w:p>
            <w:pPr>
              <w:pStyle w:val="Compact"/>
              <w:jc w:val="center"/>
            </w:pPr>
            <w:r>
              <w:t xml:space="preserve">25</w:t>
            </w:r>
          </w:p>
        </w:tc>
        <w:tc>
          <w:tcPr/>
          <w:p>
            <w:pPr>
              <w:pStyle w:val="Compact"/>
            </w:pPr>
          </w:p>
        </w:tc>
      </w:tr>
      <w:tr>
        <w:tc>
          <w:tcPr/>
          <w:p>
            <w:pPr>
              <w:pStyle w:val="Compact"/>
            </w:pPr>
          </w:p>
        </w:tc>
        <w:tc>
          <w:tcPr/>
          <w:p>
            <w:pPr>
              <w:pStyle w:val="Compact"/>
              <w:jc w:val="left"/>
            </w:pPr>
            <w:r>
              <w:t xml:space="preserve">Regional EHR/HIE platform</w:t>
            </w:r>
          </w:p>
        </w:tc>
        <w:tc>
          <w:tcPr/>
          <w:p>
            <w:pPr>
              <w:pStyle w:val="Compact"/>
              <w:jc w:val="center"/>
            </w:pPr>
            <w:r>
              <w:t xml:space="preserve">15</w:t>
            </w:r>
          </w:p>
        </w:tc>
        <w:tc>
          <w:tcPr/>
          <w:p>
            <w:pPr>
              <w:pStyle w:val="Compact"/>
            </w:pPr>
          </w:p>
        </w:tc>
      </w:tr>
      <w:tr>
        <w:tc>
          <w:tcPr/>
          <w:p>
            <w:pPr>
              <w:pStyle w:val="Compact"/>
              <w:jc w:val="left"/>
            </w:pPr>
            <w:r>
              <w:rPr>
                <w:b/>
                <w:bCs/>
              </w:rPr>
              <w:t xml:space="preserve">D. Uniqueness</w:t>
            </w:r>
          </w:p>
        </w:tc>
        <w:tc>
          <w:tcPr/>
          <w:p>
            <w:pPr>
              <w:pStyle w:val="Compact"/>
            </w:pPr>
          </w:p>
        </w:tc>
        <w:tc>
          <w:tcPr/>
          <w:p>
            <w:pPr>
              <w:pStyle w:val="Compact"/>
            </w:pPr>
          </w:p>
        </w:tc>
        <w:tc>
          <w:tcPr/>
          <w:p>
            <w:pPr>
              <w:pStyle w:val="Compact"/>
              <w:jc w:val="center"/>
            </w:pPr>
            <w:r>
              <w:rPr>
                <w:b/>
                <w:bCs/>
              </w:rPr>
              <w:t xml:space="preserve">10</w:t>
            </w:r>
          </w:p>
        </w:tc>
      </w:tr>
      <w:tr>
        <w:tc>
          <w:tcPr/>
          <w:p>
            <w:pPr>
              <w:pStyle w:val="Compact"/>
            </w:pPr>
          </w:p>
        </w:tc>
        <w:tc>
          <w:tcPr/>
          <w:p>
            <w:pPr>
              <w:pStyle w:val="Compact"/>
              <w:jc w:val="left"/>
            </w:pPr>
            <w:r>
              <w:t xml:space="preserve">Sole provider in region</w:t>
            </w:r>
          </w:p>
        </w:tc>
        <w:tc>
          <w:tcPr/>
          <w:p>
            <w:pPr>
              <w:pStyle w:val="Compact"/>
              <w:jc w:val="center"/>
            </w:pPr>
            <w:r>
              <w:t xml:space="preserve">10</w:t>
            </w:r>
          </w:p>
        </w:tc>
        <w:tc>
          <w:tcPr/>
          <w:p>
            <w:pPr>
              <w:pStyle w:val="Compact"/>
            </w:pPr>
          </w:p>
        </w:tc>
      </w:tr>
      <w:tr>
        <w:tc>
          <w:tcPr/>
          <w:p>
            <w:pPr>
              <w:pStyle w:val="Compact"/>
            </w:pPr>
          </w:p>
        </w:tc>
        <w:tc>
          <w:tcPr/>
          <w:p>
            <w:pPr>
              <w:pStyle w:val="Compact"/>
              <w:jc w:val="left"/>
            </w:pPr>
            <w:r>
              <w:t xml:space="preserve">Unique specialty capability</w:t>
            </w:r>
          </w:p>
        </w:tc>
        <w:tc>
          <w:tcPr/>
          <w:p>
            <w:pPr>
              <w:pStyle w:val="Compact"/>
              <w:jc w:val="center"/>
            </w:pPr>
            <w:r>
              <w:t xml:space="preserve">8</w:t>
            </w:r>
          </w:p>
        </w:tc>
        <w:tc>
          <w:tcPr/>
          <w:p>
            <w:pPr>
              <w:pStyle w:val="Compact"/>
            </w:pPr>
          </w:p>
        </w:tc>
      </w:tr>
      <w:tr>
        <w:tc>
          <w:tcPr/>
          <w:p>
            <w:pPr>
              <w:pStyle w:val="Compact"/>
            </w:pPr>
          </w:p>
        </w:tc>
        <w:tc>
          <w:tcPr/>
          <w:p>
            <w:pPr>
              <w:pStyle w:val="Compact"/>
              <w:jc w:val="left"/>
            </w:pPr>
            <w:r>
              <w:t xml:space="preserve">Alternative providers available</w:t>
            </w:r>
          </w:p>
        </w:tc>
        <w:tc>
          <w:tcPr/>
          <w:p>
            <w:pPr>
              <w:pStyle w:val="Compact"/>
              <w:jc w:val="center"/>
            </w:pPr>
            <w:r>
              <w:t xml:space="preserve">0</w:t>
            </w:r>
          </w:p>
        </w:tc>
        <w:tc>
          <w:tcPr/>
          <w:p>
            <w:pPr>
              <w:pStyle w:val="Compact"/>
            </w:pPr>
          </w:p>
        </w:tc>
      </w:tr>
      <w:tr>
        <w:tc>
          <w:tcPr/>
          <w:p>
            <w:pPr>
              <w:pStyle w:val="Compact"/>
              <w:jc w:val="left"/>
            </w:pPr>
            <w:r>
              <w:rPr>
                <w:b/>
                <w:bCs/>
              </w:rPr>
              <w:t xml:space="preserve">E. Dependencies</w:t>
            </w:r>
          </w:p>
        </w:tc>
        <w:tc>
          <w:tcPr/>
          <w:p>
            <w:pPr>
              <w:pStyle w:val="Compact"/>
            </w:pPr>
          </w:p>
        </w:tc>
        <w:tc>
          <w:tcPr/>
          <w:p>
            <w:pPr>
              <w:pStyle w:val="Compact"/>
            </w:pPr>
          </w:p>
        </w:tc>
        <w:tc>
          <w:tcPr/>
          <w:p>
            <w:pPr>
              <w:pStyle w:val="Compact"/>
              <w:jc w:val="center"/>
            </w:pPr>
            <w:r>
              <w:rPr>
                <w:b/>
                <w:bCs/>
              </w:rPr>
              <w:t xml:space="preserve">10</w:t>
            </w:r>
          </w:p>
        </w:tc>
      </w:tr>
      <w:tr>
        <w:tc>
          <w:tcPr/>
          <w:p>
            <w:pPr>
              <w:pStyle w:val="Compact"/>
            </w:pPr>
          </w:p>
        </w:tc>
        <w:tc>
          <w:tcPr/>
          <w:p>
            <w:pPr>
              <w:pStyle w:val="Compact"/>
              <w:jc w:val="left"/>
            </w:pPr>
            <w:r>
              <w:t xml:space="preserve">Cross-sector dependencies (telecom, power)</w:t>
            </w:r>
          </w:p>
        </w:tc>
        <w:tc>
          <w:tcPr/>
          <w:p>
            <w:pPr>
              <w:pStyle w:val="Compact"/>
              <w:jc w:val="center"/>
            </w:pPr>
            <w:r>
              <w:t xml:space="preserve">10</w:t>
            </w:r>
          </w:p>
        </w:tc>
        <w:tc>
          <w:tcPr/>
          <w:p>
            <w:pPr>
              <w:pStyle w:val="Compact"/>
            </w:pPr>
          </w:p>
        </w:tc>
      </w:tr>
      <w:tr>
        <w:tc>
          <w:tcPr/>
          <w:p>
            <w:pPr>
              <w:pStyle w:val="Compact"/>
            </w:pPr>
          </w:p>
        </w:tc>
        <w:tc>
          <w:tcPr/>
          <w:p>
            <w:pPr>
              <w:pStyle w:val="Compact"/>
              <w:jc w:val="left"/>
            </w:pPr>
            <w:r>
              <w:t xml:space="preserve">Other health systems depend on this entity</w:t>
            </w:r>
          </w:p>
        </w:tc>
        <w:tc>
          <w:tcPr/>
          <w:p>
            <w:pPr>
              <w:pStyle w:val="Compact"/>
              <w:jc w:val="center"/>
            </w:pPr>
            <w:r>
              <w:t xml:space="preserve">8</w:t>
            </w:r>
          </w:p>
        </w:tc>
        <w:tc>
          <w:tcPr/>
          <w:p>
            <w:pPr>
              <w:pStyle w:val="Compact"/>
            </w:pPr>
          </w:p>
        </w:tc>
      </w:tr>
      <w:tr>
        <w:tc>
          <w:tcPr/>
          <w:p>
            <w:pPr>
              <w:pStyle w:val="Compact"/>
            </w:pPr>
          </w:p>
        </w:tc>
        <w:tc>
          <w:tcPr/>
          <w:p>
            <w:pPr>
              <w:pStyle w:val="Compact"/>
              <w:jc w:val="left"/>
            </w:pPr>
            <w:r>
              <w:t xml:space="preserve">Limited external dependencies</w:t>
            </w:r>
          </w:p>
        </w:tc>
        <w:tc>
          <w:tcPr/>
          <w:p>
            <w:pPr>
              <w:pStyle w:val="Compact"/>
              <w:jc w:val="center"/>
            </w:pPr>
            <w:r>
              <w:t xml:space="preserve">3</w:t>
            </w:r>
          </w:p>
        </w:tc>
        <w:tc>
          <w:tcPr/>
          <w:p>
            <w:pPr>
              <w:pStyle w:val="Compact"/>
            </w:pPr>
          </w:p>
        </w:tc>
      </w:tr>
    </w:tbl>
    <w:bookmarkEnd w:id="364"/>
    <w:bookmarkStart w:id="365" w:name="tier-classification-thresholds"/>
    <w:p>
      <w:pPr>
        <w:pStyle w:val="Heading3"/>
      </w:pPr>
      <w:r>
        <w:t xml:space="preserve">3.2 Tier Classification Thresholds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Tier</w:t>
            </w:r>
          </w:p>
        </w:tc>
        <w:tc>
          <w:tcPr/>
          <w:p>
            <w:pPr>
              <w:pStyle w:val="Compact"/>
              <w:jc w:val="left"/>
            </w:pPr>
            <w:r>
              <w:t xml:space="preserve">Score Range</w:t>
            </w:r>
          </w:p>
        </w:tc>
        <w:tc>
          <w:tcPr/>
          <w:p>
            <w:pPr>
              <w:pStyle w:val="Compact"/>
              <w:jc w:val="left"/>
            </w:pPr>
            <w:r>
              <w:t xml:space="preserve">Classification</w:t>
            </w:r>
          </w:p>
        </w:tc>
      </w:tr>
      <w:tr>
        <w:tc>
          <w:tcPr/>
          <w:p>
            <w:pPr>
              <w:pStyle w:val="Compact"/>
              <w:jc w:val="left"/>
            </w:pPr>
            <w:r>
              <w:rPr>
                <w:b/>
                <w:bCs/>
              </w:rPr>
              <w:t xml:space="preserve">Tier 1</w:t>
            </w:r>
          </w:p>
        </w:tc>
        <w:tc>
          <w:tcPr/>
          <w:p>
            <w:pPr>
              <w:pStyle w:val="Compact"/>
              <w:jc w:val="left"/>
            </w:pPr>
            <w:r>
              <w:t xml:space="preserve">≥60 points</w:t>
            </w:r>
          </w:p>
        </w:tc>
        <w:tc>
          <w:tcPr/>
          <w:p>
            <w:pPr>
              <w:pStyle w:val="Compact"/>
              <w:jc w:val="left"/>
            </w:pPr>
            <w:r>
              <w:t xml:space="preserve">Essential</w:t>
            </w:r>
          </w:p>
        </w:tc>
      </w:tr>
      <w:tr>
        <w:tc>
          <w:tcPr/>
          <w:p>
            <w:pPr>
              <w:pStyle w:val="Compact"/>
              <w:jc w:val="left"/>
            </w:pPr>
            <w:r>
              <w:rPr>
                <w:b/>
                <w:bCs/>
              </w:rPr>
              <w:t xml:space="preserve">Tier 2</w:t>
            </w:r>
          </w:p>
        </w:tc>
        <w:tc>
          <w:tcPr/>
          <w:p>
            <w:pPr>
              <w:pStyle w:val="Compact"/>
              <w:jc w:val="left"/>
            </w:pPr>
            <w:r>
              <w:t xml:space="preserve">30–59 points</w:t>
            </w:r>
          </w:p>
        </w:tc>
        <w:tc>
          <w:tcPr/>
          <w:p>
            <w:pPr>
              <w:pStyle w:val="Compact"/>
              <w:jc w:val="left"/>
            </w:pPr>
            <w:r>
              <w:t xml:space="preserve">Important</w:t>
            </w:r>
          </w:p>
        </w:tc>
      </w:tr>
      <w:tr>
        <w:tc>
          <w:tcPr/>
          <w:p>
            <w:pPr>
              <w:pStyle w:val="Compact"/>
              <w:jc w:val="left"/>
            </w:pPr>
            <w:r>
              <w:rPr>
                <w:b/>
                <w:bCs/>
              </w:rPr>
              <w:t xml:space="preserve">Tier 3</w:t>
            </w:r>
          </w:p>
        </w:tc>
        <w:tc>
          <w:tcPr/>
          <w:p>
            <w:pPr>
              <w:pStyle w:val="Compact"/>
              <w:jc w:val="left"/>
            </w:pPr>
            <w:r>
              <w:t xml:space="preserve">&lt;30 points</w:t>
            </w:r>
          </w:p>
        </w:tc>
        <w:tc>
          <w:tcPr/>
          <w:p>
            <w:pPr>
              <w:pStyle w:val="Compact"/>
              <w:jc w:val="left"/>
            </w:pPr>
            <w:r>
              <w:t xml:space="preserve">Baseline</w:t>
            </w:r>
          </w:p>
        </w:tc>
      </w:tr>
    </w:tbl>
    <w:bookmarkEnd w:id="365"/>
    <w:bookmarkStart w:id="366" w:name="Xfabeb31f20db8a2e79d3604754e5f1e92655255"/>
    <w:p>
      <w:pPr>
        <w:pStyle w:val="Heading3"/>
      </w:pPr>
      <w:r>
        <w:t xml:space="preserve">3.3 Automatic Tier 1 Triggers (</w:t>
      </w:r>
      <w:r>
        <w:t xml:space="preserve">“Regardless of Size”</w:t>
      </w:r>
      <w:r>
        <w:t xml:space="preserve"> </w:t>
      </w:r>
      <w:r>
        <w:t xml:space="preserve">Criteria)</w:t>
      </w:r>
    </w:p>
    <w:p>
      <w:pPr>
        <w:pStyle w:val="FirstParagraph"/>
      </w:pPr>
      <w:r>
        <w:t xml:space="preserve">Regardless of score, an entity is automatically classified as</w:t>
      </w:r>
      <w:r>
        <w:t xml:space="preserve"> </w:t>
      </w:r>
      <w:r>
        <w:rPr>
          <w:b/>
          <w:bCs/>
        </w:rPr>
        <w:t xml:space="preserve">Tier 1</w:t>
      </w:r>
      <w:r>
        <w:t xml:space="preserve"> </w:t>
      </w:r>
      <w:r>
        <w:t xml:space="preserve">if:</w:t>
      </w:r>
    </w:p>
    <w:p>
      <w:pPr>
        <w:pStyle w:val="Compact"/>
        <w:numPr>
          <w:ilvl w:val="0"/>
          <w:numId w:val="1316"/>
        </w:numPr>
      </w:pPr>
      <w:r>
        <w:rPr>
          <w:b/>
          <w:bCs/>
        </w:rPr>
        <w:t xml:space="preserve">Sole provider</w:t>
      </w:r>
      <w:r>
        <w:t xml:space="preserve"> </w:t>
      </w:r>
      <w:r>
        <w:t xml:space="preserve">of an essential health service in a geographic area</w:t>
      </w:r>
    </w:p>
    <w:p>
      <w:pPr>
        <w:pStyle w:val="Compact"/>
        <w:numPr>
          <w:ilvl w:val="0"/>
          <w:numId w:val="1316"/>
        </w:numPr>
      </w:pPr>
      <w:r>
        <w:t xml:space="preserve">Operates a</w:t>
      </w:r>
      <w:r>
        <w:t xml:space="preserve"> </w:t>
      </w:r>
      <w:r>
        <w:rPr>
          <w:b/>
          <w:bCs/>
        </w:rPr>
        <w:t xml:space="preserve">national-level</w:t>
      </w:r>
      <w:r>
        <w:t xml:space="preserve"> </w:t>
      </w:r>
      <w:r>
        <w:t xml:space="preserve">health information system</w:t>
      </w:r>
    </w:p>
    <w:p>
      <w:pPr>
        <w:pStyle w:val="Compact"/>
        <w:numPr>
          <w:ilvl w:val="0"/>
          <w:numId w:val="1316"/>
        </w:numPr>
      </w:pPr>
      <w:r>
        <w:t xml:space="preserve">Operates</w:t>
      </w:r>
      <w:r>
        <w:t xml:space="preserve"> </w:t>
      </w:r>
      <w:r>
        <w:rPr>
          <w:b/>
          <w:bCs/>
        </w:rPr>
        <w:t xml:space="preserve">emergency ambulance dispatch</w:t>
      </w:r>
      <w:r>
        <w:t xml:space="preserve"> </w:t>
      </w:r>
      <w:r>
        <w:t xml:space="preserve">or</w:t>
      </w:r>
      <w:r>
        <w:t xml:space="preserve"> </w:t>
      </w:r>
      <w:r>
        <w:rPr>
          <w:b/>
          <w:bCs/>
        </w:rPr>
        <w:t xml:space="preserve">air ambulance</w:t>
      </w:r>
      <w:r>
        <w:t xml:space="preserve"> </w:t>
      </w:r>
      <w:r>
        <w:t xml:space="preserve">services</w:t>
      </w:r>
    </w:p>
    <w:p>
      <w:pPr>
        <w:pStyle w:val="Compact"/>
        <w:numPr>
          <w:ilvl w:val="0"/>
          <w:numId w:val="1316"/>
        </w:numPr>
      </w:pPr>
      <w:r>
        <w:t xml:space="preserve">Operates</w:t>
      </w:r>
      <w:r>
        <w:t xml:space="preserve"> </w:t>
      </w:r>
      <w:r>
        <w:rPr>
          <w:b/>
          <w:bCs/>
        </w:rPr>
        <w:t xml:space="preserve">blood or organ allocation</w:t>
      </w:r>
      <w:r>
        <w:t xml:space="preserve"> </w:t>
      </w:r>
      <w:r>
        <w:t xml:space="preserve">services at national/regional level</w:t>
      </w:r>
    </w:p>
    <w:p>
      <w:pPr>
        <w:pStyle w:val="Compact"/>
        <w:numPr>
          <w:ilvl w:val="0"/>
          <w:numId w:val="1316"/>
        </w:numPr>
      </w:pPr>
      <w:r>
        <w:t xml:space="preserve">Operates national/regional</w:t>
      </w:r>
      <w:r>
        <w:t xml:space="preserve"> </w:t>
      </w:r>
      <w:r>
        <w:rPr>
          <w:b/>
          <w:bCs/>
        </w:rPr>
        <w:t xml:space="preserve">infectious disease surveillance</w:t>
      </w:r>
    </w:p>
    <w:p>
      <w:pPr>
        <w:pStyle w:val="Compact"/>
        <w:numPr>
          <w:ilvl w:val="0"/>
          <w:numId w:val="1316"/>
        </w:numPr>
      </w:pPr>
      <w:r>
        <w:t xml:space="preserve">Explicitly designated by competent authority as</w:t>
      </w:r>
      <w:r>
        <w:t xml:space="preserve"> </w:t>
      </w:r>
      <w:r>
        <w:rPr>
          <w:b/>
          <w:bCs/>
        </w:rPr>
        <w:t xml:space="preserve">CII</w:t>
      </w:r>
    </w:p>
    <w:p>
      <w:r>
        <w:pict>
          <v:rect style="width:0;height:1.5pt" o:hralign="center" o:hrstd="t" o:hr="t"/>
        </w:pict>
      </w:r>
    </w:p>
    <w:bookmarkEnd w:id="366"/>
    <w:bookmarkEnd w:id="367"/>
    <w:bookmarkStart w:id="370" w:name="part-4-system-level-metrics"/>
    <w:p>
      <w:pPr>
        <w:pStyle w:val="Heading2"/>
      </w:pPr>
      <w:r>
        <w:t xml:space="preserve">Part 4: System-Level Metrics</w:t>
      </w:r>
    </w:p>
    <w:bookmarkStart w:id="368" w:name="X06125dca9430004d16efe1bc9608a556c46a549"/>
    <w:p>
      <w:pPr>
        <w:pStyle w:val="Heading3"/>
      </w:pPr>
      <w:r>
        <w:t xml:space="preserve">4.1 Critical Health Information Systems (Global Consensus)</w:t>
      </w:r>
    </w:p>
    <w:p>
      <w:pPr>
        <w:pStyle w:val="FirstParagraph"/>
      </w:pPr>
      <w:r>
        <w:t xml:space="preserve">The following systems are prioritized across</w:t>
      </w:r>
      <w:r>
        <w:t xml:space="preserve"> </w:t>
      </w:r>
      <w:r>
        <w:rPr>
          <w:b/>
          <w:bCs/>
        </w:rPr>
        <w:t xml:space="preserve">80%+ of jurisdictions</w:t>
      </w:r>
      <w:r>
        <w:t xml:space="preserve">:</w:t>
      </w:r>
    </w:p>
    <w:tbl>
      <w:tblPr>
        <w:tblStyle w:val="Table"/>
        <w:tblW w:type="pct" w:w="5000"/>
        <w:tblLayout w:type="fixed"/>
        <w:tblLook w:firstRow="1" w:lastRow="0" w:firstColumn="0" w:lastColumn="0" w:noHBand="0" w:noVBand="0" w:val="0020"/>
      </w:tblPr>
      <w:tblGrid>
        <w:gridCol w:w="2926"/>
        <w:gridCol w:w="3960"/>
        <w:gridCol w:w="1033"/>
      </w:tblGrid>
      <w:tr>
        <w:trPr>
          <w:tblHeader w:val="on"/>
        </w:trPr>
        <w:tc>
          <w:tcPr/>
          <w:p>
            <w:pPr>
              <w:pStyle w:val="Compact"/>
              <w:jc w:val="left"/>
            </w:pPr>
            <w:r>
              <w:t xml:space="preserve">System Category</w:t>
            </w:r>
          </w:p>
        </w:tc>
        <w:tc>
          <w:tcPr/>
          <w:p>
            <w:pPr>
              <w:pStyle w:val="Compact"/>
              <w:jc w:val="left"/>
            </w:pPr>
            <w:r>
              <w:t xml:space="preserve">Criticality Rationale</w:t>
            </w:r>
          </w:p>
        </w:tc>
        <w:tc>
          <w:tcPr/>
          <w:p>
            <w:pPr>
              <w:pStyle w:val="Compact"/>
              <w:jc w:val="left"/>
            </w:pPr>
            <w:r>
              <w:t xml:space="preserve">Tier</w:t>
            </w:r>
          </w:p>
        </w:tc>
      </w:tr>
      <w:tr>
        <w:tc>
          <w:tcPr/>
          <w:p>
            <w:pPr>
              <w:pStyle w:val="Compact"/>
              <w:jc w:val="left"/>
            </w:pPr>
            <w:r>
              <w:rPr>
                <w:b/>
                <w:bCs/>
              </w:rPr>
              <w:t xml:space="preserve">Emergency Dispatch (CAD)</w:t>
            </w:r>
          </w:p>
        </w:tc>
        <w:tc>
          <w:tcPr/>
          <w:p>
            <w:pPr>
              <w:pStyle w:val="Compact"/>
              <w:jc w:val="left"/>
            </w:pPr>
            <w:r>
              <w:t xml:space="preserve">Immediate life-safety impact</w:t>
            </w:r>
          </w:p>
        </w:tc>
        <w:tc>
          <w:tcPr/>
          <w:p>
            <w:pPr>
              <w:pStyle w:val="Compact"/>
              <w:jc w:val="left"/>
            </w:pPr>
            <w:r>
              <w:t xml:space="preserve">1</w:t>
            </w:r>
          </w:p>
        </w:tc>
      </w:tr>
      <w:tr>
        <w:tc>
          <w:tcPr/>
          <w:p>
            <w:pPr>
              <w:pStyle w:val="Compact"/>
              <w:jc w:val="left"/>
            </w:pPr>
            <w:r>
              <w:rPr>
                <w:b/>
                <w:bCs/>
              </w:rPr>
              <w:t xml:space="preserve">Hospital EMR/EHR</w:t>
            </w:r>
            <w:r>
              <w:t xml:space="preserve"> </w:t>
            </w:r>
            <w:r>
              <w:t xml:space="preserve">(ICU/ED settings)</w:t>
            </w:r>
          </w:p>
        </w:tc>
        <w:tc>
          <w:tcPr/>
          <w:p>
            <w:pPr>
              <w:pStyle w:val="Compact"/>
              <w:jc w:val="left"/>
            </w:pPr>
            <w:r>
              <w:t xml:space="preserve">Direct patient care continuity</w:t>
            </w:r>
          </w:p>
        </w:tc>
        <w:tc>
          <w:tcPr/>
          <w:p>
            <w:pPr>
              <w:pStyle w:val="Compact"/>
              <w:jc w:val="left"/>
            </w:pPr>
            <w:r>
              <w:t xml:space="preserve">1</w:t>
            </w:r>
          </w:p>
        </w:tc>
      </w:tr>
      <w:tr>
        <w:tc>
          <w:tcPr/>
          <w:p>
            <w:pPr>
              <w:pStyle w:val="Compact"/>
              <w:jc w:val="left"/>
            </w:pPr>
            <w:r>
              <w:rPr>
                <w:b/>
                <w:bCs/>
              </w:rPr>
              <w:t xml:space="preserve">ICU Monitoring Systems</w:t>
            </w:r>
          </w:p>
        </w:tc>
        <w:tc>
          <w:tcPr/>
          <w:p>
            <w:pPr>
              <w:pStyle w:val="Compact"/>
              <w:jc w:val="left"/>
            </w:pPr>
            <w:r>
              <w:t xml:space="preserve">Real-time life support</w:t>
            </w:r>
          </w:p>
        </w:tc>
        <w:tc>
          <w:tcPr/>
          <w:p>
            <w:pPr>
              <w:pStyle w:val="Compact"/>
              <w:jc w:val="left"/>
            </w:pPr>
            <w:r>
              <w:t xml:space="preserve">1</w:t>
            </w:r>
          </w:p>
        </w:tc>
      </w:tr>
      <w:tr>
        <w:tc>
          <w:tcPr/>
          <w:p>
            <w:pPr>
              <w:pStyle w:val="Compact"/>
              <w:jc w:val="left"/>
            </w:pPr>
            <w:r>
              <w:rPr>
                <w:b/>
                <w:bCs/>
              </w:rPr>
              <w:t xml:space="preserve">Blood Bank/Transfusion</w:t>
            </w:r>
          </w:p>
        </w:tc>
        <w:tc>
          <w:tcPr/>
          <w:p>
            <w:pPr>
              <w:pStyle w:val="Compact"/>
              <w:jc w:val="left"/>
            </w:pPr>
            <w:r>
              <w:t xml:space="preserve">Immediate clinical dependency</w:t>
            </w:r>
          </w:p>
        </w:tc>
        <w:tc>
          <w:tcPr/>
          <w:p>
            <w:pPr>
              <w:pStyle w:val="Compact"/>
              <w:jc w:val="left"/>
            </w:pPr>
            <w:r>
              <w:t xml:space="preserve">1</w:t>
            </w:r>
          </w:p>
        </w:tc>
      </w:tr>
      <w:tr>
        <w:tc>
          <w:tcPr/>
          <w:p>
            <w:pPr>
              <w:pStyle w:val="Compact"/>
              <w:jc w:val="left"/>
            </w:pPr>
            <w:r>
              <w:rPr>
                <w:b/>
                <w:bCs/>
              </w:rPr>
              <w:t xml:space="preserve">Disease Surveillance</w:t>
            </w:r>
          </w:p>
        </w:tc>
        <w:tc>
          <w:tcPr/>
          <w:p>
            <w:pPr>
              <w:pStyle w:val="Compact"/>
              <w:jc w:val="left"/>
            </w:pPr>
            <w:r>
              <w:t xml:space="preserve">Epidemic response capability</w:t>
            </w:r>
          </w:p>
        </w:tc>
        <w:tc>
          <w:tcPr/>
          <w:p>
            <w:pPr>
              <w:pStyle w:val="Compact"/>
              <w:jc w:val="left"/>
            </w:pPr>
            <w:r>
              <w:t xml:space="preserve">1</w:t>
            </w:r>
          </w:p>
        </w:tc>
      </w:tr>
      <w:tr>
        <w:tc>
          <w:tcPr/>
          <w:p>
            <w:pPr>
              <w:pStyle w:val="Compact"/>
              <w:jc w:val="left"/>
            </w:pPr>
            <w:r>
              <w:rPr>
                <w:b/>
                <w:bCs/>
              </w:rPr>
              <w:t xml:space="preserve">National EHR/HIE</w:t>
            </w:r>
          </w:p>
        </w:tc>
        <w:tc>
          <w:tcPr/>
          <w:p>
            <w:pPr>
              <w:pStyle w:val="Compact"/>
              <w:jc w:val="left"/>
            </w:pPr>
            <w:r>
              <w:t xml:space="preserve">Systemic healthcare function</w:t>
            </w:r>
          </w:p>
        </w:tc>
        <w:tc>
          <w:tcPr/>
          <w:p>
            <w:pPr>
              <w:pStyle w:val="Compact"/>
              <w:jc w:val="left"/>
            </w:pPr>
            <w:r>
              <w:t xml:space="preserve">1</w:t>
            </w:r>
          </w:p>
        </w:tc>
      </w:tr>
      <w:tr>
        <w:tc>
          <w:tcPr/>
          <w:p>
            <w:pPr>
              <w:pStyle w:val="Compact"/>
              <w:jc w:val="left"/>
            </w:pPr>
            <w:r>
              <w:rPr>
                <w:b/>
                <w:bCs/>
              </w:rPr>
              <w:t xml:space="preserve">Operating Theatre Management</w:t>
            </w:r>
          </w:p>
        </w:tc>
        <w:tc>
          <w:tcPr/>
          <w:p>
            <w:pPr>
              <w:pStyle w:val="Compact"/>
              <w:jc w:val="left"/>
            </w:pPr>
            <w:r>
              <w:t xml:space="preserve">Surgical care continuity</w:t>
            </w:r>
          </w:p>
        </w:tc>
        <w:tc>
          <w:tcPr/>
          <w:p>
            <w:pPr>
              <w:pStyle w:val="Compact"/>
              <w:jc w:val="left"/>
            </w:pPr>
            <w:r>
              <w:t xml:space="preserve">1-2</w:t>
            </w:r>
          </w:p>
        </w:tc>
      </w:tr>
      <w:tr>
        <w:tc>
          <w:tcPr/>
          <w:p>
            <w:pPr>
              <w:pStyle w:val="Compact"/>
              <w:jc w:val="left"/>
            </w:pPr>
            <w:r>
              <w:rPr>
                <w:b/>
                <w:bCs/>
              </w:rPr>
              <w:t xml:space="preserve">Pharmacy Management</w:t>
            </w:r>
          </w:p>
        </w:tc>
        <w:tc>
          <w:tcPr/>
          <w:p>
            <w:pPr>
              <w:pStyle w:val="Compact"/>
              <w:jc w:val="left"/>
            </w:pPr>
            <w:r>
              <w:t xml:space="preserve">Medication safety</w:t>
            </w:r>
          </w:p>
        </w:tc>
        <w:tc>
          <w:tcPr/>
          <w:p>
            <w:pPr>
              <w:pStyle w:val="Compact"/>
              <w:jc w:val="left"/>
            </w:pPr>
            <w:r>
              <w:t xml:space="preserve">1-2</w:t>
            </w:r>
          </w:p>
        </w:tc>
      </w:tr>
      <w:tr>
        <w:tc>
          <w:tcPr/>
          <w:p>
            <w:pPr>
              <w:pStyle w:val="Compact"/>
              <w:jc w:val="left"/>
            </w:pPr>
            <w:r>
              <w:rPr>
                <w:b/>
                <w:bCs/>
              </w:rPr>
              <w:t xml:space="preserve">LIMS (Laboratory)</w:t>
            </w:r>
          </w:p>
        </w:tc>
        <w:tc>
          <w:tcPr/>
          <w:p>
            <w:pPr>
              <w:pStyle w:val="Compact"/>
              <w:jc w:val="left"/>
            </w:pPr>
            <w:r>
              <w:t xml:space="preserve">Diagnostic capability</w:t>
            </w:r>
          </w:p>
        </w:tc>
        <w:tc>
          <w:tcPr/>
          <w:p>
            <w:pPr>
              <w:pStyle w:val="Compact"/>
              <w:jc w:val="left"/>
            </w:pPr>
            <w:r>
              <w:t xml:space="preserve">2</w:t>
            </w:r>
          </w:p>
        </w:tc>
      </w:tr>
      <w:tr>
        <w:tc>
          <w:tcPr/>
          <w:p>
            <w:pPr>
              <w:pStyle w:val="Compact"/>
              <w:jc w:val="left"/>
            </w:pPr>
            <w:r>
              <w:rPr>
                <w:b/>
                <w:bCs/>
              </w:rPr>
              <w:t xml:space="preserve">RIS/PACS (Radiology)</w:t>
            </w:r>
          </w:p>
        </w:tc>
        <w:tc>
          <w:tcPr/>
          <w:p>
            <w:pPr>
              <w:pStyle w:val="Compact"/>
              <w:jc w:val="left"/>
            </w:pPr>
            <w:r>
              <w:t xml:space="preserve">Diagnostic capability</w:t>
            </w:r>
          </w:p>
        </w:tc>
        <w:tc>
          <w:tcPr/>
          <w:p>
            <w:pPr>
              <w:pStyle w:val="Compact"/>
              <w:jc w:val="left"/>
            </w:pPr>
            <w:r>
              <w:t xml:space="preserve">2</w:t>
            </w:r>
          </w:p>
        </w:tc>
      </w:tr>
      <w:tr>
        <w:tc>
          <w:tcPr/>
          <w:p>
            <w:pPr>
              <w:pStyle w:val="Compact"/>
              <w:jc w:val="left"/>
            </w:pPr>
            <w:r>
              <w:rPr>
                <w:b/>
                <w:bCs/>
              </w:rPr>
              <w:t xml:space="preserve">Hospital ADT/PAS</w:t>
            </w:r>
          </w:p>
        </w:tc>
        <w:tc>
          <w:tcPr/>
          <w:p>
            <w:pPr>
              <w:pStyle w:val="Compact"/>
              <w:jc w:val="left"/>
            </w:pPr>
            <w:r>
              <w:t xml:space="preserve">Administrative continuity</w:t>
            </w:r>
          </w:p>
        </w:tc>
        <w:tc>
          <w:tcPr/>
          <w:p>
            <w:pPr>
              <w:pStyle w:val="Compact"/>
              <w:jc w:val="left"/>
            </w:pPr>
            <w:r>
              <w:t xml:space="preserve">2</w:t>
            </w:r>
          </w:p>
        </w:tc>
      </w:tr>
      <w:tr>
        <w:tc>
          <w:tcPr/>
          <w:p>
            <w:pPr>
              <w:pStyle w:val="Compact"/>
              <w:jc w:val="left"/>
            </w:pPr>
            <w:r>
              <w:rPr>
                <w:b/>
                <w:bCs/>
              </w:rPr>
              <w:t xml:space="preserve">ePrescribing</w:t>
            </w:r>
          </w:p>
        </w:tc>
        <w:tc>
          <w:tcPr/>
          <w:p>
            <w:pPr>
              <w:pStyle w:val="Compact"/>
              <w:jc w:val="left"/>
            </w:pPr>
            <w:r>
              <w:t xml:space="preserve">Medication management</w:t>
            </w:r>
          </w:p>
        </w:tc>
        <w:tc>
          <w:tcPr/>
          <w:p>
            <w:pPr>
              <w:pStyle w:val="Compact"/>
              <w:jc w:val="left"/>
            </w:pPr>
            <w:r>
              <w:t xml:space="preserve">2</w:t>
            </w:r>
          </w:p>
        </w:tc>
      </w:tr>
      <w:tr>
        <w:tc>
          <w:tcPr/>
          <w:p>
            <w:pPr>
              <w:pStyle w:val="Compact"/>
              <w:jc w:val="left"/>
            </w:pPr>
            <w:r>
              <w:rPr>
                <w:b/>
                <w:bCs/>
              </w:rPr>
              <w:t xml:space="preserve">Immunization Registries</w:t>
            </w:r>
          </w:p>
        </w:tc>
        <w:tc>
          <w:tcPr/>
          <w:p>
            <w:pPr>
              <w:pStyle w:val="Compact"/>
              <w:jc w:val="left"/>
            </w:pPr>
            <w:r>
              <w:t xml:space="preserve">Public health function</w:t>
            </w:r>
          </w:p>
        </w:tc>
        <w:tc>
          <w:tcPr/>
          <w:p>
            <w:pPr>
              <w:pStyle w:val="Compact"/>
              <w:jc w:val="left"/>
            </w:pPr>
            <w:r>
              <w:t xml:space="preserve">2</w:t>
            </w:r>
          </w:p>
        </w:tc>
      </w:tr>
      <w:tr>
        <w:tc>
          <w:tcPr/>
          <w:p>
            <w:pPr>
              <w:pStyle w:val="Compact"/>
              <w:jc w:val="left"/>
            </w:pPr>
            <w:r>
              <w:rPr>
                <w:b/>
                <w:bCs/>
              </w:rPr>
              <w:t xml:space="preserve">Organ Transplant Allocation</w:t>
            </w:r>
          </w:p>
        </w:tc>
        <w:tc>
          <w:tcPr/>
          <w:p>
            <w:pPr>
              <w:pStyle w:val="Compact"/>
              <w:jc w:val="left"/>
            </w:pPr>
            <w:r>
              <w:t xml:space="preserve">Life-critical matching</w:t>
            </w:r>
          </w:p>
        </w:tc>
        <w:tc>
          <w:tcPr/>
          <w:p>
            <w:pPr>
              <w:pStyle w:val="Compact"/>
              <w:jc w:val="left"/>
            </w:pPr>
            <w:r>
              <w:t xml:space="preserve">1</w:t>
            </w:r>
          </w:p>
        </w:tc>
      </w:tr>
    </w:tbl>
    <w:bookmarkEnd w:id="368"/>
    <w:bookmarkStart w:id="369" w:name="system-criticality-scoring"/>
    <w:p>
      <w:pPr>
        <w:pStyle w:val="Heading3"/>
      </w:pPr>
      <w:r>
        <w:t xml:space="preserve">4.2 System Criticality Scoring</w:t>
      </w:r>
    </w:p>
    <w:tbl>
      <w:tblPr>
        <w:tblStyle w:val="Table"/>
        <w:tblW w:type="pct" w:w="5000"/>
        <w:tblLayout w:type="fixed"/>
        <w:tblLook w:firstRow="1" w:lastRow="0" w:firstColumn="0" w:lastColumn="0" w:noHBand="0" w:noVBand="0" w:val="0020"/>
      </w:tblPr>
      <w:tblGrid>
        <w:gridCol w:w="1760"/>
        <w:gridCol w:w="4620"/>
        <w:gridCol w:w="1540"/>
      </w:tblGrid>
      <w:tr>
        <w:trPr>
          <w:tblHeader w:val="on"/>
        </w:trPr>
        <w:tc>
          <w:tcPr/>
          <w:p>
            <w:pPr>
              <w:pStyle w:val="Compact"/>
              <w:jc w:val="left"/>
            </w:pPr>
            <w:r>
              <w:t xml:space="preserve">Factor</w:t>
            </w:r>
          </w:p>
        </w:tc>
        <w:tc>
          <w:tcPr/>
          <w:p>
            <w:pPr>
              <w:pStyle w:val="Compact"/>
              <w:jc w:val="left"/>
            </w:pPr>
            <w:r>
              <w:t xml:space="preserve">Assessment Question</w:t>
            </w:r>
          </w:p>
        </w:tc>
        <w:tc>
          <w:tcPr/>
          <w:p>
            <w:pPr>
              <w:pStyle w:val="Compact"/>
              <w:jc w:val="center"/>
            </w:pPr>
            <w:r>
              <w:t xml:space="preserve">Score</w:t>
            </w:r>
          </w:p>
        </w:tc>
      </w:tr>
      <w:tr>
        <w:tc>
          <w:tcPr/>
          <w:p>
            <w:pPr>
              <w:pStyle w:val="Compact"/>
              <w:jc w:val="left"/>
            </w:pPr>
            <w:r>
              <w:rPr>
                <w:b/>
                <w:bCs/>
              </w:rPr>
              <w:t xml:space="preserve">Availability Impact</w:t>
            </w:r>
          </w:p>
        </w:tc>
        <w:tc>
          <w:tcPr/>
          <w:p>
            <w:pPr>
              <w:pStyle w:val="Compact"/>
              <w:jc w:val="left"/>
            </w:pPr>
            <w:r>
              <w:t xml:space="preserve">Service unavailable: life-threatening within 4 hours?</w:t>
            </w:r>
          </w:p>
        </w:tc>
        <w:tc>
          <w:tcPr/>
          <w:p>
            <w:pPr>
              <w:pStyle w:val="Compact"/>
              <w:jc w:val="center"/>
            </w:pPr>
            <w:r>
              <w:t xml:space="preserve">0-10</w:t>
            </w:r>
          </w:p>
        </w:tc>
      </w:tr>
      <w:tr>
        <w:tc>
          <w:tcPr/>
          <w:p>
            <w:pPr>
              <w:pStyle w:val="Compact"/>
              <w:jc w:val="left"/>
            </w:pPr>
            <w:r>
              <w:rPr>
                <w:b/>
                <w:bCs/>
              </w:rPr>
              <w:t xml:space="preserve">Integrity Impact</w:t>
            </w:r>
          </w:p>
        </w:tc>
        <w:tc>
          <w:tcPr/>
          <w:p>
            <w:pPr>
              <w:pStyle w:val="Compact"/>
              <w:jc w:val="left"/>
            </w:pPr>
            <w:r>
              <w:t xml:space="preserve">Data corruption: direct patient harm possible?</w:t>
            </w:r>
          </w:p>
        </w:tc>
        <w:tc>
          <w:tcPr/>
          <w:p>
            <w:pPr>
              <w:pStyle w:val="Compact"/>
              <w:jc w:val="center"/>
            </w:pPr>
            <w:r>
              <w:t xml:space="preserve">0-10</w:t>
            </w:r>
          </w:p>
        </w:tc>
      </w:tr>
      <w:tr>
        <w:tc>
          <w:tcPr/>
          <w:p>
            <w:pPr>
              <w:pStyle w:val="Compact"/>
              <w:jc w:val="left"/>
            </w:pPr>
            <w:r>
              <w:rPr>
                <w:b/>
                <w:bCs/>
              </w:rPr>
              <w:t xml:space="preserve">Confidentiality Impact</w:t>
            </w:r>
          </w:p>
        </w:tc>
        <w:tc>
          <w:tcPr/>
          <w:p>
            <w:pPr>
              <w:pStyle w:val="Compact"/>
              <w:jc w:val="left"/>
            </w:pPr>
            <w:r>
              <w:t xml:space="preserve">Breach: significant personal health data exposure?</w:t>
            </w:r>
          </w:p>
        </w:tc>
        <w:tc>
          <w:tcPr/>
          <w:p>
            <w:pPr>
              <w:pStyle w:val="Compact"/>
              <w:jc w:val="center"/>
            </w:pPr>
            <w:r>
              <w:t xml:space="preserve">0-10</w:t>
            </w:r>
          </w:p>
        </w:tc>
      </w:tr>
      <w:tr>
        <w:tc>
          <w:tcPr/>
          <w:p>
            <w:pPr>
              <w:pStyle w:val="Compact"/>
              <w:jc w:val="left"/>
            </w:pPr>
            <w:r>
              <w:rPr>
                <w:b/>
                <w:bCs/>
              </w:rPr>
              <w:t xml:space="preserve">Substitutability</w:t>
            </w:r>
          </w:p>
        </w:tc>
        <w:tc>
          <w:tcPr/>
          <w:p>
            <w:pPr>
              <w:pStyle w:val="Compact"/>
              <w:jc w:val="left"/>
            </w:pPr>
            <w:r>
              <w:t xml:space="preserve">Manual workaround available?</w:t>
            </w:r>
          </w:p>
        </w:tc>
        <w:tc>
          <w:tcPr/>
          <w:p>
            <w:pPr>
              <w:pStyle w:val="Compact"/>
              <w:jc w:val="center"/>
            </w:pPr>
            <w:r>
              <w:t xml:space="preserve">0-10</w:t>
            </w:r>
          </w:p>
        </w:tc>
      </w:tr>
      <w:tr>
        <w:tc>
          <w:tcPr/>
          <w:p>
            <w:pPr>
              <w:pStyle w:val="Compact"/>
              <w:jc w:val="left"/>
            </w:pPr>
            <w:r>
              <w:rPr>
                <w:b/>
                <w:bCs/>
              </w:rPr>
              <w:t xml:space="preserve">Recovery Time</w:t>
            </w:r>
          </w:p>
        </w:tc>
        <w:tc>
          <w:tcPr/>
          <w:p>
            <w:pPr>
              <w:pStyle w:val="Compact"/>
              <w:jc w:val="left"/>
            </w:pPr>
            <w:r>
              <w:t xml:space="preserve">RTO &gt; 24 hours = critical</w:t>
            </w:r>
          </w:p>
        </w:tc>
        <w:tc>
          <w:tcPr/>
          <w:p>
            <w:pPr>
              <w:pStyle w:val="Compact"/>
              <w:jc w:val="center"/>
            </w:pPr>
            <w:r>
              <w:t xml:space="preserve">0-10</w:t>
            </w:r>
          </w:p>
        </w:tc>
      </w:tr>
    </w:tbl>
    <w:p>
      <w:pPr>
        <w:pStyle w:val="BodyText"/>
      </w:pPr>
      <w:r>
        <w:rPr>
          <w:b/>
          <w:bCs/>
        </w:rPr>
        <w:t xml:space="preserve">Total: 50 points maximum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Score</w:t>
            </w:r>
          </w:p>
        </w:tc>
        <w:tc>
          <w:tcPr/>
          <w:p>
            <w:pPr>
              <w:pStyle w:val="Compact"/>
              <w:jc w:val="left"/>
            </w:pPr>
            <w:r>
              <w:t xml:space="preserve">System Tier</w:t>
            </w:r>
          </w:p>
        </w:tc>
      </w:tr>
      <w:tr>
        <w:tc>
          <w:tcPr/>
          <w:p>
            <w:pPr>
              <w:pStyle w:val="Compact"/>
              <w:jc w:val="left"/>
            </w:pPr>
            <w:r>
              <w:t xml:space="preserve">≥35</w:t>
            </w:r>
          </w:p>
        </w:tc>
        <w:tc>
          <w:tcPr/>
          <w:p>
            <w:pPr>
              <w:pStyle w:val="Compact"/>
              <w:jc w:val="left"/>
            </w:pPr>
            <w:r>
              <w:t xml:space="preserve">Tier 1 System</w:t>
            </w:r>
          </w:p>
        </w:tc>
      </w:tr>
      <w:tr>
        <w:tc>
          <w:tcPr/>
          <w:p>
            <w:pPr>
              <w:pStyle w:val="Compact"/>
              <w:jc w:val="left"/>
            </w:pPr>
            <w:r>
              <w:t xml:space="preserve">20–34</w:t>
            </w:r>
          </w:p>
        </w:tc>
        <w:tc>
          <w:tcPr/>
          <w:p>
            <w:pPr>
              <w:pStyle w:val="Compact"/>
              <w:jc w:val="left"/>
            </w:pPr>
            <w:r>
              <w:t xml:space="preserve">Tier 2 System</w:t>
            </w:r>
          </w:p>
        </w:tc>
      </w:tr>
      <w:tr>
        <w:tc>
          <w:tcPr/>
          <w:p>
            <w:pPr>
              <w:pStyle w:val="Compact"/>
              <w:jc w:val="left"/>
            </w:pPr>
            <w:r>
              <w:t xml:space="preserve">&lt;20</w:t>
            </w:r>
          </w:p>
        </w:tc>
        <w:tc>
          <w:tcPr/>
          <w:p>
            <w:pPr>
              <w:pStyle w:val="Compact"/>
              <w:jc w:val="left"/>
            </w:pPr>
            <w:r>
              <w:t xml:space="preserve">Tier 3 System</w:t>
            </w:r>
          </w:p>
        </w:tc>
      </w:tr>
    </w:tbl>
    <w:p>
      <w:r>
        <w:pict>
          <v:rect style="width:0;height:1.5pt" o:hralign="center" o:hrstd="t" o:hr="t"/>
        </w:pict>
      </w:r>
    </w:p>
    <w:bookmarkEnd w:id="369"/>
    <w:bookmarkEnd w:id="370"/>
    <w:bookmarkStart w:id="373" w:name="part-5-incident-impact-thresholds"/>
    <w:p>
      <w:pPr>
        <w:pStyle w:val="Heading2"/>
      </w:pPr>
      <w:r>
        <w:t xml:space="preserve">Part 5: Incident Impact Thresholds</w:t>
      </w:r>
    </w:p>
    <w:bookmarkStart w:id="371" w:name="X72e4e7ecd23e663044c2960f5b25a8c569bea60"/>
    <w:p>
      <w:pPr>
        <w:pStyle w:val="Heading3"/>
      </w:pPr>
      <w:r>
        <w:t xml:space="preserve">5.1 UK-Style Quantitative Thresholds (Most Explicit Globally)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Impact Category</w:t>
            </w:r>
          </w:p>
        </w:tc>
        <w:tc>
          <w:tcPr/>
          <w:p>
            <w:pPr>
              <w:pStyle w:val="Compact"/>
              <w:jc w:val="left"/>
            </w:pPr>
            <w:r>
              <w:t xml:space="preserve">Threshold</w:t>
            </w:r>
          </w:p>
        </w:tc>
        <w:tc>
          <w:tcPr/>
          <w:p>
            <w:pPr>
              <w:pStyle w:val="Compact"/>
              <w:jc w:val="left"/>
            </w:pPr>
            <w:r>
              <w:t xml:space="preserve">Tier Applicability</w:t>
            </w:r>
          </w:p>
        </w:tc>
      </w:tr>
      <w:tr>
        <w:tc>
          <w:tcPr/>
          <w:p>
            <w:pPr>
              <w:pStyle w:val="Compact"/>
              <w:jc w:val="left"/>
            </w:pPr>
            <w:r>
              <w:rPr>
                <w:b/>
                <w:bCs/>
              </w:rPr>
              <w:t xml:space="preserve">Excess fatalities</w:t>
            </w:r>
          </w:p>
        </w:tc>
        <w:tc>
          <w:tcPr/>
          <w:p>
            <w:pPr>
              <w:pStyle w:val="Compact"/>
              <w:jc w:val="left"/>
            </w:pPr>
            <w:r>
              <w:t xml:space="preserve">&gt;0</w:t>
            </w:r>
          </w:p>
        </w:tc>
        <w:tc>
          <w:tcPr/>
          <w:p>
            <w:pPr>
              <w:pStyle w:val="Compact"/>
              <w:jc w:val="left"/>
            </w:pPr>
            <w:r>
              <w:t xml:space="preserve">All tiers</w:t>
            </w:r>
          </w:p>
        </w:tc>
      </w:tr>
      <w:tr>
        <w:tc>
          <w:tcPr/>
          <w:p>
            <w:pPr>
              <w:pStyle w:val="Compact"/>
              <w:jc w:val="left"/>
            </w:pPr>
            <w:r>
              <w:rPr>
                <w:b/>
                <w:bCs/>
              </w:rPr>
              <w:t xml:space="preserve">Potential clinical harm</w:t>
            </w:r>
          </w:p>
        </w:tc>
        <w:tc>
          <w:tcPr/>
          <w:p>
            <w:pPr>
              <w:pStyle w:val="Compact"/>
              <w:jc w:val="left"/>
            </w:pPr>
            <w:r>
              <w:t xml:space="preserve">&gt;50 patients at risk</w:t>
            </w:r>
          </w:p>
        </w:tc>
        <w:tc>
          <w:tcPr/>
          <w:p>
            <w:pPr>
              <w:pStyle w:val="Compact"/>
              <w:jc w:val="left"/>
            </w:pPr>
            <w:r>
              <w:t xml:space="preserve">Tier 1, 2</w:t>
            </w:r>
          </w:p>
        </w:tc>
      </w:tr>
      <w:tr>
        <w:tc>
          <w:tcPr/>
          <w:p>
            <w:pPr>
              <w:pStyle w:val="Compact"/>
              <w:jc w:val="left"/>
            </w:pPr>
            <w:r>
              <w:rPr>
                <w:b/>
                <w:bCs/>
              </w:rPr>
              <w:t xml:space="preserve">ED closure/diversion</w:t>
            </w:r>
          </w:p>
        </w:tc>
        <w:tc>
          <w:tcPr/>
          <w:p>
            <w:pPr>
              <w:pStyle w:val="Compact"/>
              <w:jc w:val="left"/>
            </w:pPr>
            <w:r>
              <w:t xml:space="preserve">&gt;3 hours (major trauma center)</w:t>
            </w:r>
          </w:p>
        </w:tc>
        <w:tc>
          <w:tcPr/>
          <w:p>
            <w:pPr>
              <w:pStyle w:val="Compact"/>
              <w:jc w:val="left"/>
            </w:pPr>
            <w:r>
              <w:t xml:space="preserve">Tier 1</w:t>
            </w:r>
          </w:p>
        </w:tc>
      </w:tr>
      <w:tr>
        <w:tc>
          <w:tcPr/>
          <w:p>
            <w:pPr>
              <w:pStyle w:val="Compact"/>
              <w:jc w:val="left"/>
            </w:pPr>
            <w:r>
              <w:rPr>
                <w:b/>
                <w:bCs/>
              </w:rPr>
              <w:t xml:space="preserve">ED closure/diversion</w:t>
            </w:r>
          </w:p>
        </w:tc>
        <w:tc>
          <w:tcPr/>
          <w:p>
            <w:pPr>
              <w:pStyle w:val="Compact"/>
              <w:jc w:val="left"/>
            </w:pPr>
            <w:r>
              <w:t xml:space="preserve">&gt;24 hours (other hospitals)</w:t>
            </w:r>
          </w:p>
        </w:tc>
        <w:tc>
          <w:tcPr/>
          <w:p>
            <w:pPr>
              <w:pStyle w:val="Compact"/>
              <w:jc w:val="left"/>
            </w:pPr>
            <w:r>
              <w:t xml:space="preserve">Tier 2</w:t>
            </w:r>
          </w:p>
        </w:tc>
      </w:tr>
      <w:tr>
        <w:tc>
          <w:tcPr/>
          <w:p>
            <w:pPr>
              <w:pStyle w:val="Compact"/>
              <w:jc w:val="left"/>
            </w:pPr>
            <w:r>
              <w:rPr>
                <w:b/>
                <w:bCs/>
              </w:rPr>
              <w:t xml:space="preserve">Outpatient appointments cancelled</w:t>
            </w:r>
          </w:p>
        </w:tc>
        <w:tc>
          <w:tcPr/>
          <w:p>
            <w:pPr>
              <w:pStyle w:val="Compact"/>
              <w:jc w:val="left"/>
            </w:pPr>
            <w:r>
              <w:t xml:space="preserve">&gt;1,500</w:t>
            </w:r>
          </w:p>
        </w:tc>
        <w:tc>
          <w:tcPr/>
          <w:p>
            <w:pPr>
              <w:pStyle w:val="Compact"/>
              <w:jc w:val="left"/>
            </w:pPr>
            <w:r>
              <w:t xml:space="preserve">Tier 1, 2</w:t>
            </w:r>
          </w:p>
        </w:tc>
      </w:tr>
      <w:tr>
        <w:tc>
          <w:tcPr/>
          <w:p>
            <w:pPr>
              <w:pStyle w:val="Compact"/>
              <w:jc w:val="left"/>
            </w:pPr>
            <w:r>
              <w:rPr>
                <w:b/>
                <w:bCs/>
              </w:rPr>
              <w:t xml:space="preserve">Inpatient episodes cancelled</w:t>
            </w:r>
          </w:p>
        </w:tc>
        <w:tc>
          <w:tcPr/>
          <w:p>
            <w:pPr>
              <w:pStyle w:val="Compact"/>
              <w:jc w:val="left"/>
            </w:pPr>
            <w:r>
              <w:t xml:space="preserve">&gt;250</w:t>
            </w:r>
          </w:p>
        </w:tc>
        <w:tc>
          <w:tcPr/>
          <w:p>
            <w:pPr>
              <w:pStyle w:val="Compact"/>
              <w:jc w:val="left"/>
            </w:pPr>
            <w:r>
              <w:t xml:space="preserve">Tier 1, 2</w:t>
            </w:r>
          </w:p>
        </w:tc>
      </w:tr>
      <w:tr>
        <w:tc>
          <w:tcPr/>
          <w:p>
            <w:pPr>
              <w:pStyle w:val="Compact"/>
              <w:jc w:val="left"/>
            </w:pPr>
            <w:r>
              <w:rPr>
                <w:b/>
                <w:bCs/>
              </w:rPr>
              <w:t xml:space="preserve">Emergency call-taking unavailable</w:t>
            </w:r>
          </w:p>
        </w:tc>
        <w:tc>
          <w:tcPr/>
          <w:p>
            <w:pPr>
              <w:pStyle w:val="Compact"/>
              <w:jc w:val="left"/>
            </w:pPr>
            <w:r>
              <w:t xml:space="preserve">&gt;3 hours</w:t>
            </w:r>
          </w:p>
        </w:tc>
        <w:tc>
          <w:tcPr/>
          <w:p>
            <w:pPr>
              <w:pStyle w:val="Compact"/>
              <w:jc w:val="left"/>
            </w:pPr>
            <w:r>
              <w:t xml:space="preserve">Tier 1</w:t>
            </w:r>
          </w:p>
        </w:tc>
      </w:tr>
      <w:tr>
        <w:tc>
          <w:tcPr/>
          <w:p>
            <w:pPr>
              <w:pStyle w:val="Compact"/>
              <w:jc w:val="left"/>
            </w:pPr>
            <w:r>
              <w:rPr>
                <w:b/>
                <w:bCs/>
              </w:rPr>
              <w:t xml:space="preserve">Data breach</w:t>
            </w:r>
          </w:p>
        </w:tc>
        <w:tc>
          <w:tcPr/>
          <w:p>
            <w:pPr>
              <w:pStyle w:val="Compact"/>
              <w:jc w:val="left"/>
            </w:pPr>
            <w:r>
              <w:t xml:space="preserve">&gt;30,000 records</w:t>
            </w:r>
          </w:p>
        </w:tc>
        <w:tc>
          <w:tcPr/>
          <w:p>
            <w:pPr>
              <w:pStyle w:val="Compact"/>
              <w:jc w:val="left"/>
            </w:pPr>
            <w:r>
              <w:t xml:space="preserve">All tiers</w:t>
            </w:r>
          </w:p>
        </w:tc>
      </w:tr>
    </w:tbl>
    <w:bookmarkEnd w:id="371"/>
    <w:bookmarkStart w:id="372" w:name="reporting-timelines-global-convergence"/>
    <w:p>
      <w:pPr>
        <w:pStyle w:val="Heading3"/>
      </w:pPr>
      <w:r>
        <w:t xml:space="preserve">5.2 Reporting Timelines (Global Convergence)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Reporting Stage</w:t>
            </w:r>
          </w:p>
        </w:tc>
        <w:tc>
          <w:tcPr/>
          <w:p>
            <w:pPr>
              <w:pStyle w:val="Compact"/>
              <w:jc w:val="left"/>
            </w:pPr>
            <w:r>
              <w:t xml:space="preserve">Standard</w:t>
            </w:r>
          </w:p>
        </w:tc>
        <w:tc>
          <w:tcPr/>
          <w:p>
            <w:pPr>
              <w:pStyle w:val="Compact"/>
              <w:jc w:val="center"/>
            </w:pPr>
            <w:r>
              <w:t xml:space="preserve">Tier 1</w:t>
            </w:r>
          </w:p>
        </w:tc>
        <w:tc>
          <w:tcPr/>
          <w:p>
            <w:pPr>
              <w:pStyle w:val="Compact"/>
              <w:jc w:val="center"/>
            </w:pPr>
            <w:r>
              <w:t xml:space="preserve">Tier 2</w:t>
            </w:r>
          </w:p>
        </w:tc>
        <w:tc>
          <w:tcPr/>
          <w:p>
            <w:pPr>
              <w:pStyle w:val="Compact"/>
              <w:jc w:val="center"/>
            </w:pPr>
            <w:r>
              <w:t xml:space="preserve">Tier 3</w:t>
            </w:r>
          </w:p>
        </w:tc>
      </w:tr>
      <w:tr>
        <w:tc>
          <w:tcPr/>
          <w:p>
            <w:pPr>
              <w:pStyle w:val="Compact"/>
              <w:jc w:val="left"/>
            </w:pPr>
            <w:r>
              <w:rPr>
                <w:b/>
                <w:bCs/>
              </w:rPr>
              <w:t xml:space="preserve">Early Warning</w:t>
            </w:r>
          </w:p>
        </w:tc>
        <w:tc>
          <w:tcPr/>
          <w:p>
            <w:pPr>
              <w:pStyle w:val="Compact"/>
              <w:jc w:val="left"/>
            </w:pPr>
            <w:r>
              <w:t xml:space="preserve">12–24 hours</w:t>
            </w:r>
          </w:p>
        </w:tc>
        <w:tc>
          <w:tcPr/>
          <w:p>
            <w:pPr>
              <w:pStyle w:val="Compact"/>
              <w:jc w:val="center"/>
            </w:pPr>
            <w:r>
              <w:t xml:space="preserve">12h</w:t>
            </w:r>
          </w:p>
        </w:tc>
        <w:tc>
          <w:tcPr/>
          <w:p>
            <w:pPr>
              <w:pStyle w:val="Compact"/>
              <w:jc w:val="center"/>
            </w:pPr>
            <w:r>
              <w:t xml:space="preserve">24h</w:t>
            </w:r>
          </w:p>
        </w:tc>
        <w:tc>
          <w:tcPr/>
          <w:p>
            <w:pPr>
              <w:pStyle w:val="Compact"/>
              <w:jc w:val="center"/>
            </w:pPr>
            <w:r>
              <w:t xml:space="preserve">N/A</w:t>
            </w:r>
          </w:p>
        </w:tc>
      </w:tr>
      <w:tr>
        <w:tc>
          <w:tcPr/>
          <w:p>
            <w:pPr>
              <w:pStyle w:val="Compact"/>
              <w:jc w:val="left"/>
            </w:pPr>
            <w:r>
              <w:rPr>
                <w:b/>
                <w:bCs/>
              </w:rPr>
              <w:t xml:space="preserve">Detailed Notification</w:t>
            </w:r>
          </w:p>
        </w:tc>
        <w:tc>
          <w:tcPr/>
          <w:p>
            <w:pPr>
              <w:pStyle w:val="Compact"/>
              <w:jc w:val="left"/>
            </w:pPr>
            <w:r>
              <w:t xml:space="preserve">48–72 hours</w:t>
            </w:r>
          </w:p>
        </w:tc>
        <w:tc>
          <w:tcPr/>
          <w:p>
            <w:pPr>
              <w:pStyle w:val="Compact"/>
              <w:jc w:val="center"/>
            </w:pPr>
            <w:r>
              <w:t xml:space="preserve">48h</w:t>
            </w:r>
          </w:p>
        </w:tc>
        <w:tc>
          <w:tcPr/>
          <w:p>
            <w:pPr>
              <w:pStyle w:val="Compact"/>
              <w:jc w:val="center"/>
            </w:pPr>
            <w:r>
              <w:t xml:space="preserve">72h</w:t>
            </w:r>
          </w:p>
        </w:tc>
        <w:tc>
          <w:tcPr/>
          <w:p>
            <w:pPr>
              <w:pStyle w:val="Compact"/>
              <w:jc w:val="center"/>
            </w:pPr>
            <w:r>
              <w:t xml:space="preserve">72h</w:t>
            </w:r>
          </w:p>
        </w:tc>
      </w:tr>
      <w:tr>
        <w:tc>
          <w:tcPr/>
          <w:p>
            <w:pPr>
              <w:pStyle w:val="Compact"/>
              <w:jc w:val="left"/>
            </w:pPr>
            <w:r>
              <w:rPr>
                <w:b/>
                <w:bCs/>
              </w:rPr>
              <w:t xml:space="preserve">Final Report</w:t>
            </w:r>
          </w:p>
        </w:tc>
        <w:tc>
          <w:tcPr/>
          <w:p>
            <w:pPr>
              <w:pStyle w:val="Compact"/>
              <w:jc w:val="left"/>
            </w:pPr>
            <w:r>
              <w:t xml:space="preserve">14–30 days</w:t>
            </w:r>
          </w:p>
        </w:tc>
        <w:tc>
          <w:tcPr/>
          <w:p>
            <w:pPr>
              <w:pStyle w:val="Compact"/>
              <w:jc w:val="center"/>
            </w:pPr>
            <w:r>
              <w:t xml:space="preserve">14d</w:t>
            </w:r>
          </w:p>
        </w:tc>
        <w:tc>
          <w:tcPr/>
          <w:p>
            <w:pPr>
              <w:pStyle w:val="Compact"/>
              <w:jc w:val="center"/>
            </w:pPr>
            <w:r>
              <w:t xml:space="preserve">30d</w:t>
            </w:r>
          </w:p>
        </w:tc>
        <w:tc>
          <w:tcPr/>
          <w:p>
            <w:pPr>
              <w:pStyle w:val="Compact"/>
              <w:jc w:val="center"/>
            </w:pPr>
            <w:r>
              <w:t xml:space="preserve">30d</w:t>
            </w:r>
          </w:p>
        </w:tc>
      </w:tr>
      <w:tr>
        <w:tc>
          <w:tcPr/>
          <w:p>
            <w:pPr>
              <w:pStyle w:val="Compact"/>
              <w:jc w:val="left"/>
            </w:pPr>
            <w:r>
              <w:rPr>
                <w:b/>
                <w:bCs/>
              </w:rPr>
              <w:t xml:space="preserve">Ransom Payment</w:t>
            </w:r>
          </w:p>
        </w:tc>
        <w:tc>
          <w:tcPr/>
          <w:p>
            <w:pPr>
              <w:pStyle w:val="Compact"/>
              <w:jc w:val="left"/>
            </w:pPr>
            <w:r>
              <w:t xml:space="preserve">24 hours</w:t>
            </w:r>
          </w:p>
        </w:tc>
        <w:tc>
          <w:tcPr/>
          <w:p>
            <w:pPr>
              <w:pStyle w:val="Compact"/>
              <w:jc w:val="center"/>
            </w:pPr>
            <w:r>
              <w:t xml:space="preserve">24h</w:t>
            </w:r>
          </w:p>
        </w:tc>
        <w:tc>
          <w:tcPr/>
          <w:p>
            <w:pPr>
              <w:pStyle w:val="Compact"/>
              <w:jc w:val="center"/>
            </w:pPr>
            <w:r>
              <w:t xml:space="preserve">24h</w:t>
            </w:r>
          </w:p>
        </w:tc>
        <w:tc>
          <w:tcPr/>
          <w:p>
            <w:pPr>
              <w:pStyle w:val="Compact"/>
              <w:jc w:val="center"/>
            </w:pPr>
            <w:r>
              <w:t xml:space="preserve">24h</w:t>
            </w:r>
          </w:p>
        </w:tc>
      </w:tr>
    </w:tbl>
    <w:p>
      <w:r>
        <w:pict>
          <v:rect style="width:0;height:1.5pt" o:hralign="center" o:hrstd="t" o:hr="t"/>
        </w:pict>
      </w:r>
    </w:p>
    <w:bookmarkEnd w:id="372"/>
    <w:bookmarkEnd w:id="373"/>
    <w:bookmarkStart w:id="377" w:name="part-6-composite-grading-framework"/>
    <w:p>
      <w:pPr>
        <w:pStyle w:val="Heading2"/>
      </w:pPr>
      <w:r>
        <w:t xml:space="preserve">Part 6: Composite Grading Framework</w:t>
      </w:r>
    </w:p>
    <w:bookmarkStart w:id="374" w:name="final-classification-matrix"/>
    <w:p>
      <w:pPr>
        <w:pStyle w:val="Heading3"/>
      </w:pPr>
      <w:r>
        <w:t xml:space="preserve">6.1 Final Classification Matrix</w:t>
      </w:r>
    </w:p>
    <w:p>
      <w:pPr>
        <w:pStyle w:val="SourceCode"/>
      </w:pPr>
      <w:r>
        <w:rPr>
          <w:rStyle w:val="VerbatimChar"/>
        </w:rPr>
        <w:t xml:space="preserve">ENTITY CLASSIFICATION = f(Entity Score, System Criticality, Function Type)</w:t>
      </w:r>
      <w:r>
        <w:br/>
      </w:r>
      <w:r>
        <w:br/>
      </w:r>
      <w:r>
        <w:rPr>
          <w:rStyle w:val="VerbatimChar"/>
        </w:rPr>
        <w:t xml:space="preserve">                     ┌───────────────────────────────────────────┐</w:t>
      </w:r>
      <w:r>
        <w:br/>
      </w:r>
      <w:r>
        <w:rPr>
          <w:rStyle w:val="VerbatimChar"/>
        </w:rPr>
        <w:t xml:space="preserve">                     │           FUNCTION TYPE                   │</w:t>
      </w:r>
      <w:r>
        <w:br/>
      </w:r>
      <w:r>
        <w:rPr>
          <w:rStyle w:val="VerbatimChar"/>
        </w:rPr>
        <w:t xml:space="preserve">                     ├─────────────┬─────────────┬───────────────┤</w:t>
      </w:r>
      <w:r>
        <w:br/>
      </w:r>
      <w:r>
        <w:rPr>
          <w:rStyle w:val="VerbatimChar"/>
        </w:rPr>
        <w:t xml:space="preserve">                     │ Life-Safety │ Diagnostic  │ Administrative│</w:t>
      </w:r>
      <w:r>
        <w:br/>
      </w:r>
      <w:r>
        <w:rPr>
          <w:rStyle w:val="VerbatimChar"/>
        </w:rPr>
        <w:t xml:space="preserve">         ┌───────────┼─────────────┼─────────────┼───────────────┤</w:t>
      </w:r>
      <w:r>
        <w:br/>
      </w:r>
      <w:r>
        <w:rPr>
          <w:rStyle w:val="VerbatimChar"/>
        </w:rPr>
        <w:t xml:space="preserve">         │ Score ≥60 │   TIER 1    │   TIER 1    │    TIER 2     │</w:t>
      </w:r>
      <w:r>
        <w:br/>
      </w:r>
      <w:r>
        <w:rPr>
          <w:rStyle w:val="VerbatimChar"/>
        </w:rPr>
        <w:t xml:space="preserve">ENTITY   ├───────────┼─────────────┼─────────────┼───────────────┤</w:t>
      </w:r>
      <w:r>
        <w:br/>
      </w:r>
      <w:r>
        <w:rPr>
          <w:rStyle w:val="VerbatimChar"/>
        </w:rPr>
        <w:t xml:space="preserve">SCORE    │ Score 30-59│   TIER 1   │   TIER 2    │    TIER 2     │</w:t>
      </w:r>
      <w:r>
        <w:br/>
      </w:r>
      <w:r>
        <w:rPr>
          <w:rStyle w:val="VerbatimChar"/>
        </w:rPr>
        <w:t xml:space="preserve">         ├───────────┼─────────────┼─────────────┼───────────────┤</w:t>
      </w:r>
      <w:r>
        <w:br/>
      </w:r>
      <w:r>
        <w:rPr>
          <w:rStyle w:val="VerbatimChar"/>
        </w:rPr>
        <w:t xml:space="preserve">         │ Score &lt;30 │   TIER 2    │   TIER 2    │    TIER 3     │</w:t>
      </w:r>
      <w:r>
        <w:br/>
      </w:r>
      <w:r>
        <w:rPr>
          <w:rStyle w:val="VerbatimChar"/>
        </w:rPr>
        <w:t xml:space="preserve">         └───────────┴─────────────┴─────────────┴───────────────┘</w:t>
      </w:r>
    </w:p>
    <w:bookmarkEnd w:id="374"/>
    <w:bookmarkStart w:id="375" w:name="obligations-by-tier"/>
    <w:p>
      <w:pPr>
        <w:pStyle w:val="Heading3"/>
      </w:pPr>
      <w:r>
        <w:t xml:space="preserve">6.2 Obligations by Tier</w:t>
      </w:r>
    </w:p>
    <w:tbl>
      <w:tblPr>
        <w:tblStyle w:val="Table"/>
        <w:tblW w:type="pct" w:w="5000"/>
        <w:tblLayout w:type="fixed"/>
        <w:tblLook w:firstRow="1" w:lastRow="0" w:firstColumn="0" w:lastColumn="0" w:noHBand="0" w:noVBand="0" w:val="0020"/>
      </w:tblPr>
      <w:tblGrid>
        <w:gridCol w:w="2640"/>
        <w:gridCol w:w="1760"/>
        <w:gridCol w:w="1760"/>
        <w:gridCol w:w="1760"/>
      </w:tblGrid>
      <w:tr>
        <w:trPr>
          <w:tblHeader w:val="on"/>
        </w:trPr>
        <w:tc>
          <w:tcPr/>
          <w:p>
            <w:pPr>
              <w:pStyle w:val="Compact"/>
              <w:jc w:val="left"/>
            </w:pPr>
            <w:r>
              <w:t xml:space="preserve">Obligation</w:t>
            </w:r>
          </w:p>
        </w:tc>
        <w:tc>
          <w:tcPr/>
          <w:p>
            <w:pPr>
              <w:pStyle w:val="Compact"/>
              <w:jc w:val="center"/>
            </w:pPr>
            <w:r>
              <w:t xml:space="preserve">Tier 1</w:t>
            </w:r>
          </w:p>
        </w:tc>
        <w:tc>
          <w:tcPr/>
          <w:p>
            <w:pPr>
              <w:pStyle w:val="Compact"/>
              <w:jc w:val="center"/>
            </w:pPr>
            <w:r>
              <w:t xml:space="preserve">Tier 2</w:t>
            </w:r>
          </w:p>
        </w:tc>
        <w:tc>
          <w:tcPr/>
          <w:p>
            <w:pPr>
              <w:pStyle w:val="Compact"/>
              <w:jc w:val="center"/>
            </w:pPr>
            <w:r>
              <w:t xml:space="preserve">Tier 3</w:t>
            </w:r>
          </w:p>
        </w:tc>
      </w:tr>
      <w:tr>
        <w:tc>
          <w:tcPr/>
          <w:p>
            <w:pPr>
              <w:pStyle w:val="Compact"/>
              <w:jc w:val="left"/>
            </w:pPr>
            <w:r>
              <w:rPr>
                <w:b/>
                <w:bCs/>
              </w:rPr>
              <w:t xml:space="preserve">Risk Management Plan</w:t>
            </w:r>
          </w:p>
        </w:tc>
        <w:tc>
          <w:tcPr/>
          <w:p>
            <w:pPr>
              <w:pStyle w:val="Compact"/>
              <w:jc w:val="center"/>
            </w:pPr>
            <w:r>
              <w:t xml:space="preserve">Required</w:t>
            </w:r>
          </w:p>
        </w:tc>
        <w:tc>
          <w:tcPr/>
          <w:p>
            <w:pPr>
              <w:pStyle w:val="Compact"/>
              <w:jc w:val="center"/>
            </w:pPr>
            <w:r>
              <w:t xml:space="preserve">Required</w:t>
            </w:r>
          </w:p>
        </w:tc>
        <w:tc>
          <w:tcPr/>
          <w:p>
            <w:pPr>
              <w:pStyle w:val="Compact"/>
              <w:jc w:val="center"/>
            </w:pPr>
            <w:r>
              <w:t xml:space="preserve">Recommended</w:t>
            </w:r>
          </w:p>
        </w:tc>
      </w:tr>
      <w:tr>
        <w:tc>
          <w:tcPr/>
          <w:p>
            <w:pPr>
              <w:pStyle w:val="Compact"/>
              <w:jc w:val="left"/>
            </w:pPr>
            <w:r>
              <w:rPr>
                <w:b/>
                <w:bCs/>
              </w:rPr>
              <w:t xml:space="preserve">Security Officer (CISO)</w:t>
            </w:r>
          </w:p>
        </w:tc>
        <w:tc>
          <w:tcPr/>
          <w:p>
            <w:pPr>
              <w:pStyle w:val="Compact"/>
              <w:jc w:val="center"/>
            </w:pPr>
            <w:r>
              <w:t xml:space="preserve">Required</w:t>
            </w:r>
          </w:p>
        </w:tc>
        <w:tc>
          <w:tcPr/>
          <w:p>
            <w:pPr>
              <w:pStyle w:val="Compact"/>
              <w:jc w:val="center"/>
            </w:pPr>
            <w:r>
              <w:t xml:space="preserve">Required</w:t>
            </w:r>
          </w:p>
        </w:tc>
        <w:tc>
          <w:tcPr/>
          <w:p>
            <w:pPr>
              <w:pStyle w:val="Compact"/>
              <w:jc w:val="center"/>
            </w:pPr>
            <w:r>
              <w:t xml:space="preserve">Optional</w:t>
            </w:r>
          </w:p>
        </w:tc>
      </w:tr>
      <w:tr>
        <w:tc>
          <w:tcPr/>
          <w:p>
            <w:pPr>
              <w:pStyle w:val="Compact"/>
              <w:jc w:val="left"/>
            </w:pPr>
            <w:r>
              <w:rPr>
                <w:b/>
                <w:bCs/>
              </w:rPr>
              <w:t xml:space="preserve">Annual Risk Assessment</w:t>
            </w:r>
          </w:p>
        </w:tc>
        <w:tc>
          <w:tcPr/>
          <w:p>
            <w:pPr>
              <w:pStyle w:val="Compact"/>
              <w:jc w:val="center"/>
            </w:pPr>
            <w:r>
              <w:t xml:space="preserve">Required</w:t>
            </w:r>
          </w:p>
        </w:tc>
        <w:tc>
          <w:tcPr/>
          <w:p>
            <w:pPr>
              <w:pStyle w:val="Compact"/>
              <w:jc w:val="center"/>
            </w:pPr>
            <w:r>
              <w:t xml:space="preserve">Required</w:t>
            </w:r>
          </w:p>
        </w:tc>
        <w:tc>
          <w:tcPr/>
          <w:p>
            <w:pPr>
              <w:pStyle w:val="Compact"/>
              <w:jc w:val="center"/>
            </w:pPr>
            <w:r>
              <w:t xml:space="preserve">Recommended</w:t>
            </w:r>
          </w:p>
        </w:tc>
      </w:tr>
      <w:tr>
        <w:tc>
          <w:tcPr/>
          <w:p>
            <w:pPr>
              <w:pStyle w:val="Compact"/>
              <w:jc w:val="left"/>
            </w:pPr>
            <w:r>
              <w:rPr>
                <w:b/>
                <w:bCs/>
              </w:rPr>
              <w:t xml:space="preserve">Security Audit</w:t>
            </w:r>
          </w:p>
        </w:tc>
        <w:tc>
          <w:tcPr/>
          <w:p>
            <w:pPr>
              <w:pStyle w:val="Compact"/>
              <w:jc w:val="center"/>
            </w:pPr>
            <w:r>
              <w:t xml:space="preserve">Annual</w:t>
            </w:r>
          </w:p>
        </w:tc>
        <w:tc>
          <w:tcPr/>
          <w:p>
            <w:pPr>
              <w:pStyle w:val="Compact"/>
              <w:jc w:val="center"/>
            </w:pPr>
            <w:r>
              <w:t xml:space="preserve">Biennial</w:t>
            </w:r>
          </w:p>
        </w:tc>
        <w:tc>
          <w:tcPr/>
          <w:p>
            <w:pPr>
              <w:pStyle w:val="Compact"/>
              <w:jc w:val="center"/>
            </w:pPr>
            <w:r>
              <w:t xml:space="preserve">Self-assessment</w:t>
            </w:r>
          </w:p>
        </w:tc>
      </w:tr>
      <w:tr>
        <w:tc>
          <w:tcPr/>
          <w:p>
            <w:pPr>
              <w:pStyle w:val="Compact"/>
              <w:jc w:val="left"/>
            </w:pPr>
            <w:r>
              <w:rPr>
                <w:b/>
                <w:bCs/>
              </w:rPr>
              <w:t xml:space="preserve">Incident Reporting</w:t>
            </w:r>
          </w:p>
        </w:tc>
        <w:tc>
          <w:tcPr/>
          <w:p>
            <w:pPr>
              <w:pStyle w:val="Compact"/>
              <w:jc w:val="center"/>
            </w:pPr>
            <w:r>
              <w:t xml:space="preserve">12h/48h mandatory</w:t>
            </w:r>
          </w:p>
        </w:tc>
        <w:tc>
          <w:tcPr/>
          <w:p>
            <w:pPr>
              <w:pStyle w:val="Compact"/>
              <w:jc w:val="center"/>
            </w:pPr>
            <w:r>
              <w:t xml:space="preserve">24h/72h mandatory</w:t>
            </w:r>
          </w:p>
        </w:tc>
        <w:tc>
          <w:tcPr/>
          <w:p>
            <w:pPr>
              <w:pStyle w:val="Compact"/>
              <w:jc w:val="center"/>
            </w:pPr>
            <w:r>
              <w:t xml:space="preserve">Voluntary</w:t>
            </w:r>
          </w:p>
        </w:tc>
      </w:tr>
      <w:tr>
        <w:tc>
          <w:tcPr/>
          <w:p>
            <w:pPr>
              <w:pStyle w:val="Compact"/>
              <w:jc w:val="left"/>
            </w:pPr>
            <w:r>
              <w:rPr>
                <w:b/>
                <w:bCs/>
              </w:rPr>
              <w:t xml:space="preserve">Cyber Exercise Participation</w:t>
            </w:r>
          </w:p>
        </w:tc>
        <w:tc>
          <w:tcPr/>
          <w:p>
            <w:pPr>
              <w:pStyle w:val="Compact"/>
              <w:jc w:val="center"/>
            </w:pPr>
            <w:r>
              <w:t xml:space="preserve">Mandatory</w:t>
            </w:r>
          </w:p>
        </w:tc>
        <w:tc>
          <w:tcPr/>
          <w:p>
            <w:pPr>
              <w:pStyle w:val="Compact"/>
              <w:jc w:val="center"/>
            </w:pPr>
            <w:r>
              <w:t xml:space="preserve">Encouraged</w:t>
            </w:r>
          </w:p>
        </w:tc>
        <w:tc>
          <w:tcPr/>
          <w:p>
            <w:pPr>
              <w:pStyle w:val="Compact"/>
              <w:jc w:val="center"/>
            </w:pPr>
            <w:r>
              <w:t xml:space="preserve">Voluntary</w:t>
            </w:r>
          </w:p>
        </w:tc>
      </w:tr>
      <w:tr>
        <w:tc>
          <w:tcPr/>
          <w:p>
            <w:pPr>
              <w:pStyle w:val="Compact"/>
              <w:jc w:val="left"/>
            </w:pPr>
            <w:r>
              <w:rPr>
                <w:b/>
                <w:bCs/>
              </w:rPr>
              <w:t xml:space="preserve">Supply Chain Security</w:t>
            </w:r>
          </w:p>
        </w:tc>
        <w:tc>
          <w:tcPr/>
          <w:p>
            <w:pPr>
              <w:pStyle w:val="Compact"/>
              <w:jc w:val="center"/>
            </w:pPr>
            <w:r>
              <w:t xml:space="preserve">Required</w:t>
            </w:r>
          </w:p>
        </w:tc>
        <w:tc>
          <w:tcPr/>
          <w:p>
            <w:pPr>
              <w:pStyle w:val="Compact"/>
              <w:jc w:val="center"/>
            </w:pPr>
            <w:r>
              <w:t xml:space="preserve">Required</w:t>
            </w:r>
          </w:p>
        </w:tc>
        <w:tc>
          <w:tcPr/>
          <w:p>
            <w:pPr>
              <w:pStyle w:val="Compact"/>
              <w:jc w:val="center"/>
            </w:pPr>
            <w:r>
              <w:t xml:space="preserve">Recommended</w:t>
            </w:r>
          </w:p>
        </w:tc>
      </w:tr>
      <w:tr>
        <w:tc>
          <w:tcPr/>
          <w:p>
            <w:pPr>
              <w:pStyle w:val="Compact"/>
              <w:jc w:val="left"/>
            </w:pPr>
            <w:r>
              <w:rPr>
                <w:b/>
                <w:bCs/>
              </w:rPr>
              <w:t xml:space="preserve">24/7 Monitoring</w:t>
            </w:r>
          </w:p>
        </w:tc>
        <w:tc>
          <w:tcPr/>
          <w:p>
            <w:pPr>
              <w:pStyle w:val="Compact"/>
              <w:jc w:val="center"/>
            </w:pPr>
            <w:r>
              <w:t xml:space="preserve">Required</w:t>
            </w:r>
          </w:p>
        </w:tc>
        <w:tc>
          <w:tcPr/>
          <w:p>
            <w:pPr>
              <w:pStyle w:val="Compact"/>
              <w:jc w:val="center"/>
            </w:pPr>
            <w:r>
              <w:t xml:space="preserve">Recommended</w:t>
            </w:r>
          </w:p>
        </w:tc>
        <w:tc>
          <w:tcPr/>
          <w:p>
            <w:pPr>
              <w:pStyle w:val="Compact"/>
              <w:jc w:val="center"/>
            </w:pPr>
            <w:r>
              <w:t xml:space="preserve">Optional</w:t>
            </w:r>
          </w:p>
        </w:tc>
      </w:tr>
      <w:tr>
        <w:tc>
          <w:tcPr/>
          <w:p>
            <w:pPr>
              <w:pStyle w:val="Compact"/>
              <w:jc w:val="left"/>
            </w:pPr>
            <w:r>
              <w:rPr>
                <w:b/>
                <w:bCs/>
              </w:rPr>
              <w:t xml:space="preserve">Business Continuity Plan</w:t>
            </w:r>
          </w:p>
        </w:tc>
        <w:tc>
          <w:tcPr/>
          <w:p>
            <w:pPr>
              <w:pStyle w:val="Compact"/>
              <w:jc w:val="center"/>
            </w:pPr>
            <w:r>
              <w:t xml:space="preserve">Required</w:t>
            </w:r>
          </w:p>
        </w:tc>
        <w:tc>
          <w:tcPr/>
          <w:p>
            <w:pPr>
              <w:pStyle w:val="Compact"/>
              <w:jc w:val="center"/>
            </w:pPr>
            <w:r>
              <w:t xml:space="preserve">Required</w:t>
            </w:r>
          </w:p>
        </w:tc>
        <w:tc>
          <w:tcPr/>
          <w:p>
            <w:pPr>
              <w:pStyle w:val="Compact"/>
              <w:jc w:val="center"/>
            </w:pPr>
            <w:r>
              <w:t xml:space="preserve">Recommended</w:t>
            </w:r>
          </w:p>
        </w:tc>
      </w:tr>
      <w:tr>
        <w:tc>
          <w:tcPr/>
          <w:p>
            <w:pPr>
              <w:pStyle w:val="Compact"/>
              <w:jc w:val="left"/>
            </w:pPr>
            <w:r>
              <w:rPr>
                <w:b/>
                <w:bCs/>
              </w:rPr>
              <w:t xml:space="preserve">Regulatory Supervision</w:t>
            </w:r>
          </w:p>
        </w:tc>
        <w:tc>
          <w:tcPr/>
          <w:p>
            <w:pPr>
              <w:pStyle w:val="Compact"/>
              <w:jc w:val="center"/>
            </w:pPr>
            <w:r>
              <w:t xml:space="preserve">Ex-ante</w:t>
            </w:r>
          </w:p>
        </w:tc>
        <w:tc>
          <w:tcPr/>
          <w:p>
            <w:pPr>
              <w:pStyle w:val="Compact"/>
              <w:jc w:val="center"/>
            </w:pPr>
            <w:r>
              <w:t xml:space="preserve">Ex-post</w:t>
            </w:r>
          </w:p>
        </w:tc>
        <w:tc>
          <w:tcPr/>
          <w:p>
            <w:pPr>
              <w:pStyle w:val="Compact"/>
              <w:jc w:val="center"/>
            </w:pPr>
            <w:r>
              <w:t xml:space="preserve">Self-regulated</w:t>
            </w:r>
          </w:p>
        </w:tc>
      </w:tr>
    </w:tbl>
    <w:bookmarkEnd w:id="375"/>
    <w:bookmarkStart w:id="376" w:name="penalty-framework-proportionate"/>
    <w:p>
      <w:pPr>
        <w:pStyle w:val="Heading3"/>
      </w:pPr>
      <w:r>
        <w:t xml:space="preserve">6.3 Penalty Framework (Proportionate)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Tier</w:t>
            </w:r>
          </w:p>
        </w:tc>
        <w:tc>
          <w:tcPr/>
          <w:p>
            <w:pPr>
              <w:pStyle w:val="Compact"/>
              <w:jc w:val="left"/>
            </w:pPr>
            <w:r>
              <w:t xml:space="preserve">Maximum Administrative Fine</w:t>
            </w:r>
          </w:p>
        </w:tc>
        <w:tc>
          <w:tcPr/>
          <w:p>
            <w:pPr>
              <w:pStyle w:val="Compact"/>
              <w:jc w:val="left"/>
            </w:pPr>
            <w:r>
              <w:t xml:space="preserve">Basis</w:t>
            </w:r>
          </w:p>
        </w:tc>
      </w:tr>
      <w:tr>
        <w:tc>
          <w:tcPr/>
          <w:p>
            <w:pPr>
              <w:pStyle w:val="Compact"/>
              <w:jc w:val="left"/>
            </w:pPr>
            <w:r>
              <w:rPr>
                <w:b/>
                <w:bCs/>
              </w:rPr>
              <w:t xml:space="preserve">Tier 1</w:t>
            </w:r>
          </w:p>
        </w:tc>
        <w:tc>
          <w:tcPr/>
          <w:p>
            <w:pPr>
              <w:pStyle w:val="Compact"/>
              <w:jc w:val="left"/>
            </w:pPr>
            <w:r>
              <w:t xml:space="preserve">€10M or 2% global turnover</w:t>
            </w:r>
          </w:p>
        </w:tc>
        <w:tc>
          <w:tcPr/>
          <w:p>
            <w:pPr>
              <w:pStyle w:val="Compact"/>
              <w:jc w:val="left"/>
            </w:pPr>
            <w:r>
              <w:t xml:space="preserve">EU NIS2 model</w:t>
            </w:r>
          </w:p>
        </w:tc>
      </w:tr>
      <w:tr>
        <w:tc>
          <w:tcPr/>
          <w:p>
            <w:pPr>
              <w:pStyle w:val="Compact"/>
              <w:jc w:val="left"/>
            </w:pPr>
            <w:r>
              <w:rPr>
                <w:b/>
                <w:bCs/>
              </w:rPr>
              <w:t xml:space="preserve">Tier 2</w:t>
            </w:r>
          </w:p>
        </w:tc>
        <w:tc>
          <w:tcPr/>
          <w:p>
            <w:pPr>
              <w:pStyle w:val="Compact"/>
              <w:jc w:val="left"/>
            </w:pPr>
            <w:r>
              <w:t xml:space="preserve">€7M or 1.4% global turnover</w:t>
            </w:r>
          </w:p>
        </w:tc>
        <w:tc>
          <w:tcPr/>
          <w:p>
            <w:pPr>
              <w:pStyle w:val="Compact"/>
              <w:jc w:val="left"/>
            </w:pPr>
            <w:r>
              <w:t xml:space="preserve">EU NIS2 model</w:t>
            </w:r>
          </w:p>
        </w:tc>
      </w:tr>
      <w:tr>
        <w:tc>
          <w:tcPr/>
          <w:p>
            <w:pPr>
              <w:pStyle w:val="Compact"/>
              <w:jc w:val="left"/>
            </w:pPr>
            <w:r>
              <w:rPr>
                <w:b/>
                <w:bCs/>
              </w:rPr>
              <w:t xml:space="preserve">Tier 3</w:t>
            </w:r>
          </w:p>
        </w:tc>
        <w:tc>
          <w:tcPr/>
          <w:p>
            <w:pPr>
              <w:pStyle w:val="Compact"/>
              <w:jc w:val="left"/>
            </w:pPr>
            <w:r>
              <w:t xml:space="preserve">Warning → Compliance order</w:t>
            </w:r>
          </w:p>
        </w:tc>
        <w:tc>
          <w:tcPr/>
          <w:p>
            <w:pPr>
              <w:pStyle w:val="Compact"/>
              <w:jc w:val="left"/>
            </w:pPr>
            <w:r>
              <w:t xml:space="preserve">Graduated</w:t>
            </w:r>
          </w:p>
        </w:tc>
      </w:tr>
    </w:tbl>
    <w:p>
      <w:r>
        <w:pict>
          <v:rect style="width:0;height:1.5pt" o:hralign="center" o:hrstd="t" o:hr="t"/>
        </w:pict>
      </w:r>
    </w:p>
    <w:bookmarkEnd w:id="376"/>
    <w:bookmarkEnd w:id="377"/>
    <w:bookmarkStart w:id="381" w:name="part-7-implementation-guidance"/>
    <w:p>
      <w:pPr>
        <w:pStyle w:val="Heading2"/>
      </w:pPr>
      <w:r>
        <w:t xml:space="preserve">Part 7: Implementation Guidance</w:t>
      </w:r>
    </w:p>
    <w:bookmarkStart w:id="378" w:name="self-assessment-questionnaire"/>
    <w:p>
      <w:pPr>
        <w:pStyle w:val="Heading3"/>
      </w:pPr>
      <w:r>
        <w:t xml:space="preserve">7.1 Self-Assessment Questionnaire</w:t>
      </w:r>
    </w:p>
    <w:p>
      <w:pPr>
        <w:pStyle w:val="FirstParagraph"/>
      </w:pPr>
      <w:r>
        <w:t xml:space="preserve">Entities should complete the following to determine preliminary tier classification:</w:t>
      </w:r>
    </w:p>
    <w:tbl>
      <w:tblPr>
        <w:tblStyle w:val="Table"/>
        <w:tblW w:type="pct" w:w="5000"/>
        <w:tblLayout w:type="fixed"/>
        <w:tblLook w:firstRow="1" w:lastRow="0" w:firstColumn="0" w:lastColumn="0" w:noHBand="0" w:noVBand="0" w:val="0020"/>
      </w:tblPr>
      <w:tblGrid>
        <w:gridCol w:w="2554"/>
        <w:gridCol w:w="2810"/>
        <w:gridCol w:w="2554"/>
      </w:tblGrid>
      <w:tr>
        <w:trPr>
          <w:tblHeader w:val="on"/>
        </w:trPr>
        <w:tc>
          <w:tcPr/>
          <w:p>
            <w:pPr>
              <w:pStyle w:val="Compact"/>
              <w:jc w:val="left"/>
            </w:pPr>
            <w:r>
              <w:t xml:space="preserve">Question</w:t>
            </w:r>
          </w:p>
        </w:tc>
        <w:tc>
          <w:tcPr/>
          <w:p>
            <w:pPr>
              <w:pStyle w:val="Compact"/>
              <w:jc w:val="center"/>
            </w:pPr>
            <w:r>
              <w:t xml:space="preserve">Yes Score</w:t>
            </w:r>
          </w:p>
        </w:tc>
        <w:tc>
          <w:tcPr/>
          <w:p>
            <w:pPr>
              <w:pStyle w:val="Compact"/>
              <w:jc w:val="center"/>
            </w:pPr>
            <w:r>
              <w:t xml:space="preserve">No Score</w:t>
            </w:r>
          </w:p>
        </w:tc>
      </w:tr>
      <w:tr>
        <w:tc>
          <w:tcPr/>
          <w:p>
            <w:pPr>
              <w:pStyle w:val="Compact"/>
              <w:jc w:val="left"/>
            </w:pPr>
            <w:r>
              <w:t xml:space="preserve">Do you operate an ICU?</w:t>
            </w:r>
          </w:p>
        </w:tc>
        <w:tc>
          <w:tcPr/>
          <w:p>
            <w:pPr>
              <w:pStyle w:val="Compact"/>
              <w:jc w:val="center"/>
            </w:pPr>
            <w:r>
              <w:t xml:space="preserve">+25</w:t>
            </w:r>
          </w:p>
        </w:tc>
        <w:tc>
          <w:tcPr/>
          <w:p>
            <w:pPr>
              <w:pStyle w:val="Compact"/>
              <w:jc w:val="center"/>
            </w:pPr>
            <w:r>
              <w:t xml:space="preserve">0</w:t>
            </w:r>
          </w:p>
        </w:tc>
      </w:tr>
      <w:tr>
        <w:tc>
          <w:tcPr/>
          <w:p>
            <w:pPr>
              <w:pStyle w:val="Compact"/>
              <w:jc w:val="left"/>
            </w:pPr>
            <w:r>
              <w:t xml:space="preserve">Do you provide emergency ambulance dispatch?</w:t>
            </w:r>
          </w:p>
        </w:tc>
        <w:tc>
          <w:tcPr/>
          <w:p>
            <w:pPr>
              <w:pStyle w:val="Compact"/>
              <w:jc w:val="center"/>
            </w:pPr>
            <w:r>
              <w:t xml:space="preserve">+25</w:t>
            </w:r>
          </w:p>
        </w:tc>
        <w:tc>
          <w:tcPr/>
          <w:p>
            <w:pPr>
              <w:pStyle w:val="Compact"/>
              <w:jc w:val="center"/>
            </w:pPr>
            <w:r>
              <w:t xml:space="preserve">0</w:t>
            </w:r>
          </w:p>
        </w:tc>
      </w:tr>
      <w:tr>
        <w:tc>
          <w:tcPr/>
          <w:p>
            <w:pPr>
              <w:pStyle w:val="Compact"/>
              <w:jc w:val="left"/>
            </w:pPr>
            <w:r>
              <w:t xml:space="preserve">Do you operate blood/organ allocation services?</w:t>
            </w:r>
          </w:p>
        </w:tc>
        <w:tc>
          <w:tcPr/>
          <w:p>
            <w:pPr>
              <w:pStyle w:val="Compact"/>
              <w:jc w:val="center"/>
            </w:pPr>
            <w:r>
              <w:t xml:space="preserve">+20</w:t>
            </w:r>
          </w:p>
        </w:tc>
        <w:tc>
          <w:tcPr/>
          <w:p>
            <w:pPr>
              <w:pStyle w:val="Compact"/>
              <w:jc w:val="center"/>
            </w:pPr>
            <w:r>
              <w:t xml:space="preserve">0</w:t>
            </w:r>
          </w:p>
        </w:tc>
      </w:tr>
      <w:tr>
        <w:tc>
          <w:tcPr/>
          <w:p>
            <w:pPr>
              <w:pStyle w:val="Compact"/>
              <w:jc w:val="left"/>
            </w:pPr>
            <w:r>
              <w:t xml:space="preserve">Do you have ≥30,000 inpatient cases/year?</w:t>
            </w:r>
          </w:p>
        </w:tc>
        <w:tc>
          <w:tcPr/>
          <w:p>
            <w:pPr>
              <w:pStyle w:val="Compact"/>
              <w:jc w:val="center"/>
            </w:pPr>
            <w:r>
              <w:t xml:space="preserve">+30</w:t>
            </w:r>
          </w:p>
        </w:tc>
        <w:tc>
          <w:tcPr/>
          <w:p>
            <w:pPr>
              <w:pStyle w:val="Compact"/>
              <w:jc w:val="center"/>
            </w:pPr>
            <w:r>
              <w:t xml:space="preserve">0</w:t>
            </w:r>
          </w:p>
        </w:tc>
      </w:tr>
      <w:tr>
        <w:tc>
          <w:tcPr/>
          <w:p>
            <w:pPr>
              <w:pStyle w:val="Compact"/>
              <w:jc w:val="left"/>
            </w:pPr>
            <w:r>
              <w:t xml:space="preserve">Are you the sole provider of essential services in your area?</w:t>
            </w:r>
          </w:p>
        </w:tc>
        <w:tc>
          <w:tcPr/>
          <w:p>
            <w:pPr>
              <w:pStyle w:val="Compact"/>
              <w:jc w:val="center"/>
            </w:pPr>
            <w:r>
              <w:t xml:space="preserve">+10</w:t>
            </w:r>
          </w:p>
        </w:tc>
        <w:tc>
          <w:tcPr/>
          <w:p>
            <w:pPr>
              <w:pStyle w:val="Compact"/>
              <w:jc w:val="center"/>
            </w:pPr>
            <w:r>
              <w:t xml:space="preserve">0</w:t>
            </w:r>
          </w:p>
        </w:tc>
      </w:tr>
      <w:tr>
        <w:tc>
          <w:tcPr/>
          <w:p>
            <w:pPr>
              <w:pStyle w:val="Compact"/>
              <w:jc w:val="left"/>
            </w:pPr>
            <w:r>
              <w:t xml:space="preserve">Do you operate a national/regional disease surveillance system?</w:t>
            </w:r>
          </w:p>
        </w:tc>
        <w:tc>
          <w:tcPr/>
          <w:p>
            <w:pPr>
              <w:pStyle w:val="Compact"/>
              <w:jc w:val="center"/>
            </w:pPr>
            <w:r>
              <w:t xml:space="preserve">+20</w:t>
            </w:r>
          </w:p>
        </w:tc>
        <w:tc>
          <w:tcPr/>
          <w:p>
            <w:pPr>
              <w:pStyle w:val="Compact"/>
              <w:jc w:val="center"/>
            </w:pPr>
            <w:r>
              <w:t xml:space="preserve">0</w:t>
            </w:r>
          </w:p>
        </w:tc>
      </w:tr>
      <w:tr>
        <w:tc>
          <w:tcPr/>
          <w:p>
            <w:pPr>
              <w:pStyle w:val="Compact"/>
              <w:jc w:val="left"/>
            </w:pPr>
            <w:r>
              <w:t xml:space="preserve">Do you have ≥50 employees?</w:t>
            </w:r>
          </w:p>
        </w:tc>
        <w:tc>
          <w:tcPr/>
          <w:p>
            <w:pPr>
              <w:pStyle w:val="Compact"/>
              <w:jc w:val="center"/>
            </w:pPr>
            <w:r>
              <w:t xml:space="preserve">+10</w:t>
            </w:r>
          </w:p>
        </w:tc>
        <w:tc>
          <w:tcPr/>
          <w:p>
            <w:pPr>
              <w:pStyle w:val="Compact"/>
              <w:jc w:val="center"/>
            </w:pPr>
            <w:r>
              <w:t xml:space="preserve">0</w:t>
            </w:r>
          </w:p>
        </w:tc>
      </w:tr>
      <w:tr>
        <w:tc>
          <w:tcPr/>
          <w:p>
            <w:pPr>
              <w:pStyle w:val="Compact"/>
              <w:jc w:val="left"/>
            </w:pPr>
            <w:r>
              <w:t xml:space="preserve">Do other health systems depend on your systems?</w:t>
            </w:r>
          </w:p>
        </w:tc>
        <w:tc>
          <w:tcPr/>
          <w:p>
            <w:pPr>
              <w:pStyle w:val="Compact"/>
              <w:jc w:val="center"/>
            </w:pPr>
            <w:r>
              <w:t xml:space="preserve">+8</w:t>
            </w:r>
          </w:p>
        </w:tc>
        <w:tc>
          <w:tcPr/>
          <w:p>
            <w:pPr>
              <w:pStyle w:val="Compact"/>
              <w:jc w:val="center"/>
            </w:pPr>
            <w:r>
              <w:t xml:space="preserve">0</w:t>
            </w:r>
          </w:p>
        </w:tc>
      </w:tr>
    </w:tbl>
    <w:p>
      <w:pPr>
        <w:pStyle w:val="BodyText"/>
      </w:pPr>
      <w:r>
        <w:rPr>
          <w:b/>
          <w:bCs/>
        </w:rPr>
        <w:t xml:space="preserve">Preliminary Classification:</w:t>
      </w:r>
      <w:r>
        <w:t xml:space="preserve"> </w:t>
      </w:r>
      <w:r>
        <w:t xml:space="preserve">- Score ≥60 → Likely Tier 1</w:t>
      </w:r>
      <w:r>
        <w:t xml:space="preserve"> </w:t>
      </w:r>
      <w:r>
        <w:t xml:space="preserve">- Score 30–59 → Likely Tier 2</w:t>
      </w:r>
      <w:r>
        <w:t xml:space="preserve"> </w:t>
      </w:r>
      <w:r>
        <w:t xml:space="preserve">- Score &lt;30 → Likely Tier 3</w:t>
      </w:r>
    </w:p>
    <w:bookmarkEnd w:id="378"/>
    <w:bookmarkStart w:id="379" w:name="regulatory-review-process"/>
    <w:p>
      <w:pPr>
        <w:pStyle w:val="Heading3"/>
      </w:pPr>
      <w:r>
        <w:t xml:space="preserve">7.2 Regulatory Review Process</w:t>
      </w:r>
    </w:p>
    <w:p>
      <w:pPr>
        <w:pStyle w:val="Compact"/>
        <w:numPr>
          <w:ilvl w:val="0"/>
          <w:numId w:val="1317"/>
        </w:numPr>
      </w:pPr>
      <w:r>
        <w:rPr>
          <w:b/>
          <w:bCs/>
        </w:rPr>
        <w:t xml:space="preserve">Self-Assessment</w:t>
      </w:r>
      <w:r>
        <w:t xml:space="preserve"> </w:t>
      </w:r>
      <w:r>
        <w:t xml:space="preserve">→ Entity completes questionnaire and submits to regulator</w:t>
      </w:r>
    </w:p>
    <w:p>
      <w:pPr>
        <w:pStyle w:val="Compact"/>
        <w:numPr>
          <w:ilvl w:val="0"/>
          <w:numId w:val="1317"/>
        </w:numPr>
      </w:pPr>
      <w:r>
        <w:rPr>
          <w:b/>
          <w:bCs/>
        </w:rPr>
        <w:t xml:space="preserve">Validation</w:t>
      </w:r>
      <w:r>
        <w:t xml:space="preserve"> </w:t>
      </w:r>
      <w:r>
        <w:t xml:space="preserve">→ Regulator reviews against national health data</w:t>
      </w:r>
    </w:p>
    <w:p>
      <w:pPr>
        <w:pStyle w:val="Compact"/>
        <w:numPr>
          <w:ilvl w:val="0"/>
          <w:numId w:val="1317"/>
        </w:numPr>
      </w:pPr>
      <w:r>
        <w:rPr>
          <w:b/>
          <w:bCs/>
        </w:rPr>
        <w:t xml:space="preserve">Designation</w:t>
      </w:r>
      <w:r>
        <w:t xml:space="preserve"> </w:t>
      </w:r>
      <w:r>
        <w:t xml:space="preserve">→ Entity receives written notification of tier classification</w:t>
      </w:r>
    </w:p>
    <w:p>
      <w:pPr>
        <w:pStyle w:val="Compact"/>
        <w:numPr>
          <w:ilvl w:val="0"/>
          <w:numId w:val="1317"/>
        </w:numPr>
      </w:pPr>
      <w:r>
        <w:rPr>
          <w:b/>
          <w:bCs/>
        </w:rPr>
        <w:t xml:space="preserve">Appeals</w:t>
      </w:r>
      <w:r>
        <w:t xml:space="preserve"> </w:t>
      </w:r>
      <w:r>
        <w:t xml:space="preserve">→ 30-day window to contest classification</w:t>
      </w:r>
    </w:p>
    <w:p>
      <w:pPr>
        <w:pStyle w:val="Compact"/>
        <w:numPr>
          <w:ilvl w:val="0"/>
          <w:numId w:val="1317"/>
        </w:numPr>
      </w:pPr>
      <w:r>
        <w:rPr>
          <w:b/>
          <w:bCs/>
        </w:rPr>
        <w:t xml:space="preserve">Periodic Review</w:t>
      </w:r>
      <w:r>
        <w:t xml:space="preserve"> </w:t>
      </w:r>
      <w:r>
        <w:t xml:space="preserve">→ Classification reviewed every 2 years (EU NIS2 model)</w:t>
      </w:r>
    </w:p>
    <w:bookmarkEnd w:id="379"/>
    <w:bookmarkStart w:id="380" w:name="transition-timeline"/>
    <w:p>
      <w:pPr>
        <w:pStyle w:val="Heading3"/>
      </w:pPr>
      <w:r>
        <w:t xml:space="preserve">7.3 Transition Timeline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Phase</w:t>
            </w:r>
          </w:p>
        </w:tc>
        <w:tc>
          <w:tcPr/>
          <w:p>
            <w:pPr>
              <w:pStyle w:val="Compact"/>
              <w:jc w:val="left"/>
            </w:pPr>
            <w:r>
              <w:t xml:space="preserve">Timeline</w:t>
            </w:r>
          </w:p>
        </w:tc>
        <w:tc>
          <w:tcPr/>
          <w:p>
            <w:pPr>
              <w:pStyle w:val="Compact"/>
              <w:jc w:val="left"/>
            </w:pPr>
            <w:r>
              <w:t xml:space="preserve">Activity</w:t>
            </w:r>
          </w:p>
        </w:tc>
      </w:tr>
      <w:tr>
        <w:tc>
          <w:tcPr/>
          <w:p>
            <w:pPr>
              <w:pStyle w:val="Compact"/>
              <w:jc w:val="left"/>
            </w:pPr>
            <w:r>
              <w:rPr>
                <w:b/>
                <w:bCs/>
              </w:rPr>
              <w:t xml:space="preserve">Phase 1</w:t>
            </w:r>
          </w:p>
        </w:tc>
        <w:tc>
          <w:tcPr/>
          <w:p>
            <w:pPr>
              <w:pStyle w:val="Compact"/>
              <w:jc w:val="left"/>
            </w:pPr>
            <w:r>
              <w:t xml:space="preserve">Months 1-3</w:t>
            </w:r>
          </w:p>
        </w:tc>
        <w:tc>
          <w:tcPr/>
          <w:p>
            <w:pPr>
              <w:pStyle w:val="Compact"/>
              <w:jc w:val="left"/>
            </w:pPr>
            <w:r>
              <w:t xml:space="preserve">Self-assessment by entities</w:t>
            </w:r>
          </w:p>
        </w:tc>
      </w:tr>
      <w:tr>
        <w:tc>
          <w:tcPr/>
          <w:p>
            <w:pPr>
              <w:pStyle w:val="Compact"/>
              <w:jc w:val="left"/>
            </w:pPr>
            <w:r>
              <w:rPr>
                <w:b/>
                <w:bCs/>
              </w:rPr>
              <w:t xml:space="preserve">Phase 2</w:t>
            </w:r>
          </w:p>
        </w:tc>
        <w:tc>
          <w:tcPr/>
          <w:p>
            <w:pPr>
              <w:pStyle w:val="Compact"/>
              <w:jc w:val="left"/>
            </w:pPr>
            <w:r>
              <w:t xml:space="preserve">Months 4-6</w:t>
            </w:r>
          </w:p>
        </w:tc>
        <w:tc>
          <w:tcPr/>
          <w:p>
            <w:pPr>
              <w:pStyle w:val="Compact"/>
              <w:jc w:val="left"/>
            </w:pPr>
            <w:r>
              <w:t xml:space="preserve">Regulatory validation and designation</w:t>
            </w:r>
          </w:p>
        </w:tc>
      </w:tr>
      <w:tr>
        <w:tc>
          <w:tcPr/>
          <w:p>
            <w:pPr>
              <w:pStyle w:val="Compact"/>
              <w:jc w:val="left"/>
            </w:pPr>
            <w:r>
              <w:rPr>
                <w:b/>
                <w:bCs/>
              </w:rPr>
              <w:t xml:space="preserve">Phase 3</w:t>
            </w:r>
          </w:p>
        </w:tc>
        <w:tc>
          <w:tcPr/>
          <w:p>
            <w:pPr>
              <w:pStyle w:val="Compact"/>
              <w:jc w:val="left"/>
            </w:pPr>
            <w:r>
              <w:t xml:space="preserve">Months 7-12</w:t>
            </w:r>
          </w:p>
        </w:tc>
        <w:tc>
          <w:tcPr/>
          <w:p>
            <w:pPr>
              <w:pStyle w:val="Compact"/>
              <w:jc w:val="left"/>
            </w:pPr>
            <w:r>
              <w:t xml:space="preserve">Compliance planning and gap analysis</w:t>
            </w:r>
          </w:p>
        </w:tc>
      </w:tr>
      <w:tr>
        <w:tc>
          <w:tcPr/>
          <w:p>
            <w:pPr>
              <w:pStyle w:val="Compact"/>
              <w:jc w:val="left"/>
            </w:pPr>
            <w:r>
              <w:rPr>
                <w:b/>
                <w:bCs/>
              </w:rPr>
              <w:t xml:space="preserve">Phase 4</w:t>
            </w:r>
          </w:p>
        </w:tc>
        <w:tc>
          <w:tcPr/>
          <w:p>
            <w:pPr>
              <w:pStyle w:val="Compact"/>
              <w:jc w:val="left"/>
            </w:pPr>
            <w:r>
              <w:t xml:space="preserve">Months 13-18</w:t>
            </w:r>
          </w:p>
        </w:tc>
        <w:tc>
          <w:tcPr/>
          <w:p>
            <w:pPr>
              <w:pStyle w:val="Compact"/>
              <w:jc w:val="left"/>
            </w:pPr>
            <w:r>
              <w:t xml:space="preserve">Full compliance (Tier 1 first)</w:t>
            </w:r>
          </w:p>
        </w:tc>
      </w:tr>
      <w:tr>
        <w:tc>
          <w:tcPr/>
          <w:p>
            <w:pPr>
              <w:pStyle w:val="Compact"/>
              <w:jc w:val="left"/>
            </w:pPr>
            <w:r>
              <w:rPr>
                <w:b/>
                <w:bCs/>
              </w:rPr>
              <w:t xml:space="preserve">Phase 5</w:t>
            </w:r>
          </w:p>
        </w:tc>
        <w:tc>
          <w:tcPr/>
          <w:p>
            <w:pPr>
              <w:pStyle w:val="Compact"/>
              <w:jc w:val="left"/>
            </w:pPr>
            <w:r>
              <w:t xml:space="preserve">Months 19-24</w:t>
            </w:r>
          </w:p>
        </w:tc>
        <w:tc>
          <w:tcPr/>
          <w:p>
            <w:pPr>
              <w:pStyle w:val="Compact"/>
              <w:jc w:val="left"/>
            </w:pPr>
            <w:r>
              <w:t xml:space="preserve">Full compliance (all tiers)</w:t>
            </w:r>
          </w:p>
        </w:tc>
      </w:tr>
    </w:tbl>
    <w:p>
      <w:r>
        <w:pict>
          <v:rect style="width:0;height:1.5pt" o:hralign="center" o:hrstd="t" o:hr="t"/>
        </w:pict>
      </w:r>
    </w:p>
    <w:bookmarkEnd w:id="380"/>
    <w:bookmarkEnd w:id="381"/>
    <w:bookmarkStart w:id="382" w:name="Xe74ffe4e5b409b0b2bca92d8366c00370aac3ed"/>
    <w:p>
      <w:pPr>
        <w:pStyle w:val="Heading2"/>
      </w:pPr>
      <w:r>
        <w:t xml:space="preserve">Part 8: Reference Jurisdictions for Each Component</w:t>
      </w:r>
    </w:p>
    <w:tbl>
      <w:tblPr>
        <w:tblStyle w:val="Table"/>
        <w:tblW w:type="pct" w:w="5000"/>
        <w:tblLayout w:type="fixed"/>
        <w:tblLook w:firstRow="1" w:lastRow="0" w:firstColumn="0" w:lastColumn="0" w:noHBand="0" w:noVBand="0" w:val="0020"/>
      </w:tblPr>
      <w:tblGrid>
        <w:gridCol w:w="2726"/>
        <w:gridCol w:w="2466"/>
        <w:gridCol w:w="2726"/>
      </w:tblGrid>
      <w:tr>
        <w:trPr>
          <w:tblHeader w:val="on"/>
        </w:trPr>
        <w:tc>
          <w:tcPr/>
          <w:p>
            <w:pPr>
              <w:pStyle w:val="Compact"/>
              <w:jc w:val="left"/>
            </w:pPr>
            <w:r>
              <w:t xml:space="preserve">Framework Component</w:t>
            </w:r>
          </w:p>
        </w:tc>
        <w:tc>
          <w:tcPr/>
          <w:p>
            <w:pPr>
              <w:pStyle w:val="Compact"/>
              <w:jc w:val="left"/>
            </w:pPr>
            <w:r>
              <w:t xml:space="preserve">Primary Reference</w:t>
            </w:r>
          </w:p>
        </w:tc>
        <w:tc>
          <w:tcPr/>
          <w:p>
            <w:pPr>
              <w:pStyle w:val="Compact"/>
              <w:jc w:val="left"/>
            </w:pPr>
            <w:r>
              <w:t xml:space="preserve">Secondary Reference</w:t>
            </w:r>
          </w:p>
        </w:tc>
      </w:tr>
      <w:tr>
        <w:tc>
          <w:tcPr/>
          <w:p>
            <w:pPr>
              <w:pStyle w:val="Compact"/>
              <w:jc w:val="left"/>
            </w:pPr>
            <w:r>
              <w:t xml:space="preserve">Quantitative thresholds</w:t>
            </w:r>
          </w:p>
        </w:tc>
        <w:tc>
          <w:tcPr/>
          <w:p>
            <w:pPr>
              <w:pStyle w:val="Compact"/>
              <w:jc w:val="left"/>
            </w:pPr>
            <w:r>
              <w:t xml:space="preserve">Germany (BSI-KritisV)</w:t>
            </w:r>
          </w:p>
        </w:tc>
        <w:tc>
          <w:tcPr/>
          <w:p>
            <w:pPr>
              <w:pStyle w:val="Compact"/>
              <w:jc w:val="left"/>
            </w:pPr>
            <w:r>
              <w:t xml:space="preserve">Australia (SOCI Act)</w:t>
            </w:r>
          </w:p>
        </w:tc>
      </w:tr>
      <w:tr>
        <w:tc>
          <w:tcPr/>
          <w:p>
            <w:pPr>
              <w:pStyle w:val="Compact"/>
              <w:jc w:val="left"/>
            </w:pPr>
            <w:r>
              <w:t xml:space="preserve">Three-tier structure</w:t>
            </w:r>
          </w:p>
        </w:tc>
        <w:tc>
          <w:tcPr/>
          <w:p>
            <w:pPr>
              <w:pStyle w:val="Compact"/>
              <w:jc w:val="left"/>
            </w:pPr>
            <w:r>
              <w:t xml:space="preserve">EU NIS2, Israel</w:t>
            </w:r>
          </w:p>
        </w:tc>
        <w:tc>
          <w:tcPr/>
          <w:p>
            <w:pPr>
              <w:pStyle w:val="Compact"/>
              <w:jc w:val="left"/>
            </w:pPr>
            <w:r>
              <w:t xml:space="preserve">Hong Kong</w:t>
            </w:r>
          </w:p>
        </w:tc>
      </w:tr>
      <w:tr>
        <w:tc>
          <w:tcPr/>
          <w:p>
            <w:pPr>
              <w:pStyle w:val="Compact"/>
              <w:jc w:val="left"/>
            </w:pPr>
            <w:r>
              <w:t xml:space="preserve">Incident reporting timelines</w:t>
            </w:r>
          </w:p>
        </w:tc>
        <w:tc>
          <w:tcPr/>
          <w:p>
            <w:pPr>
              <w:pStyle w:val="Compact"/>
              <w:jc w:val="left"/>
            </w:pPr>
            <w:r>
              <w:t xml:space="preserve">Hong Kong, Norway</w:t>
            </w:r>
          </w:p>
        </w:tc>
        <w:tc>
          <w:tcPr/>
          <w:p>
            <w:pPr>
              <w:pStyle w:val="Compact"/>
              <w:jc w:val="left"/>
            </w:pPr>
            <w:r>
              <w:t xml:space="preserve">EU NIS2</w:t>
            </w:r>
          </w:p>
        </w:tc>
      </w:tr>
      <w:tr>
        <w:tc>
          <w:tcPr/>
          <w:p>
            <w:pPr>
              <w:pStyle w:val="Compact"/>
              <w:jc w:val="left"/>
            </w:pPr>
            <w:r>
              <w:t xml:space="preserve">Impact thresholds</w:t>
            </w:r>
          </w:p>
        </w:tc>
        <w:tc>
          <w:tcPr/>
          <w:p>
            <w:pPr>
              <w:pStyle w:val="Compact"/>
              <w:jc w:val="left"/>
            </w:pPr>
            <w:r>
              <w:t xml:space="preserve">UK (DHSC CAF)</w:t>
            </w:r>
          </w:p>
        </w:tc>
        <w:tc>
          <w:tcPr/>
          <w:p>
            <w:pPr>
              <w:pStyle w:val="Compact"/>
              <w:jc w:val="left"/>
            </w:pPr>
            <w:r>
              <w:t xml:space="preserve">—</w:t>
            </w:r>
          </w:p>
        </w:tc>
      </w:tr>
      <w:tr>
        <w:tc>
          <w:tcPr/>
          <w:p>
            <w:pPr>
              <w:pStyle w:val="Compact"/>
              <w:jc w:val="left"/>
            </w:pPr>
            <w:r>
              <w:t xml:space="preserve">“Regardless of size”</w:t>
            </w:r>
            <w:r>
              <w:t xml:space="preserve"> </w:t>
            </w:r>
            <w:r>
              <w:t xml:space="preserve">triggers</w:t>
            </w:r>
          </w:p>
        </w:tc>
        <w:tc>
          <w:tcPr/>
          <w:p>
            <w:pPr>
              <w:pStyle w:val="Compact"/>
              <w:jc w:val="left"/>
            </w:pPr>
            <w:r>
              <w:t xml:space="preserve">EU NIS2</w:t>
            </w:r>
          </w:p>
        </w:tc>
        <w:tc>
          <w:tcPr/>
          <w:p>
            <w:pPr>
              <w:pStyle w:val="Compact"/>
              <w:jc w:val="left"/>
            </w:pPr>
            <w:r>
              <w:t xml:space="preserve">Singapore</w:t>
            </w:r>
          </w:p>
        </w:tc>
      </w:tr>
      <w:tr>
        <w:tc>
          <w:tcPr/>
          <w:p>
            <w:pPr>
              <w:pStyle w:val="Compact"/>
              <w:jc w:val="left"/>
            </w:pPr>
            <w:r>
              <w:t xml:space="preserve">System-level designation</w:t>
            </w:r>
          </w:p>
        </w:tc>
        <w:tc>
          <w:tcPr/>
          <w:p>
            <w:pPr>
              <w:pStyle w:val="Compact"/>
              <w:jc w:val="left"/>
            </w:pPr>
            <w:r>
              <w:t xml:space="preserve">Singapore (CII)</w:t>
            </w:r>
          </w:p>
        </w:tc>
        <w:tc>
          <w:tcPr/>
          <w:p>
            <w:pPr>
              <w:pStyle w:val="Compact"/>
              <w:jc w:val="left"/>
            </w:pPr>
            <w:r>
              <w:t xml:space="preserve">Hong Kong</w:t>
            </w:r>
          </w:p>
        </w:tc>
      </w:tr>
      <w:tr>
        <w:tc>
          <w:tcPr/>
          <w:p>
            <w:pPr>
              <w:pStyle w:val="Compact"/>
              <w:jc w:val="left"/>
            </w:pPr>
            <w:r>
              <w:t xml:space="preserve">Public criteria/confidential lists</w:t>
            </w:r>
          </w:p>
        </w:tc>
        <w:tc>
          <w:tcPr/>
          <w:p>
            <w:pPr>
              <w:pStyle w:val="Compact"/>
              <w:jc w:val="left"/>
            </w:pPr>
            <w:r>
              <w:t xml:space="preserve">Most jurisdictions</w:t>
            </w:r>
          </w:p>
        </w:tc>
        <w:tc>
          <w:tcPr/>
          <w:p>
            <w:pPr>
              <w:pStyle w:val="Compact"/>
              <w:jc w:val="left"/>
            </w:pPr>
            <w:r>
              <w:t xml:space="preserve">South Korea (exception: public)</w:t>
            </w:r>
          </w:p>
        </w:tc>
      </w:tr>
      <w:tr>
        <w:tc>
          <w:tcPr/>
          <w:p>
            <w:pPr>
              <w:pStyle w:val="Compact"/>
              <w:jc w:val="left"/>
            </w:pPr>
            <w:r>
              <w:t xml:space="preserve">Proportionate penalties</w:t>
            </w:r>
          </w:p>
        </w:tc>
        <w:tc>
          <w:tcPr/>
          <w:p>
            <w:pPr>
              <w:pStyle w:val="Compact"/>
              <w:jc w:val="left"/>
            </w:pPr>
            <w:r>
              <w:t xml:space="preserve">EU NIS2</w:t>
            </w:r>
          </w:p>
        </w:tc>
        <w:tc>
          <w:tcPr/>
          <w:p>
            <w:pPr>
              <w:pStyle w:val="Compact"/>
              <w:jc w:val="left"/>
            </w:pPr>
            <w:r>
              <w:t xml:space="preserve">Hong Kong</w:t>
            </w:r>
          </w:p>
        </w:tc>
      </w:tr>
      <w:tr>
        <w:tc>
          <w:tcPr/>
          <w:p>
            <w:pPr>
              <w:pStyle w:val="Compact"/>
              <w:jc w:val="left"/>
            </w:pPr>
            <w:r>
              <w:t xml:space="preserve">Registration obligation</w:t>
            </w:r>
          </w:p>
        </w:tc>
        <w:tc>
          <w:tcPr/>
          <w:p>
            <w:pPr>
              <w:pStyle w:val="Compact"/>
              <w:jc w:val="left"/>
            </w:pPr>
            <w:r>
              <w:t xml:space="preserve">Germany (NIS2)</w:t>
            </w:r>
          </w:p>
        </w:tc>
        <w:tc>
          <w:tcPr/>
          <w:p>
            <w:pPr>
              <w:pStyle w:val="Compact"/>
              <w:jc w:val="left"/>
            </w:pPr>
            <w:r>
              <w:t xml:space="preserve">Taiwan</w:t>
            </w:r>
          </w:p>
        </w:tc>
      </w:tr>
      <w:tr>
        <w:tc>
          <w:tcPr/>
          <w:p>
            <w:pPr>
              <w:pStyle w:val="Compact"/>
              <w:jc w:val="left"/>
            </w:pPr>
            <w:r>
              <w:t xml:space="preserve">Periodic review</w:t>
            </w:r>
          </w:p>
        </w:tc>
        <w:tc>
          <w:tcPr/>
          <w:p>
            <w:pPr>
              <w:pStyle w:val="Compact"/>
              <w:jc w:val="left"/>
            </w:pPr>
            <w:r>
              <w:t xml:space="preserve">EU NIS2 (2-year)</w:t>
            </w:r>
          </w:p>
        </w:tc>
        <w:tc>
          <w:tcPr/>
          <w:p>
            <w:pPr>
              <w:pStyle w:val="Compact"/>
              <w:jc w:val="left"/>
            </w:pPr>
            <w:r>
              <w:t xml:space="preserve">UK</w:t>
            </w:r>
          </w:p>
        </w:tc>
      </w:tr>
    </w:tbl>
    <w:p>
      <w:r>
        <w:pict>
          <v:rect style="width:0;height:1.5pt" o:hralign="center" o:hrstd="t" o:hr="t"/>
        </w:pict>
      </w:r>
    </w:p>
    <w:bookmarkEnd w:id="382"/>
    <w:bookmarkStart w:id="409" w:name="part-9-developing-country-adaptations"/>
    <w:p>
      <w:pPr>
        <w:pStyle w:val="Heading2"/>
      </w:pPr>
      <w:r>
        <w:t xml:space="preserve">Part 9: Developing Country Adaptations</w:t>
      </w:r>
    </w:p>
    <w:p>
      <w:pPr>
        <w:pStyle w:val="BlockText"/>
      </w:pPr>
      <w:r>
        <w:t xml:space="preserve">[!IMPORTANT]</w:t>
      </w:r>
      <w:r>
        <w:t xml:space="preserve"> </w:t>
      </w:r>
      <w:r>
        <w:t xml:space="preserve">The thresholds derived from European, North American, and Australian frameworks (Parts 1-8) are calibrated for</w:t>
      </w:r>
      <w:r>
        <w:t xml:space="preserve"> </w:t>
      </w:r>
      <w:r>
        <w:rPr>
          <w:b/>
          <w:bCs/>
        </w:rPr>
        <w:t xml:space="preserve">developed healthcare systems</w:t>
      </w:r>
      <w:r>
        <w:t xml:space="preserve"> </w:t>
      </w:r>
      <w:r>
        <w:t xml:space="preserve">with high IT maturity, abundant regulatory capacity, and relatively uniform digital infrastructure.</w:t>
      </w:r>
      <w:r>
        <w:t xml:space="preserve"> </w:t>
      </w:r>
      <w:r>
        <w:rPr>
          <w:b/>
          <w:bCs/>
        </w:rPr>
        <w:t xml:space="preserve">Direct application to developing countries may be problematic</w:t>
      </w:r>
      <w:r>
        <w:t xml:space="preserve"> </w:t>
      </w:r>
      <w:r>
        <w:t xml:space="preserve">and requires significant adaptation.</w:t>
      </w:r>
    </w:p>
    <w:bookmarkStart w:id="383" w:name="X715d2e9d5d3e754fd020fa1e124f50321556b61"/>
    <w:p>
      <w:pPr>
        <w:pStyle w:val="Heading3"/>
      </w:pPr>
      <w:r>
        <w:t xml:space="preserve">9.1 Why Developed-Country Thresholds Are Inappropriate</w:t>
      </w:r>
    </w:p>
    <w:tbl>
      <w:tblPr>
        <w:tblStyle w:val="Table"/>
        <w:tblW w:type="pct" w:w="5000"/>
        <w:tblLayout w:type="fixed"/>
        <w:tblLook w:firstRow="1" w:lastRow="0" w:firstColumn="0" w:lastColumn="0" w:noHBand="0" w:noVBand="0" w:val="0020"/>
      </w:tblPr>
      <w:tblGrid>
        <w:gridCol w:w="1005"/>
        <w:gridCol w:w="3394"/>
        <w:gridCol w:w="3520"/>
      </w:tblGrid>
      <w:tr>
        <w:trPr>
          <w:tblHeader w:val="on"/>
        </w:trPr>
        <w:tc>
          <w:tcPr/>
          <w:p>
            <w:pPr>
              <w:pStyle w:val="Compact"/>
              <w:jc w:val="left"/>
            </w:pPr>
            <w:r>
              <w:t xml:space="preserve">Factor</w:t>
            </w:r>
          </w:p>
        </w:tc>
        <w:tc>
          <w:tcPr/>
          <w:p>
            <w:pPr>
              <w:pStyle w:val="Compact"/>
              <w:jc w:val="left"/>
            </w:pPr>
            <w:r>
              <w:t xml:space="preserve">Developed Country Context</w:t>
            </w:r>
          </w:p>
        </w:tc>
        <w:tc>
          <w:tcPr/>
          <w:p>
            <w:pPr>
              <w:pStyle w:val="Compact"/>
              <w:jc w:val="left"/>
            </w:pPr>
            <w:r>
              <w:t xml:space="preserve">Developing Country Reality</w:t>
            </w:r>
          </w:p>
        </w:tc>
      </w:tr>
      <w:tr>
        <w:tc>
          <w:tcPr/>
          <w:p>
            <w:pPr>
              <w:pStyle w:val="Compact"/>
              <w:jc w:val="left"/>
            </w:pPr>
            <w:r>
              <w:rPr>
                <w:b/>
                <w:bCs/>
              </w:rPr>
              <w:t xml:space="preserve">Case volume</w:t>
            </w:r>
          </w:p>
        </w:tc>
        <w:tc>
          <w:tcPr/>
          <w:p>
            <w:pPr>
              <w:pStyle w:val="Compact"/>
              <w:jc w:val="left"/>
            </w:pPr>
            <w:r>
              <w:t xml:space="preserve">30,000 inpatient cases = mid-size hospital</w:t>
            </w:r>
          </w:p>
        </w:tc>
        <w:tc>
          <w:tcPr/>
          <w:p>
            <w:pPr>
              <w:pStyle w:val="Compact"/>
              <w:jc w:val="left"/>
            </w:pPr>
            <w:r>
              <w:t xml:space="preserve">30,000 cases may be a</w:t>
            </w:r>
            <w:r>
              <w:t xml:space="preserve"> </w:t>
            </w:r>
            <w:r>
              <w:rPr>
                <w:b/>
                <w:bCs/>
              </w:rPr>
              <w:t xml:space="preserve">major tertiary center</w:t>
            </w:r>
          </w:p>
        </w:tc>
      </w:tr>
      <w:tr>
        <w:tc>
          <w:tcPr/>
          <w:p>
            <w:pPr>
              <w:pStyle w:val="Compact"/>
              <w:jc w:val="left"/>
            </w:pPr>
            <w:r>
              <w:rPr>
                <w:b/>
                <w:bCs/>
              </w:rPr>
              <w:t xml:space="preserve">ICU availability</w:t>
            </w:r>
          </w:p>
        </w:tc>
        <w:tc>
          <w:tcPr/>
          <w:p>
            <w:pPr>
              <w:pStyle w:val="Compact"/>
              <w:jc w:val="left"/>
            </w:pPr>
            <w:r>
              <w:t xml:space="preserve">Most hospitals have ICUs</w:t>
            </w:r>
          </w:p>
        </w:tc>
        <w:tc>
          <w:tcPr/>
          <w:p>
            <w:pPr>
              <w:pStyle w:val="Compact"/>
              <w:jc w:val="left"/>
            </w:pPr>
            <w:r>
              <w:t xml:space="preserve">ICU availability concentrated in metros; many districts have</w:t>
            </w:r>
            <w:r>
              <w:t xml:space="preserve"> </w:t>
            </w:r>
            <w:r>
              <w:rPr>
                <w:b/>
                <w:bCs/>
              </w:rPr>
              <w:t xml:space="preserve">zero ICU beds</w:t>
            </w:r>
          </w:p>
        </w:tc>
      </w:tr>
      <w:tr>
        <w:tc>
          <w:tcPr/>
          <w:p>
            <w:pPr>
              <w:pStyle w:val="Compact"/>
              <w:jc w:val="left"/>
            </w:pPr>
            <w:r>
              <w:rPr>
                <w:b/>
                <w:bCs/>
              </w:rPr>
              <w:t xml:space="preserve">Employee count</w:t>
            </w:r>
          </w:p>
        </w:tc>
        <w:tc>
          <w:tcPr/>
          <w:p>
            <w:pPr>
              <w:pStyle w:val="Compact"/>
              <w:jc w:val="left"/>
            </w:pPr>
            <w:r>
              <w:t xml:space="preserve">50 employees = small clinic</w:t>
            </w:r>
          </w:p>
        </w:tc>
        <w:tc>
          <w:tcPr/>
          <w:p>
            <w:pPr>
              <w:pStyle w:val="Compact"/>
              <w:jc w:val="left"/>
            </w:pPr>
            <w:r>
              <w:t xml:space="preserve">50 employees may be a</w:t>
            </w:r>
            <w:r>
              <w:t xml:space="preserve"> </w:t>
            </w:r>
            <w:r>
              <w:rPr>
                <w:b/>
                <w:bCs/>
              </w:rPr>
              <w:t xml:space="preserve">district hospital</w:t>
            </w:r>
          </w:p>
        </w:tc>
      </w:tr>
      <w:tr>
        <w:tc>
          <w:tcPr/>
          <w:p>
            <w:pPr>
              <w:pStyle w:val="Compact"/>
              <w:jc w:val="left"/>
            </w:pPr>
            <w:r>
              <w:rPr>
                <w:b/>
                <w:bCs/>
              </w:rPr>
              <w:t xml:space="preserve">Digital maturity</w:t>
            </w:r>
          </w:p>
        </w:tc>
        <w:tc>
          <w:tcPr/>
          <w:p>
            <w:pPr>
              <w:pStyle w:val="Compact"/>
              <w:jc w:val="left"/>
            </w:pPr>
            <w:r>
              <w:t xml:space="preserve">EHR penetration &gt;80%</w:t>
            </w:r>
          </w:p>
        </w:tc>
        <w:tc>
          <w:tcPr/>
          <w:p>
            <w:pPr>
              <w:pStyle w:val="Compact"/>
              <w:jc w:val="left"/>
            </w:pPr>
            <w:r>
              <w:t xml:space="preserve">EHR penetration may be &lt;20% in public sector</w:t>
            </w:r>
          </w:p>
        </w:tc>
      </w:tr>
      <w:tr>
        <w:tc>
          <w:tcPr/>
          <w:p>
            <w:pPr>
              <w:pStyle w:val="Compact"/>
              <w:jc w:val="left"/>
            </w:pPr>
            <w:r>
              <w:rPr>
                <w:b/>
                <w:bCs/>
              </w:rPr>
              <w:t xml:space="preserve">Regulatory capacity</w:t>
            </w:r>
          </w:p>
        </w:tc>
        <w:tc>
          <w:tcPr/>
          <w:p>
            <w:pPr>
              <w:pStyle w:val="Compact"/>
              <w:jc w:val="left"/>
            </w:pPr>
            <w:r>
              <w:t xml:space="preserve">Dedicated cyber agencies with health expertise</w:t>
            </w:r>
          </w:p>
        </w:tc>
        <w:tc>
          <w:tcPr/>
          <w:p>
            <w:pPr>
              <w:pStyle w:val="Compact"/>
              <w:jc w:val="left"/>
            </w:pPr>
            <w:r>
              <w:t xml:space="preserve">Nascent regulatory capacity; limited health-cyber specialists</w:t>
            </w:r>
          </w:p>
        </w:tc>
      </w:tr>
      <w:tr>
        <w:tc>
          <w:tcPr/>
          <w:p>
            <w:pPr>
              <w:pStyle w:val="Compact"/>
              <w:jc w:val="left"/>
            </w:pPr>
            <w:r>
              <w:rPr>
                <w:b/>
                <w:bCs/>
              </w:rPr>
              <w:t xml:space="preserve">Connectivity</w:t>
            </w:r>
          </w:p>
        </w:tc>
        <w:tc>
          <w:tcPr/>
          <w:p>
            <w:pPr>
              <w:pStyle w:val="Compact"/>
              <w:jc w:val="left"/>
            </w:pPr>
            <w:r>
              <w:t xml:space="preserve">Ubiquitous broadband</w:t>
            </w:r>
          </w:p>
        </w:tc>
        <w:tc>
          <w:tcPr/>
          <w:p>
            <w:pPr>
              <w:pStyle w:val="Compact"/>
              <w:jc w:val="left"/>
            </w:pPr>
            <w:r>
              <w:t xml:space="preserve">Intermittent connectivity in rural areas; offline-first systems critical</w:t>
            </w:r>
          </w:p>
        </w:tc>
      </w:tr>
      <w:tr>
        <w:tc>
          <w:tcPr/>
          <w:p>
            <w:pPr>
              <w:pStyle w:val="Compact"/>
              <w:jc w:val="left"/>
            </w:pPr>
            <w:r>
              <w:rPr>
                <w:b/>
                <w:bCs/>
              </w:rPr>
              <w:t xml:space="preserve">Health system structure</w:t>
            </w:r>
          </w:p>
        </w:tc>
        <w:tc>
          <w:tcPr/>
          <w:p>
            <w:pPr>
              <w:pStyle w:val="Compact"/>
              <w:jc w:val="left"/>
            </w:pPr>
            <w:r>
              <w:t xml:space="preserve">Insurance-based or tax-funded universal</w:t>
            </w:r>
          </w:p>
        </w:tc>
        <w:tc>
          <w:tcPr/>
          <w:p>
            <w:pPr>
              <w:pStyle w:val="Compact"/>
              <w:jc w:val="left"/>
            </w:pPr>
            <w:r>
              <w:t xml:space="preserve">Mixed public-private; large informal sector</w:t>
            </w:r>
          </w:p>
        </w:tc>
      </w:tr>
    </w:tbl>
    <w:bookmarkEnd w:id="383"/>
    <w:bookmarkStart w:id="387" w:name="Xee3d58bfdff4ace429ea79a0fb7ffec146842cf"/>
    <w:p>
      <w:pPr>
        <w:pStyle w:val="Heading3"/>
      </w:pPr>
      <w:r>
        <w:t xml:space="preserve">9.2 Adapted Threshold Framework for Developing Countries</w:t>
      </w:r>
    </w:p>
    <w:bookmarkStart w:id="384" w:name="a.-inpatient-case-volume-adjusted"/>
    <w:p>
      <w:pPr>
        <w:pStyle w:val="Heading4"/>
      </w:pPr>
      <w:r>
        <w:t xml:space="preserve">A. Inpatient Case Volume (Adjusted)</w:t>
      </w:r>
    </w:p>
    <w:tbl>
      <w:tblPr>
        <w:tblStyle w:val="Table"/>
        <w:tblW w:type="pct" w:w="5000"/>
        <w:tblLayout w:type="fixed"/>
        <w:tblLook w:firstRow="1" w:lastRow="0" w:firstColumn="0" w:lastColumn="0" w:noHBand="0" w:noVBand="0" w:val="0020"/>
      </w:tblPr>
      <w:tblGrid>
        <w:gridCol w:w="625"/>
        <w:gridCol w:w="3022"/>
        <w:gridCol w:w="3126"/>
        <w:gridCol w:w="1146"/>
      </w:tblGrid>
      <w:tr>
        <w:trPr>
          <w:tblHeader w:val="on"/>
        </w:trPr>
        <w:tc>
          <w:tcPr/>
          <w:p>
            <w:pPr>
              <w:pStyle w:val="Compact"/>
              <w:jc w:val="left"/>
            </w:pPr>
            <w:r>
              <w:t xml:space="preserve">Tier</w:t>
            </w:r>
          </w:p>
        </w:tc>
        <w:tc>
          <w:tcPr/>
          <w:p>
            <w:pPr>
              <w:pStyle w:val="Compact"/>
              <w:jc w:val="left"/>
            </w:pPr>
            <w:r>
              <w:t xml:space="preserve">Developed Country Threshold</w:t>
            </w:r>
          </w:p>
        </w:tc>
        <w:tc>
          <w:tcPr/>
          <w:p>
            <w:pPr>
              <w:pStyle w:val="Compact"/>
              <w:jc w:val="left"/>
            </w:pPr>
            <w:r>
              <w:t xml:space="preserve">Developing Country Threshold</w:t>
            </w:r>
          </w:p>
        </w:tc>
        <w:tc>
          <w:tcPr/>
          <w:p>
            <w:pPr>
              <w:pStyle w:val="Compact"/>
              <w:jc w:val="left"/>
            </w:pPr>
            <w:r>
              <w:t xml:space="preserve">Rationale</w:t>
            </w:r>
          </w:p>
        </w:tc>
      </w:tr>
      <w:tr>
        <w:tc>
          <w:tcPr/>
          <w:p>
            <w:pPr>
              <w:pStyle w:val="Compact"/>
              <w:jc w:val="left"/>
            </w:pPr>
            <w:r>
              <w:rPr>
                <w:b/>
                <w:bCs/>
              </w:rPr>
              <w:t xml:space="preserve">Tier 1</w:t>
            </w:r>
          </w:p>
        </w:tc>
        <w:tc>
          <w:tcPr/>
          <w:p>
            <w:pPr>
              <w:pStyle w:val="Compact"/>
              <w:jc w:val="left"/>
            </w:pPr>
            <w:r>
              <w:t xml:space="preserve">≥30,000 cases/year</w:t>
            </w:r>
          </w:p>
        </w:tc>
        <w:tc>
          <w:tcPr/>
          <w:p>
            <w:pPr>
              <w:pStyle w:val="Compact"/>
              <w:jc w:val="left"/>
            </w:pPr>
            <w:r>
              <w:t xml:space="preserve">≥10,000 cases/year</w:t>
            </w:r>
          </w:p>
        </w:tc>
        <w:tc>
          <w:tcPr/>
          <w:p>
            <w:pPr>
              <w:pStyle w:val="Compact"/>
              <w:jc w:val="left"/>
            </w:pPr>
            <w:r>
              <w:t xml:space="preserve">Lower threshold captures district/tertiary hospitals</w:t>
            </w:r>
          </w:p>
        </w:tc>
      </w:tr>
      <w:tr>
        <w:tc>
          <w:tcPr/>
          <w:p>
            <w:pPr>
              <w:pStyle w:val="Compact"/>
              <w:jc w:val="left"/>
            </w:pPr>
            <w:r>
              <w:rPr>
                <w:b/>
                <w:bCs/>
              </w:rPr>
              <w:t xml:space="preserve">Tier 2</w:t>
            </w:r>
          </w:p>
        </w:tc>
        <w:tc>
          <w:tcPr/>
          <w:p>
            <w:pPr>
              <w:pStyle w:val="Compact"/>
              <w:jc w:val="left"/>
            </w:pPr>
            <w:r>
              <w:t xml:space="preserve">5,000–29,999</w:t>
            </w:r>
          </w:p>
        </w:tc>
        <w:tc>
          <w:tcPr/>
          <w:p>
            <w:pPr>
              <w:pStyle w:val="Compact"/>
              <w:jc w:val="left"/>
            </w:pPr>
            <w:r>
              <w:t xml:space="preserve">2,000–9,999</w:t>
            </w:r>
          </w:p>
        </w:tc>
        <w:tc>
          <w:tcPr/>
          <w:p>
            <w:pPr>
              <w:pStyle w:val="Compact"/>
              <w:jc w:val="left"/>
            </w:pPr>
            <w:r>
              <w:t xml:space="preserve">Community and sub-district hospitals</w:t>
            </w:r>
          </w:p>
        </w:tc>
      </w:tr>
      <w:tr>
        <w:tc>
          <w:tcPr/>
          <w:p>
            <w:pPr>
              <w:pStyle w:val="Compact"/>
              <w:jc w:val="left"/>
            </w:pPr>
            <w:r>
              <w:rPr>
                <w:b/>
                <w:bCs/>
              </w:rPr>
              <w:t xml:space="preserve">Tier 3</w:t>
            </w:r>
          </w:p>
        </w:tc>
        <w:tc>
          <w:tcPr/>
          <w:p>
            <w:pPr>
              <w:pStyle w:val="Compact"/>
              <w:jc w:val="left"/>
            </w:pPr>
            <w:r>
              <w:t xml:space="preserve">&lt;5,000</w:t>
            </w:r>
          </w:p>
        </w:tc>
        <w:tc>
          <w:tcPr/>
          <w:p>
            <w:pPr>
              <w:pStyle w:val="Compact"/>
              <w:jc w:val="left"/>
            </w:pPr>
            <w:r>
              <w:t xml:space="preserve">&lt;2,000</w:t>
            </w:r>
          </w:p>
        </w:tc>
        <w:tc>
          <w:tcPr/>
          <w:p>
            <w:pPr>
              <w:pStyle w:val="Compact"/>
              <w:jc w:val="left"/>
            </w:pPr>
            <w:r>
              <w:t xml:space="preserve">PHCs and small facilities</w:t>
            </w:r>
          </w:p>
        </w:tc>
      </w:tr>
    </w:tbl>
    <w:bookmarkEnd w:id="384"/>
    <w:bookmarkStart w:id="385" w:name="Xf58c630ca8588f50807e03b880dd801b9565a35"/>
    <w:p>
      <w:pPr>
        <w:pStyle w:val="Heading4"/>
      </w:pPr>
      <w:r>
        <w:t xml:space="preserve">B. Bed Count Alternative (Where Case Data Unavailable)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Tier</w:t>
            </w:r>
          </w:p>
        </w:tc>
        <w:tc>
          <w:tcPr/>
          <w:p>
            <w:pPr>
              <w:pStyle w:val="Compact"/>
              <w:jc w:val="left"/>
            </w:pPr>
            <w:r>
              <w:t xml:space="preserve">Developed Country</w:t>
            </w:r>
          </w:p>
        </w:tc>
        <w:tc>
          <w:tcPr/>
          <w:p>
            <w:pPr>
              <w:pStyle w:val="Compact"/>
              <w:jc w:val="left"/>
            </w:pPr>
            <w:r>
              <w:t xml:space="preserve">Developing Country (e.g., India)</w:t>
            </w:r>
          </w:p>
        </w:tc>
      </w:tr>
      <w:tr>
        <w:tc>
          <w:tcPr/>
          <w:p>
            <w:pPr>
              <w:pStyle w:val="Compact"/>
              <w:jc w:val="left"/>
            </w:pPr>
            <w:r>
              <w:rPr>
                <w:b/>
                <w:bCs/>
              </w:rPr>
              <w:t xml:space="preserve">Tier 1</w:t>
            </w:r>
          </w:p>
        </w:tc>
        <w:tc>
          <w:tcPr/>
          <w:p>
            <w:pPr>
              <w:pStyle w:val="Compact"/>
              <w:jc w:val="left"/>
            </w:pPr>
            <w:r>
              <w:t xml:space="preserve">≥500 beds</w:t>
            </w:r>
          </w:p>
        </w:tc>
        <w:tc>
          <w:tcPr/>
          <w:p>
            <w:pPr>
              <w:pStyle w:val="Compact"/>
              <w:jc w:val="left"/>
            </w:pPr>
            <w:r>
              <w:t xml:space="preserve">≥200 beds OR District Hospital status</w:t>
            </w:r>
          </w:p>
        </w:tc>
      </w:tr>
      <w:tr>
        <w:tc>
          <w:tcPr/>
          <w:p>
            <w:pPr>
              <w:pStyle w:val="Compact"/>
              <w:jc w:val="left"/>
            </w:pPr>
            <w:r>
              <w:rPr>
                <w:b/>
                <w:bCs/>
              </w:rPr>
              <w:t xml:space="preserve">Tier 2</w:t>
            </w:r>
          </w:p>
        </w:tc>
        <w:tc>
          <w:tcPr/>
          <w:p>
            <w:pPr>
              <w:pStyle w:val="Compact"/>
              <w:jc w:val="left"/>
            </w:pPr>
            <w:r>
              <w:t xml:space="preserve">100–499 beds</w:t>
            </w:r>
          </w:p>
        </w:tc>
        <w:tc>
          <w:tcPr/>
          <w:p>
            <w:pPr>
              <w:pStyle w:val="Compact"/>
              <w:jc w:val="left"/>
            </w:pPr>
            <w:r>
              <w:t xml:space="preserve">50–199 beds OR Sub-District Hospital</w:t>
            </w:r>
          </w:p>
        </w:tc>
      </w:tr>
      <w:tr>
        <w:tc>
          <w:tcPr/>
          <w:p>
            <w:pPr>
              <w:pStyle w:val="Compact"/>
              <w:jc w:val="left"/>
            </w:pPr>
            <w:r>
              <w:rPr>
                <w:b/>
                <w:bCs/>
              </w:rPr>
              <w:t xml:space="preserve">Tier 3</w:t>
            </w:r>
          </w:p>
        </w:tc>
        <w:tc>
          <w:tcPr/>
          <w:p>
            <w:pPr>
              <w:pStyle w:val="Compact"/>
              <w:jc w:val="left"/>
            </w:pPr>
            <w:r>
              <w:t xml:space="preserve">&lt;100 beds</w:t>
            </w:r>
          </w:p>
        </w:tc>
        <w:tc>
          <w:tcPr/>
          <w:p>
            <w:pPr>
              <w:pStyle w:val="Compact"/>
              <w:jc w:val="left"/>
            </w:pPr>
            <w:r>
              <w:t xml:space="preserve">&lt;50 beds OR PHC/CHC</w:t>
            </w:r>
          </w:p>
        </w:tc>
      </w:tr>
    </w:tbl>
    <w:bookmarkEnd w:id="385"/>
    <w:bookmarkStart w:id="386" w:name="c.-employee-count-adjusted"/>
    <w:p>
      <w:pPr>
        <w:pStyle w:val="Heading4"/>
      </w:pPr>
      <w:r>
        <w:t xml:space="preserve">C. Employee Count (Adjusted)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Tier</w:t>
            </w:r>
          </w:p>
        </w:tc>
        <w:tc>
          <w:tcPr/>
          <w:p>
            <w:pPr>
              <w:pStyle w:val="Compact"/>
              <w:jc w:val="left"/>
            </w:pPr>
            <w:r>
              <w:t xml:space="preserve">EU NIS2 Threshold</w:t>
            </w:r>
          </w:p>
        </w:tc>
        <w:tc>
          <w:tcPr/>
          <w:p>
            <w:pPr>
              <w:pStyle w:val="Compact"/>
              <w:jc w:val="left"/>
            </w:pPr>
            <w:r>
              <w:t xml:space="preserve">Developing Country Threshold</w:t>
            </w:r>
          </w:p>
        </w:tc>
      </w:tr>
      <w:tr>
        <w:tc>
          <w:tcPr/>
          <w:p>
            <w:pPr>
              <w:pStyle w:val="Compact"/>
              <w:jc w:val="left"/>
            </w:pPr>
            <w:r>
              <w:rPr>
                <w:b/>
                <w:bCs/>
              </w:rPr>
              <w:t xml:space="preserve">Tier 1</w:t>
            </w:r>
          </w:p>
        </w:tc>
        <w:tc>
          <w:tcPr/>
          <w:p>
            <w:pPr>
              <w:pStyle w:val="Compact"/>
              <w:jc w:val="left"/>
            </w:pPr>
            <w:r>
              <w:t xml:space="preserve">≥250 employees</w:t>
            </w:r>
          </w:p>
        </w:tc>
        <w:tc>
          <w:tcPr/>
          <w:p>
            <w:pPr>
              <w:pStyle w:val="Compact"/>
              <w:jc w:val="left"/>
            </w:pPr>
            <w:r>
              <w:t xml:space="preserve">≥100 employees</w:t>
            </w:r>
          </w:p>
        </w:tc>
      </w:tr>
      <w:tr>
        <w:tc>
          <w:tcPr/>
          <w:p>
            <w:pPr>
              <w:pStyle w:val="Compact"/>
              <w:jc w:val="left"/>
            </w:pPr>
            <w:r>
              <w:rPr>
                <w:b/>
                <w:bCs/>
              </w:rPr>
              <w:t xml:space="preserve">Tier 2</w:t>
            </w:r>
          </w:p>
        </w:tc>
        <w:tc>
          <w:tcPr/>
          <w:p>
            <w:pPr>
              <w:pStyle w:val="Compact"/>
              <w:jc w:val="left"/>
            </w:pPr>
            <w:r>
              <w:t xml:space="preserve">50–249 employees</w:t>
            </w:r>
          </w:p>
        </w:tc>
        <w:tc>
          <w:tcPr/>
          <w:p>
            <w:pPr>
              <w:pStyle w:val="Compact"/>
              <w:jc w:val="left"/>
            </w:pPr>
            <w:r>
              <w:t xml:space="preserve">25–99 employees</w:t>
            </w:r>
          </w:p>
        </w:tc>
      </w:tr>
      <w:tr>
        <w:tc>
          <w:tcPr/>
          <w:p>
            <w:pPr>
              <w:pStyle w:val="Compact"/>
              <w:jc w:val="left"/>
            </w:pPr>
            <w:r>
              <w:rPr>
                <w:b/>
                <w:bCs/>
              </w:rPr>
              <w:t xml:space="preserve">Tier 3</w:t>
            </w:r>
          </w:p>
        </w:tc>
        <w:tc>
          <w:tcPr/>
          <w:p>
            <w:pPr>
              <w:pStyle w:val="Compact"/>
              <w:jc w:val="left"/>
            </w:pPr>
            <w:r>
              <w:t xml:space="preserve">&lt;50 employees</w:t>
            </w:r>
          </w:p>
        </w:tc>
        <w:tc>
          <w:tcPr/>
          <w:p>
            <w:pPr>
              <w:pStyle w:val="Compact"/>
              <w:jc w:val="left"/>
            </w:pPr>
            <w:r>
              <w:t xml:space="preserve">&lt;25 employees</w:t>
            </w:r>
          </w:p>
        </w:tc>
      </w:tr>
    </w:tbl>
    <w:bookmarkEnd w:id="386"/>
    <w:bookmarkEnd w:id="387"/>
    <w:bookmarkStart w:id="388" w:name="X593b19b2ec432beb57b7efc6833f75f613e8618"/>
    <w:p>
      <w:pPr>
        <w:pStyle w:val="Heading3"/>
      </w:pPr>
      <w:r>
        <w:t xml:space="preserve">9.3 India-Specific Critical Information Systems</w:t>
      </w:r>
    </w:p>
    <w:p>
      <w:pPr>
        <w:pStyle w:val="FirstParagraph"/>
      </w:pPr>
      <w:r>
        <w:t xml:space="preserve">Beyond the globally-recognized systems,</w:t>
      </w:r>
      <w:r>
        <w:t xml:space="preserve"> </w:t>
      </w:r>
      <w:r>
        <w:rPr>
          <w:b/>
          <w:bCs/>
        </w:rPr>
        <w:t xml:space="preserve">India has unique national digital health systems</w:t>
      </w:r>
      <w:r>
        <w:t xml:space="preserve"> </w:t>
      </w:r>
      <w:r>
        <w:t xml:space="preserve">that warrant CII consideration:</w:t>
      </w:r>
    </w:p>
    <w:tbl>
      <w:tblPr>
        <w:tblStyle w:val="Table"/>
        <w:tblW w:type="pct" w:w="5000"/>
        <w:tblLayout w:type="fixed"/>
        <w:tblLook w:firstRow="1" w:lastRow="0" w:firstColumn="0" w:lastColumn="0" w:noHBand="0" w:noVBand="0" w:val="0020"/>
      </w:tblPr>
      <w:tblGrid>
        <w:gridCol w:w="1267"/>
        <w:gridCol w:w="2059"/>
        <w:gridCol w:w="2059"/>
        <w:gridCol w:w="2534"/>
      </w:tblGrid>
      <w:tr>
        <w:trPr>
          <w:tblHeader w:val="on"/>
        </w:trPr>
        <w:tc>
          <w:tcPr/>
          <w:p>
            <w:pPr>
              <w:pStyle w:val="Compact"/>
              <w:jc w:val="left"/>
            </w:pPr>
            <w:r>
              <w:t xml:space="preserve">System</w:t>
            </w:r>
          </w:p>
        </w:tc>
        <w:tc>
          <w:tcPr/>
          <w:p>
            <w:pPr>
              <w:pStyle w:val="Compact"/>
              <w:jc w:val="left"/>
            </w:pPr>
            <w:r>
              <w:t xml:space="preserve">Description</w:t>
            </w:r>
          </w:p>
        </w:tc>
        <w:tc>
          <w:tcPr/>
          <w:p>
            <w:pPr>
              <w:pStyle w:val="Compact"/>
              <w:jc w:val="left"/>
            </w:pPr>
            <w:r>
              <w:t xml:space="preserve">Criticality</w:t>
            </w:r>
          </w:p>
        </w:tc>
        <w:tc>
          <w:tcPr/>
          <w:p>
            <w:pPr>
              <w:pStyle w:val="Compact"/>
              <w:jc w:val="left"/>
            </w:pPr>
            <w:r>
              <w:t xml:space="preserve">Suggested Tier</w:t>
            </w:r>
          </w:p>
        </w:tc>
      </w:tr>
      <w:tr>
        <w:tc>
          <w:tcPr/>
          <w:p>
            <w:pPr>
              <w:pStyle w:val="Compact"/>
              <w:jc w:val="left"/>
            </w:pPr>
            <w:r>
              <w:rPr>
                <w:b/>
                <w:bCs/>
              </w:rPr>
              <w:t xml:space="preserve">Ayushman Bharat Digital Mission (ABDM)</w:t>
            </w:r>
          </w:p>
        </w:tc>
        <w:tc>
          <w:tcPr/>
          <w:p>
            <w:pPr>
              <w:pStyle w:val="Compact"/>
              <w:jc w:val="left"/>
            </w:pPr>
            <w:r>
              <w:t xml:space="preserve">National digital health ID and ecosystem</w:t>
            </w:r>
          </w:p>
        </w:tc>
        <w:tc>
          <w:tcPr/>
          <w:p>
            <w:pPr>
              <w:pStyle w:val="Compact"/>
              <w:jc w:val="left"/>
            </w:pPr>
            <w:r>
              <w:t xml:space="preserve">National HIE equivalent</w:t>
            </w:r>
          </w:p>
        </w:tc>
        <w:tc>
          <w:tcPr/>
          <w:p>
            <w:pPr>
              <w:pStyle w:val="Compact"/>
              <w:jc w:val="left"/>
            </w:pPr>
            <w:r>
              <w:t xml:space="preserve">Tier 1</w:t>
            </w:r>
          </w:p>
        </w:tc>
      </w:tr>
      <w:tr>
        <w:tc>
          <w:tcPr/>
          <w:p>
            <w:pPr>
              <w:pStyle w:val="Compact"/>
              <w:jc w:val="left"/>
            </w:pPr>
            <w:r>
              <w:rPr>
                <w:b/>
                <w:bCs/>
              </w:rPr>
              <w:t xml:space="preserve">PM-JAY (Pradhan Mantri Jan Arogya Yojana)</w:t>
            </w:r>
          </w:p>
        </w:tc>
        <w:tc>
          <w:tcPr/>
          <w:p>
            <w:pPr>
              <w:pStyle w:val="Compact"/>
              <w:jc w:val="left"/>
            </w:pPr>
            <w:r>
              <w:t xml:space="preserve">National health insurance platform for 500M+ beneficiaries</w:t>
            </w:r>
          </w:p>
        </w:tc>
        <w:tc>
          <w:tcPr/>
          <w:p>
            <w:pPr>
              <w:pStyle w:val="Compact"/>
              <w:jc w:val="left"/>
            </w:pPr>
            <w:r>
              <w:t xml:space="preserve">Financial access to healthcare</w:t>
            </w:r>
          </w:p>
        </w:tc>
        <w:tc>
          <w:tcPr/>
          <w:p>
            <w:pPr>
              <w:pStyle w:val="Compact"/>
              <w:jc w:val="left"/>
            </w:pPr>
            <w:r>
              <w:t xml:space="preserve">Tier 1</w:t>
            </w:r>
          </w:p>
        </w:tc>
      </w:tr>
      <w:tr>
        <w:tc>
          <w:tcPr/>
          <w:p>
            <w:pPr>
              <w:pStyle w:val="Compact"/>
              <w:jc w:val="left"/>
            </w:pPr>
            <w:r>
              <w:rPr>
                <w:b/>
                <w:bCs/>
              </w:rPr>
              <w:t xml:space="preserve">CoWIN</w:t>
            </w:r>
          </w:p>
        </w:tc>
        <w:tc>
          <w:tcPr/>
          <w:p>
            <w:pPr>
              <w:pStyle w:val="Compact"/>
              <w:jc w:val="left"/>
            </w:pPr>
            <w:r>
              <w:t xml:space="preserve">COVID vaccination platform; adaptable for routine immunization</w:t>
            </w:r>
          </w:p>
        </w:tc>
        <w:tc>
          <w:tcPr/>
          <w:p>
            <w:pPr>
              <w:pStyle w:val="Compact"/>
              <w:jc w:val="left"/>
            </w:pPr>
            <w:r>
              <w:t xml:space="preserve">National immunization system</w:t>
            </w:r>
          </w:p>
        </w:tc>
        <w:tc>
          <w:tcPr/>
          <w:p>
            <w:pPr>
              <w:pStyle w:val="Compact"/>
              <w:jc w:val="left"/>
            </w:pPr>
            <w:r>
              <w:t xml:space="preserve">Tier 1</w:t>
            </w:r>
          </w:p>
        </w:tc>
      </w:tr>
      <w:tr>
        <w:tc>
          <w:tcPr/>
          <w:p>
            <w:pPr>
              <w:pStyle w:val="Compact"/>
              <w:jc w:val="left"/>
            </w:pPr>
            <w:r>
              <w:rPr>
                <w:b/>
                <w:bCs/>
              </w:rPr>
              <w:t xml:space="preserve">eVIN (Electronic Vaccine Intelligence Network)</w:t>
            </w:r>
          </w:p>
        </w:tc>
        <w:tc>
          <w:tcPr/>
          <w:p>
            <w:pPr>
              <w:pStyle w:val="Compact"/>
              <w:jc w:val="left"/>
            </w:pPr>
            <w:r>
              <w:t xml:space="preserve">Cold chain and vaccine inventory management</w:t>
            </w:r>
          </w:p>
        </w:tc>
        <w:tc>
          <w:tcPr/>
          <w:p>
            <w:pPr>
              <w:pStyle w:val="Compact"/>
              <w:jc w:val="left"/>
            </w:pPr>
            <w:r>
              <w:t xml:space="preserve">Supply chain criticality</w:t>
            </w:r>
          </w:p>
        </w:tc>
        <w:tc>
          <w:tcPr/>
          <w:p>
            <w:pPr>
              <w:pStyle w:val="Compact"/>
              <w:jc w:val="left"/>
            </w:pPr>
            <w:r>
              <w:t xml:space="preserve">Tier 1-2</w:t>
            </w:r>
          </w:p>
        </w:tc>
      </w:tr>
      <w:tr>
        <w:tc>
          <w:tcPr/>
          <w:p>
            <w:pPr>
              <w:pStyle w:val="Compact"/>
              <w:jc w:val="left"/>
            </w:pPr>
            <w:r>
              <w:rPr>
                <w:b/>
                <w:bCs/>
              </w:rPr>
              <w:t xml:space="preserve">IHIP (Integrated Health Information Platform)</w:t>
            </w:r>
          </w:p>
        </w:tc>
        <w:tc>
          <w:tcPr/>
          <w:p>
            <w:pPr>
              <w:pStyle w:val="Compact"/>
              <w:jc w:val="left"/>
            </w:pPr>
            <w:r>
              <w:t xml:space="preserve">Disease surveillance and outbreak response</w:t>
            </w:r>
          </w:p>
        </w:tc>
        <w:tc>
          <w:tcPr/>
          <w:p>
            <w:pPr>
              <w:pStyle w:val="Compact"/>
              <w:jc w:val="left"/>
            </w:pPr>
            <w:r>
              <w:t xml:space="preserve">Epidemic response</w:t>
            </w:r>
          </w:p>
        </w:tc>
        <w:tc>
          <w:tcPr/>
          <w:p>
            <w:pPr>
              <w:pStyle w:val="Compact"/>
              <w:jc w:val="left"/>
            </w:pPr>
            <w:r>
              <w:t xml:space="preserve">Tier 1</w:t>
            </w:r>
          </w:p>
        </w:tc>
      </w:tr>
      <w:tr>
        <w:tc>
          <w:tcPr/>
          <w:p>
            <w:pPr>
              <w:pStyle w:val="Compact"/>
              <w:jc w:val="left"/>
            </w:pPr>
            <w:r>
              <w:rPr>
                <w:b/>
                <w:bCs/>
              </w:rPr>
              <w:t xml:space="preserve">NIKSHAY</w:t>
            </w:r>
          </w:p>
        </w:tc>
        <w:tc>
          <w:tcPr/>
          <w:p>
            <w:pPr>
              <w:pStyle w:val="Compact"/>
              <w:jc w:val="left"/>
            </w:pPr>
            <w:r>
              <w:t xml:space="preserve">TB surveillance and treatment tracking</w:t>
            </w:r>
          </w:p>
        </w:tc>
        <w:tc>
          <w:tcPr/>
          <w:p>
            <w:pPr>
              <w:pStyle w:val="Compact"/>
              <w:jc w:val="left"/>
            </w:pPr>
            <w:r>
              <w:t xml:space="preserve">Public health surveillance</w:t>
            </w:r>
          </w:p>
        </w:tc>
        <w:tc>
          <w:tcPr/>
          <w:p>
            <w:pPr>
              <w:pStyle w:val="Compact"/>
              <w:jc w:val="left"/>
            </w:pPr>
            <w:r>
              <w:t xml:space="preserve">Tier 1-2</w:t>
            </w:r>
          </w:p>
        </w:tc>
      </w:tr>
      <w:tr>
        <w:tc>
          <w:tcPr/>
          <w:p>
            <w:pPr>
              <w:pStyle w:val="Compact"/>
              <w:jc w:val="left"/>
            </w:pPr>
            <w:r>
              <w:rPr>
                <w:b/>
                <w:bCs/>
              </w:rPr>
              <w:t xml:space="preserve">RCH Portal (Reproductive &amp; Child Health)</w:t>
            </w:r>
          </w:p>
        </w:tc>
        <w:tc>
          <w:tcPr/>
          <w:p>
            <w:pPr>
              <w:pStyle w:val="Compact"/>
              <w:jc w:val="left"/>
            </w:pPr>
            <w:r>
              <w:t xml:space="preserve">Maternal and child health tracking</w:t>
            </w:r>
          </w:p>
        </w:tc>
        <w:tc>
          <w:tcPr/>
          <w:p>
            <w:pPr>
              <w:pStyle w:val="Compact"/>
              <w:jc w:val="left"/>
            </w:pPr>
            <w:r>
              <w:t xml:space="preserve">Population health</w:t>
            </w:r>
          </w:p>
        </w:tc>
        <w:tc>
          <w:tcPr/>
          <w:p>
            <w:pPr>
              <w:pStyle w:val="Compact"/>
              <w:jc w:val="left"/>
            </w:pPr>
            <w:r>
              <w:t xml:space="preserve">Tier 2</w:t>
            </w:r>
          </w:p>
        </w:tc>
      </w:tr>
      <w:tr>
        <w:tc>
          <w:tcPr/>
          <w:p>
            <w:pPr>
              <w:pStyle w:val="Compact"/>
              <w:jc w:val="left"/>
            </w:pPr>
            <w:r>
              <w:rPr>
                <w:b/>
                <w:bCs/>
              </w:rPr>
              <w:t xml:space="preserve">HMIS/eHospital</w:t>
            </w:r>
          </w:p>
        </w:tc>
        <w:tc>
          <w:tcPr/>
          <w:p>
            <w:pPr>
              <w:pStyle w:val="Compact"/>
              <w:jc w:val="left"/>
            </w:pPr>
            <w:r>
              <w:t xml:space="preserve">Hospital management for central/state government hospitals</w:t>
            </w:r>
          </w:p>
        </w:tc>
        <w:tc>
          <w:tcPr/>
          <w:p>
            <w:pPr>
              <w:pStyle w:val="Compact"/>
              <w:jc w:val="left"/>
            </w:pPr>
            <w:r>
              <w:t xml:space="preserve">Hospital operations</w:t>
            </w:r>
          </w:p>
        </w:tc>
        <w:tc>
          <w:tcPr/>
          <w:p>
            <w:pPr>
              <w:pStyle w:val="Compact"/>
              <w:jc w:val="left"/>
            </w:pPr>
            <w:r>
              <w:t xml:space="preserve">Tier 2</w:t>
            </w:r>
          </w:p>
        </w:tc>
      </w:tr>
      <w:tr>
        <w:tc>
          <w:tcPr/>
          <w:p>
            <w:pPr>
              <w:pStyle w:val="Compact"/>
              <w:jc w:val="left"/>
            </w:pPr>
            <w:r>
              <w:rPr>
                <w:b/>
                <w:bCs/>
              </w:rPr>
              <w:t xml:space="preserve">NIC infrastructure for emergency services</w:t>
            </w:r>
          </w:p>
        </w:tc>
        <w:tc>
          <w:tcPr/>
          <w:p>
            <w:pPr>
              <w:pStyle w:val="Compact"/>
              <w:jc w:val="left"/>
            </w:pPr>
            <w:r>
              <w:t xml:space="preserve">112 ERSS (Emergency Response Support System)</w:t>
            </w:r>
          </w:p>
        </w:tc>
        <w:tc>
          <w:tcPr/>
          <w:p>
            <w:pPr>
              <w:pStyle w:val="Compact"/>
              <w:jc w:val="left"/>
            </w:pPr>
            <w:r>
              <w:t xml:space="preserve">Emergency dispatch</w:t>
            </w:r>
          </w:p>
        </w:tc>
        <w:tc>
          <w:tcPr/>
          <w:p>
            <w:pPr>
              <w:pStyle w:val="Compact"/>
              <w:jc w:val="left"/>
            </w:pPr>
            <w:r>
              <w:t xml:space="preserve">Tier 1</w:t>
            </w:r>
          </w:p>
        </w:tc>
      </w:tr>
      <w:tr>
        <w:tc>
          <w:tcPr/>
          <w:p>
            <w:pPr>
              <w:pStyle w:val="Compact"/>
              <w:jc w:val="left"/>
            </w:pPr>
            <w:r>
              <w:rPr>
                <w:b/>
                <w:bCs/>
              </w:rPr>
              <w:t xml:space="preserve">National Blood Transfusion Council systems</w:t>
            </w:r>
          </w:p>
        </w:tc>
        <w:tc>
          <w:tcPr/>
          <w:p>
            <w:pPr>
              <w:pStyle w:val="Compact"/>
              <w:jc w:val="left"/>
            </w:pPr>
            <w:r>
              <w:t xml:space="preserve">Blood bank management</w:t>
            </w:r>
          </w:p>
        </w:tc>
        <w:tc>
          <w:tcPr/>
          <w:p>
            <w:pPr>
              <w:pStyle w:val="Compact"/>
              <w:jc w:val="left"/>
            </w:pPr>
            <w:r>
              <w:t xml:space="preserve">Blood supply chain</w:t>
            </w:r>
          </w:p>
        </w:tc>
        <w:tc>
          <w:tcPr/>
          <w:p>
            <w:pPr>
              <w:pStyle w:val="Compact"/>
              <w:jc w:val="left"/>
            </w:pPr>
            <w:r>
              <w:t xml:space="preserve">Tier 1-2</w:t>
            </w:r>
          </w:p>
        </w:tc>
      </w:tr>
    </w:tbl>
    <w:bookmarkEnd w:id="388"/>
    <w:bookmarkStart w:id="390" w:name="geographic-and-accessibility-criteria"/>
    <w:p>
      <w:pPr>
        <w:pStyle w:val="Heading3"/>
      </w:pPr>
      <w:r>
        <w:t xml:space="preserve">9.4 Geographic and Accessibility Criteria</w:t>
      </w:r>
    </w:p>
    <w:p>
      <w:pPr>
        <w:pStyle w:val="FirstParagraph"/>
      </w:pPr>
      <w:r>
        <w:t xml:space="preserve">In developing countries,</w:t>
      </w:r>
      <w:r>
        <w:t xml:space="preserve"> </w:t>
      </w:r>
      <w:r>
        <w:rPr>
          <w:b/>
          <w:bCs/>
        </w:rPr>
        <w:t xml:space="preserve">geographic accessibility</w:t>
      </w:r>
      <w:r>
        <w:t xml:space="preserve"> </w:t>
      </w:r>
      <w:r>
        <w:t xml:space="preserve">is a more relevant criticality factor than pure scale:</w:t>
      </w:r>
    </w:p>
    <w:tbl>
      <w:tblPr>
        <w:tblStyle w:val="Table"/>
        <w:tblW w:type="pct" w:w="5000"/>
        <w:tblLayout w:type="fixed"/>
        <w:tblLook w:firstRow="1" w:lastRow="0" w:firstColumn="0" w:lastColumn="0" w:noHBand="0" w:noVBand="0" w:val="0020"/>
      </w:tblPr>
      <w:tblGrid>
        <w:gridCol w:w="2722"/>
        <w:gridCol w:w="3217"/>
        <w:gridCol w:w="1980"/>
      </w:tblGrid>
      <w:tr>
        <w:trPr>
          <w:tblHeader w:val="on"/>
        </w:trPr>
        <w:tc>
          <w:tcPr/>
          <w:p>
            <w:pPr>
              <w:pStyle w:val="Compact"/>
              <w:jc w:val="left"/>
            </w:pPr>
            <w:r>
              <w:t xml:space="preserve">Criterion</w:t>
            </w:r>
          </w:p>
        </w:tc>
        <w:tc>
          <w:tcPr/>
          <w:p>
            <w:pPr>
              <w:pStyle w:val="Compact"/>
              <w:jc w:val="left"/>
            </w:pPr>
            <w:r>
              <w:t xml:space="preserve">Application</w:t>
            </w:r>
          </w:p>
        </w:tc>
        <w:tc>
          <w:tcPr/>
          <w:p>
            <w:pPr>
              <w:pStyle w:val="Compact"/>
              <w:jc w:val="left"/>
            </w:pPr>
            <w:r>
              <w:t xml:space="preserve">Weight</w:t>
            </w:r>
          </w:p>
        </w:tc>
      </w:tr>
      <w:tr>
        <w:tc>
          <w:tcPr/>
          <w:p>
            <w:pPr>
              <w:pStyle w:val="Compact"/>
              <w:jc w:val="left"/>
            </w:pPr>
            <w:r>
              <w:rPr>
                <w:b/>
                <w:bCs/>
              </w:rPr>
              <w:t xml:space="preserve">Sole provider in district</w:t>
            </w:r>
          </w:p>
        </w:tc>
        <w:tc>
          <w:tcPr/>
          <w:p>
            <w:pPr>
              <w:pStyle w:val="Compact"/>
              <w:jc w:val="left"/>
            </w:pPr>
            <w:r>
              <w:t xml:space="preserve">Only hospital with surgical/obstetric capability in district</w:t>
            </w:r>
          </w:p>
        </w:tc>
        <w:tc>
          <w:tcPr/>
          <w:p>
            <w:pPr>
              <w:pStyle w:val="Compact"/>
              <w:jc w:val="left"/>
            </w:pPr>
            <w:r>
              <w:t xml:space="preserve">Automatic Tier 1</w:t>
            </w:r>
          </w:p>
        </w:tc>
      </w:tr>
      <w:tr>
        <w:tc>
          <w:tcPr/>
          <w:p>
            <w:pPr>
              <w:pStyle w:val="Compact"/>
              <w:jc w:val="left"/>
            </w:pPr>
            <w:r>
              <w:rPr>
                <w:b/>
                <w:bCs/>
              </w:rPr>
              <w:t xml:space="preserve">Distance to next facility</w:t>
            </w:r>
          </w:p>
        </w:tc>
        <w:tc>
          <w:tcPr/>
          <w:p>
            <w:pPr>
              <w:pStyle w:val="Compact"/>
              <w:jc w:val="left"/>
            </w:pPr>
            <w:r>
              <w:t xml:space="preserve">Nearest equivalent facility &gt;50km away</w:t>
            </w:r>
          </w:p>
        </w:tc>
        <w:tc>
          <w:tcPr/>
          <w:p>
            <w:pPr>
              <w:pStyle w:val="Compact"/>
              <w:jc w:val="left"/>
            </w:pPr>
            <w:r>
              <w:t xml:space="preserve">+15 points</w:t>
            </w:r>
          </w:p>
        </w:tc>
      </w:tr>
      <w:tr>
        <w:tc>
          <w:tcPr/>
          <w:p>
            <w:pPr>
              <w:pStyle w:val="Compact"/>
              <w:jc w:val="left"/>
            </w:pPr>
            <w:r>
              <w:rPr>
                <w:b/>
                <w:bCs/>
              </w:rPr>
              <w:t xml:space="preserve">Population served without alternative</w:t>
            </w:r>
          </w:p>
        </w:tc>
        <w:tc>
          <w:tcPr/>
          <w:p>
            <w:pPr>
              <w:pStyle w:val="Compact"/>
              <w:jc w:val="left"/>
            </w:pPr>
            <w:r>
              <w:t xml:space="preserve">Serves &gt;100,000 population as primary referral</w:t>
            </w:r>
          </w:p>
        </w:tc>
        <w:tc>
          <w:tcPr/>
          <w:p>
            <w:pPr>
              <w:pStyle w:val="Compact"/>
              <w:jc w:val="left"/>
            </w:pPr>
            <w:r>
              <w:t xml:space="preserve">+15 points</w:t>
            </w:r>
          </w:p>
        </w:tc>
      </w:tr>
      <w:tr>
        <w:tc>
          <w:tcPr/>
          <w:p>
            <w:pPr>
              <w:pStyle w:val="Compact"/>
              <w:jc w:val="left"/>
            </w:pPr>
            <w:r>
              <w:rPr>
                <w:b/>
                <w:bCs/>
              </w:rPr>
              <w:t xml:space="preserve">Border/remote area</w:t>
            </w:r>
          </w:p>
        </w:tc>
        <w:tc>
          <w:tcPr/>
          <w:p>
            <w:pPr>
              <w:pStyle w:val="Compact"/>
              <w:jc w:val="left"/>
            </w:pPr>
            <w:r>
              <w:t xml:space="preserve">Located in border districts, islands, or hill regions with limited connectivity</w:t>
            </w:r>
          </w:p>
        </w:tc>
        <w:tc>
          <w:tcPr/>
          <w:p>
            <w:pPr>
              <w:pStyle w:val="Compact"/>
              <w:jc w:val="left"/>
            </w:pPr>
            <w:r>
              <w:t xml:space="preserve">+10 points</w:t>
            </w:r>
          </w:p>
        </w:tc>
      </w:tr>
      <w:tr>
        <w:tc>
          <w:tcPr/>
          <w:p>
            <w:pPr>
              <w:pStyle w:val="Compact"/>
              <w:jc w:val="left"/>
            </w:pPr>
            <w:r>
              <w:rPr>
                <w:b/>
                <w:bCs/>
              </w:rPr>
              <w:t xml:space="preserve">Aspirational district</w:t>
            </w:r>
          </w:p>
        </w:tc>
        <w:tc>
          <w:tcPr/>
          <w:p>
            <w:pPr>
              <w:pStyle w:val="Compact"/>
              <w:jc w:val="left"/>
            </w:pPr>
            <w:r>
              <w:t xml:space="preserve">Located in government-designated</w:t>
            </w:r>
            <w:r>
              <w:t xml:space="preserve"> </w:t>
            </w:r>
            <w:r>
              <w:t xml:space="preserve">“aspirational district”</w:t>
            </w:r>
          </w:p>
        </w:tc>
        <w:tc>
          <w:tcPr/>
          <w:p>
            <w:pPr>
              <w:pStyle w:val="Compact"/>
              <w:jc w:val="left"/>
            </w:pPr>
            <w:r>
              <w:t xml:space="preserve">+10 points</w:t>
            </w:r>
          </w:p>
        </w:tc>
      </w:tr>
    </w:tbl>
    <w:bookmarkStart w:id="389" w:name="india-specific-geographic-triggers"/>
    <w:p>
      <w:pPr>
        <w:pStyle w:val="Heading4"/>
      </w:pPr>
      <w:r>
        <w:t xml:space="preserve">India-Specific Geographic Triggers</w:t>
      </w:r>
    </w:p>
    <w:p>
      <w:pPr>
        <w:pStyle w:val="FirstParagraph"/>
      </w:pPr>
      <w:r>
        <w:t xml:space="preserve">An entity should be automatically classified as</w:t>
      </w:r>
      <w:r>
        <w:t xml:space="preserve"> </w:t>
      </w:r>
      <w:r>
        <w:rPr>
          <w:b/>
          <w:bCs/>
        </w:rPr>
        <w:t xml:space="preserve">Tier 1</w:t>
      </w:r>
      <w:r>
        <w:t xml:space="preserve"> </w:t>
      </w:r>
      <w:r>
        <w:t xml:space="preserve">if:</w:t>
      </w:r>
    </w:p>
    <w:p>
      <w:pPr>
        <w:pStyle w:val="Compact"/>
        <w:numPr>
          <w:ilvl w:val="0"/>
          <w:numId w:val="1318"/>
        </w:numPr>
      </w:pPr>
      <w:r>
        <w:rPr>
          <w:b/>
          <w:bCs/>
        </w:rPr>
        <w:t xml:space="preserve">District Hospital</w:t>
      </w:r>
      <w:r>
        <w:t xml:space="preserve"> </w:t>
      </w:r>
      <w:r>
        <w:t xml:space="preserve">— Only referral hospital in the district</w:t>
      </w:r>
    </w:p>
    <w:p>
      <w:pPr>
        <w:pStyle w:val="Compact"/>
        <w:numPr>
          <w:ilvl w:val="0"/>
          <w:numId w:val="1318"/>
        </w:numPr>
      </w:pPr>
      <w:r>
        <w:rPr>
          <w:b/>
          <w:bCs/>
        </w:rPr>
        <w:t xml:space="preserve">FRU (First Referral Unit)</w:t>
      </w:r>
      <w:r>
        <w:t xml:space="preserve"> </w:t>
      </w:r>
      <w:r>
        <w:t xml:space="preserve">— Only facility with C-section/blood transfusion capability in the block/sub-district</w:t>
      </w:r>
    </w:p>
    <w:p>
      <w:pPr>
        <w:pStyle w:val="Compact"/>
        <w:numPr>
          <w:ilvl w:val="0"/>
          <w:numId w:val="1318"/>
        </w:numPr>
      </w:pPr>
      <w:r>
        <w:rPr>
          <w:b/>
          <w:bCs/>
        </w:rPr>
        <w:t xml:space="preserve">State reference laboratory</w:t>
      </w:r>
      <w:r>
        <w:t xml:space="preserve"> </w:t>
      </w:r>
      <w:r>
        <w:t xml:space="preserve">— Only accredited reference lab in the state</w:t>
      </w:r>
    </w:p>
    <w:p>
      <w:pPr>
        <w:pStyle w:val="Compact"/>
        <w:numPr>
          <w:ilvl w:val="0"/>
          <w:numId w:val="1318"/>
        </w:numPr>
      </w:pPr>
      <w:r>
        <w:rPr>
          <w:b/>
          <w:bCs/>
        </w:rPr>
        <w:t xml:space="preserve">Blood bank (standalone)</w:t>
      </w:r>
      <w:r>
        <w:t xml:space="preserve"> </w:t>
      </w:r>
      <w:r>
        <w:t xml:space="preserve">— Only licensed blood bank in the district</w:t>
      </w:r>
    </w:p>
    <w:p>
      <w:pPr>
        <w:pStyle w:val="Compact"/>
        <w:numPr>
          <w:ilvl w:val="0"/>
          <w:numId w:val="1318"/>
        </w:numPr>
      </w:pPr>
      <w:r>
        <w:rPr>
          <w:b/>
          <w:bCs/>
        </w:rPr>
        <w:t xml:space="preserve">Major Government Medical College Hospital</w:t>
      </w:r>
      <w:r>
        <w:t xml:space="preserve"> </w:t>
      </w:r>
      <w:r>
        <w:t xml:space="preserve">— Apex referral and training institution</w:t>
      </w:r>
    </w:p>
    <w:bookmarkEnd w:id="389"/>
    <w:bookmarkEnd w:id="390"/>
    <w:bookmarkStart w:id="391" w:name="Xab7679a4691d009ae5327fefd116397e193a1a8"/>
    <w:p>
      <w:pPr>
        <w:pStyle w:val="Heading3"/>
      </w:pPr>
      <w:r>
        <w:t xml:space="preserve">9.5 Tiered Public Health System Considerations</w:t>
      </w:r>
    </w:p>
    <w:p>
      <w:pPr>
        <w:pStyle w:val="FirstParagraph"/>
      </w:pPr>
      <w:r>
        <w:t xml:space="preserve">India’s</w:t>
      </w:r>
      <w:r>
        <w:t xml:space="preserve"> </w:t>
      </w:r>
      <w:r>
        <w:rPr>
          <w:b/>
          <w:bCs/>
        </w:rPr>
        <w:t xml:space="preserve">tiered public health infrastructure</w:t>
      </w:r>
      <w:r>
        <w:t xml:space="preserve"> </w:t>
      </w:r>
      <w:r>
        <w:t xml:space="preserve">requires adapted tier mapping:</w:t>
      </w:r>
    </w:p>
    <w:tbl>
      <w:tblPr>
        <w:tblStyle w:val="Table"/>
        <w:tblW w:type="pct" w:w="5000"/>
        <w:tblLayout w:type="fixed"/>
        <w:tblLook w:firstRow="1" w:lastRow="0" w:firstColumn="0" w:lastColumn="0" w:noHBand="0" w:noVBand="0" w:val="0020"/>
      </w:tblPr>
      <w:tblGrid>
        <w:gridCol w:w="2600"/>
        <w:gridCol w:w="2955"/>
        <w:gridCol w:w="2364"/>
      </w:tblGrid>
      <w:tr>
        <w:trPr>
          <w:tblHeader w:val="on"/>
        </w:trPr>
        <w:tc>
          <w:tcPr/>
          <w:p>
            <w:pPr>
              <w:pStyle w:val="Compact"/>
              <w:jc w:val="left"/>
            </w:pPr>
            <w:r>
              <w:t xml:space="preserve">Health Facility Type</w:t>
            </w:r>
          </w:p>
        </w:tc>
        <w:tc>
          <w:tcPr/>
          <w:p>
            <w:pPr>
              <w:pStyle w:val="Compact"/>
              <w:jc w:val="left"/>
            </w:pPr>
            <w:r>
              <w:t xml:space="preserve">Typical Characteristics</w:t>
            </w:r>
          </w:p>
        </w:tc>
        <w:tc>
          <w:tcPr/>
          <w:p>
            <w:pPr>
              <w:pStyle w:val="Compact"/>
              <w:jc w:val="left"/>
            </w:pPr>
            <w:r>
              <w:t xml:space="preserve">Suggested CII Tier</w:t>
            </w:r>
          </w:p>
        </w:tc>
      </w:tr>
      <w:tr>
        <w:tc>
          <w:tcPr/>
          <w:p>
            <w:pPr>
              <w:pStyle w:val="Compact"/>
              <w:jc w:val="left"/>
            </w:pPr>
            <w:r>
              <w:rPr>
                <w:b/>
                <w:bCs/>
              </w:rPr>
              <w:t xml:space="preserve">AIIMS / National Institutes</w:t>
            </w:r>
          </w:p>
        </w:tc>
        <w:tc>
          <w:tcPr/>
          <w:p>
            <w:pPr>
              <w:pStyle w:val="Compact"/>
              <w:jc w:val="left"/>
            </w:pPr>
            <w:r>
              <w:t xml:space="preserve">Apex tertiary + research; 1,000+ beds</w:t>
            </w:r>
          </w:p>
        </w:tc>
        <w:tc>
          <w:tcPr/>
          <w:p>
            <w:pPr>
              <w:pStyle w:val="Compact"/>
              <w:jc w:val="left"/>
            </w:pPr>
            <w:r>
              <w:t xml:space="preserve">Tier 1</w:t>
            </w:r>
          </w:p>
        </w:tc>
      </w:tr>
      <w:tr>
        <w:tc>
          <w:tcPr/>
          <w:p>
            <w:pPr>
              <w:pStyle w:val="Compact"/>
              <w:jc w:val="left"/>
            </w:pPr>
            <w:r>
              <w:rPr>
                <w:b/>
                <w:bCs/>
              </w:rPr>
              <w:t xml:space="preserve">State/Central Government Medical College Hospitals</w:t>
            </w:r>
          </w:p>
        </w:tc>
        <w:tc>
          <w:tcPr/>
          <w:p>
            <w:pPr>
              <w:pStyle w:val="Compact"/>
              <w:jc w:val="left"/>
            </w:pPr>
            <w:r>
              <w:t xml:space="preserve">Major tertiary; 500-1,500 beds</w:t>
            </w:r>
          </w:p>
        </w:tc>
        <w:tc>
          <w:tcPr/>
          <w:p>
            <w:pPr>
              <w:pStyle w:val="Compact"/>
              <w:jc w:val="left"/>
            </w:pPr>
            <w:r>
              <w:t xml:space="preserve">Tier 1</w:t>
            </w:r>
          </w:p>
        </w:tc>
      </w:tr>
      <w:tr>
        <w:tc>
          <w:tcPr/>
          <w:p>
            <w:pPr>
              <w:pStyle w:val="Compact"/>
              <w:jc w:val="left"/>
            </w:pPr>
            <w:r>
              <w:rPr>
                <w:b/>
                <w:bCs/>
              </w:rPr>
              <w:t xml:space="preserve">District Hospital (DH)</w:t>
            </w:r>
          </w:p>
        </w:tc>
        <w:tc>
          <w:tcPr/>
          <w:p>
            <w:pPr>
              <w:pStyle w:val="Compact"/>
              <w:jc w:val="left"/>
            </w:pPr>
            <w:r>
              <w:t xml:space="preserve">District headquarters; 100-500 beds; surgery/obstetrics</w:t>
            </w:r>
          </w:p>
        </w:tc>
        <w:tc>
          <w:tcPr/>
          <w:p>
            <w:pPr>
              <w:pStyle w:val="Compact"/>
              <w:jc w:val="left"/>
            </w:pPr>
            <w:r>
              <w:t xml:space="preserve">Tier 1 (if sole in district)</w:t>
            </w:r>
          </w:p>
        </w:tc>
      </w:tr>
      <w:tr>
        <w:tc>
          <w:tcPr/>
          <w:p>
            <w:pPr>
              <w:pStyle w:val="Compact"/>
              <w:jc w:val="left"/>
            </w:pPr>
            <w:r>
              <w:rPr>
                <w:b/>
                <w:bCs/>
              </w:rPr>
              <w:t xml:space="preserve">Sub-District Hospital (SDH)</w:t>
            </w:r>
          </w:p>
        </w:tc>
        <w:tc>
          <w:tcPr/>
          <w:p>
            <w:pPr>
              <w:pStyle w:val="Compact"/>
              <w:jc w:val="left"/>
            </w:pPr>
            <w:r>
              <w:t xml:space="preserve">Taluk/sub-district; 30-100 beds</w:t>
            </w:r>
          </w:p>
        </w:tc>
        <w:tc>
          <w:tcPr/>
          <w:p>
            <w:pPr>
              <w:pStyle w:val="Compact"/>
              <w:jc w:val="left"/>
            </w:pPr>
            <w:r>
              <w:t xml:space="preserve">Tier 2</w:t>
            </w:r>
          </w:p>
        </w:tc>
      </w:tr>
      <w:tr>
        <w:tc>
          <w:tcPr/>
          <w:p>
            <w:pPr>
              <w:pStyle w:val="Compact"/>
              <w:jc w:val="left"/>
            </w:pPr>
            <w:r>
              <w:rPr>
                <w:b/>
                <w:bCs/>
              </w:rPr>
              <w:t xml:space="preserve">Community Health Centre (CHC)</w:t>
            </w:r>
          </w:p>
        </w:tc>
        <w:tc>
          <w:tcPr/>
          <w:p>
            <w:pPr>
              <w:pStyle w:val="Compact"/>
              <w:jc w:val="left"/>
            </w:pPr>
            <w:r>
              <w:t xml:space="preserve">Block level; 30 beds; FRU function</w:t>
            </w:r>
          </w:p>
        </w:tc>
        <w:tc>
          <w:tcPr/>
          <w:p>
            <w:pPr>
              <w:pStyle w:val="Compact"/>
              <w:jc w:val="left"/>
            </w:pPr>
            <w:r>
              <w:t xml:space="preserve">Tier 2 (if sole FRU in block)</w:t>
            </w:r>
          </w:p>
        </w:tc>
      </w:tr>
      <w:tr>
        <w:tc>
          <w:tcPr/>
          <w:p>
            <w:pPr>
              <w:pStyle w:val="Compact"/>
              <w:jc w:val="left"/>
            </w:pPr>
            <w:r>
              <w:rPr>
                <w:b/>
                <w:bCs/>
              </w:rPr>
              <w:t xml:space="preserve">Primary Health Centre (PHC)</w:t>
            </w:r>
          </w:p>
        </w:tc>
        <w:tc>
          <w:tcPr/>
          <w:p>
            <w:pPr>
              <w:pStyle w:val="Compact"/>
              <w:jc w:val="left"/>
            </w:pPr>
            <w:r>
              <w:t xml:space="preserve">Primary care; 6 beds; limited digital systems</w:t>
            </w:r>
          </w:p>
        </w:tc>
        <w:tc>
          <w:tcPr/>
          <w:p>
            <w:pPr>
              <w:pStyle w:val="Compact"/>
              <w:jc w:val="left"/>
            </w:pPr>
            <w:r>
              <w:t xml:space="preserve">Tier 3</w:t>
            </w:r>
          </w:p>
        </w:tc>
      </w:tr>
      <w:tr>
        <w:tc>
          <w:tcPr/>
          <w:p>
            <w:pPr>
              <w:pStyle w:val="Compact"/>
              <w:jc w:val="left"/>
            </w:pPr>
            <w:r>
              <w:rPr>
                <w:b/>
                <w:bCs/>
              </w:rPr>
              <w:t xml:space="preserve">Health &amp; Wellness Centre (HWC)</w:t>
            </w:r>
          </w:p>
        </w:tc>
        <w:tc>
          <w:tcPr/>
          <w:p>
            <w:pPr>
              <w:pStyle w:val="Compact"/>
              <w:jc w:val="left"/>
            </w:pPr>
            <w:r>
              <w:t xml:space="preserve">Sub-centre upgrade; ASHA coordination</w:t>
            </w:r>
          </w:p>
        </w:tc>
        <w:tc>
          <w:tcPr/>
          <w:p>
            <w:pPr>
              <w:pStyle w:val="Compact"/>
              <w:jc w:val="left"/>
            </w:pPr>
            <w:r>
              <w:t xml:space="preserve">Tier 3</w:t>
            </w:r>
          </w:p>
        </w:tc>
      </w:tr>
      <w:tr>
        <w:tc>
          <w:tcPr/>
          <w:p>
            <w:pPr>
              <w:pStyle w:val="Compact"/>
              <w:jc w:val="left"/>
            </w:pPr>
            <w:r>
              <w:rPr>
                <w:b/>
                <w:bCs/>
              </w:rPr>
              <w:t xml:space="preserve">Major Private Corporate Hospitals</w:t>
            </w:r>
          </w:p>
        </w:tc>
        <w:tc>
          <w:tcPr/>
          <w:p>
            <w:pPr>
              <w:pStyle w:val="Compact"/>
              <w:jc w:val="left"/>
            </w:pPr>
            <w:r>
              <w:t xml:space="preserve">200+ beds; multi-specialty; extensive IT</w:t>
            </w:r>
          </w:p>
        </w:tc>
        <w:tc>
          <w:tcPr/>
          <w:p>
            <w:pPr>
              <w:pStyle w:val="Compact"/>
              <w:jc w:val="left"/>
            </w:pPr>
            <w:r>
              <w:t xml:space="preserve">Tier 1-2 (based on scale/function)</w:t>
            </w:r>
          </w:p>
        </w:tc>
      </w:tr>
    </w:tbl>
    <w:bookmarkEnd w:id="391"/>
    <w:bookmarkStart w:id="392" w:name="digital-maturity-considerations"/>
    <w:p>
      <w:pPr>
        <w:pStyle w:val="Heading3"/>
      </w:pPr>
      <w:r>
        <w:t xml:space="preserve">9.6 Digital Maturity Considerations</w:t>
      </w:r>
    </w:p>
    <w:tbl>
      <w:tblPr>
        <w:tblStyle w:val="Table"/>
        <w:tblW w:type="pct" w:w="5000"/>
        <w:tblLayout w:type="fixed"/>
        <w:tblLook w:firstRow="1" w:lastRow="0" w:firstColumn="0" w:lastColumn="0" w:noHBand="0" w:noVBand="0" w:val="0020"/>
      </w:tblPr>
      <w:tblGrid>
        <w:gridCol w:w="812"/>
        <w:gridCol w:w="3046"/>
        <w:gridCol w:w="2843"/>
        <w:gridCol w:w="1218"/>
      </w:tblGrid>
      <w:tr>
        <w:trPr>
          <w:tblHeader w:val="on"/>
        </w:trPr>
        <w:tc>
          <w:tcPr/>
          <w:p>
            <w:pPr>
              <w:pStyle w:val="Compact"/>
              <w:jc w:val="left"/>
            </w:pPr>
            <w:r>
              <w:t xml:space="preserve">Factor</w:t>
            </w:r>
          </w:p>
        </w:tc>
        <w:tc>
          <w:tcPr/>
          <w:p>
            <w:pPr>
              <w:pStyle w:val="Compact"/>
              <w:jc w:val="left"/>
            </w:pPr>
            <w:r>
              <w:t xml:space="preserve">Developed Country Assumption</w:t>
            </w:r>
          </w:p>
        </w:tc>
        <w:tc>
          <w:tcPr/>
          <w:p>
            <w:pPr>
              <w:pStyle w:val="Compact"/>
              <w:jc w:val="left"/>
            </w:pPr>
            <w:r>
              <w:t xml:space="preserve">Developing Country Reality</w:t>
            </w:r>
          </w:p>
        </w:tc>
        <w:tc>
          <w:tcPr/>
          <w:p>
            <w:pPr>
              <w:pStyle w:val="Compact"/>
              <w:jc w:val="left"/>
            </w:pPr>
            <w:r>
              <w:t xml:space="preserve">Adaptation</w:t>
            </w:r>
          </w:p>
        </w:tc>
      </w:tr>
      <w:tr>
        <w:tc>
          <w:tcPr/>
          <w:p>
            <w:pPr>
              <w:pStyle w:val="Compact"/>
              <w:jc w:val="left"/>
            </w:pPr>
            <w:r>
              <w:rPr>
                <w:b/>
                <w:bCs/>
              </w:rPr>
              <w:t xml:space="preserve">EHR adoption</w:t>
            </w:r>
          </w:p>
        </w:tc>
        <w:tc>
          <w:tcPr/>
          <w:p>
            <w:pPr>
              <w:pStyle w:val="Compact"/>
              <w:jc w:val="left"/>
            </w:pPr>
            <w:r>
              <w:t xml:space="preserve">Universal or near-universal</w:t>
            </w:r>
          </w:p>
        </w:tc>
        <w:tc>
          <w:tcPr/>
          <w:p>
            <w:pPr>
              <w:pStyle w:val="Compact"/>
              <w:jc w:val="left"/>
            </w:pPr>
            <w:r>
              <w:t xml:space="preserve">Variable; paper-based common</w:t>
            </w:r>
          </w:p>
        </w:tc>
        <w:tc>
          <w:tcPr/>
          <w:p>
            <w:pPr>
              <w:pStyle w:val="Compact"/>
              <w:jc w:val="left"/>
            </w:pPr>
            <w:r>
              <w:t xml:space="preserve">Prioritize facilities with digital systems for CII scope</w:t>
            </w:r>
          </w:p>
        </w:tc>
      </w:tr>
      <w:tr>
        <w:tc>
          <w:tcPr/>
          <w:p>
            <w:pPr>
              <w:pStyle w:val="Compact"/>
              <w:jc w:val="left"/>
            </w:pPr>
            <w:r>
              <w:rPr>
                <w:b/>
                <w:bCs/>
              </w:rPr>
              <w:t xml:space="preserve">Internet connectivity</w:t>
            </w:r>
          </w:p>
        </w:tc>
        <w:tc>
          <w:tcPr/>
          <w:p>
            <w:pPr>
              <w:pStyle w:val="Compact"/>
              <w:jc w:val="left"/>
            </w:pPr>
            <w:r>
              <w:t xml:space="preserve">Always-on broadband</w:t>
            </w:r>
          </w:p>
        </w:tc>
        <w:tc>
          <w:tcPr/>
          <w:p>
            <w:pPr>
              <w:pStyle w:val="Compact"/>
              <w:jc w:val="left"/>
            </w:pPr>
            <w:r>
              <w:t xml:space="preserve">Intermittent; mobile-dependent</w:t>
            </w:r>
          </w:p>
        </w:tc>
        <w:tc>
          <w:tcPr/>
          <w:p>
            <w:pPr>
              <w:pStyle w:val="Compact"/>
              <w:jc w:val="left"/>
            </w:pPr>
            <w:r>
              <w:rPr>
                <w:b/>
                <w:bCs/>
              </w:rPr>
              <w:t xml:space="preserve">Offline-capable systems</w:t>
            </w:r>
            <w:r>
              <w:t xml:space="preserve"> </w:t>
            </w:r>
            <w:r>
              <w:t xml:space="preserve">as critical; data sync mechanisms</w:t>
            </w:r>
          </w:p>
        </w:tc>
      </w:tr>
      <w:tr>
        <w:tc>
          <w:tcPr/>
          <w:p>
            <w:pPr>
              <w:pStyle w:val="Compact"/>
              <w:jc w:val="left"/>
            </w:pPr>
            <w:r>
              <w:rPr>
                <w:b/>
                <w:bCs/>
              </w:rPr>
              <w:t xml:space="preserve">IT staffing</w:t>
            </w:r>
          </w:p>
        </w:tc>
        <w:tc>
          <w:tcPr/>
          <w:p>
            <w:pPr>
              <w:pStyle w:val="Compact"/>
              <w:jc w:val="left"/>
            </w:pPr>
            <w:r>
              <w:t xml:space="preserve">Dedicated IT/security teams</w:t>
            </w:r>
          </w:p>
        </w:tc>
        <w:tc>
          <w:tcPr/>
          <w:p>
            <w:pPr>
              <w:pStyle w:val="Compact"/>
              <w:jc w:val="left"/>
            </w:pPr>
            <w:r>
              <w:t xml:space="preserve">Often shared/outsourced; limited capacity</w:t>
            </w:r>
          </w:p>
        </w:tc>
        <w:tc>
          <w:tcPr/>
          <w:p>
            <w:pPr>
              <w:pStyle w:val="Compact"/>
              <w:jc w:val="left"/>
            </w:pPr>
            <w:r>
              <w:rPr>
                <w:b/>
                <w:bCs/>
              </w:rPr>
              <w:t xml:space="preserve">Shared services</w:t>
            </w:r>
            <w:r>
              <w:t xml:space="preserve"> </w:t>
            </w:r>
            <w:r>
              <w:t xml:space="preserve">(state-level SOC) as Tier 1 system</w:t>
            </w:r>
          </w:p>
        </w:tc>
      </w:tr>
      <w:tr>
        <w:tc>
          <w:tcPr/>
          <w:p>
            <w:pPr>
              <w:pStyle w:val="Compact"/>
              <w:jc w:val="left"/>
            </w:pPr>
            <w:r>
              <w:rPr>
                <w:b/>
                <w:bCs/>
              </w:rPr>
              <w:t xml:space="preserve">Cloud vs on-premise</w:t>
            </w:r>
          </w:p>
        </w:tc>
        <w:tc>
          <w:tcPr/>
          <w:p>
            <w:pPr>
              <w:pStyle w:val="Compact"/>
              <w:jc w:val="left"/>
            </w:pPr>
            <w:r>
              <w:t xml:space="preserve">Cloud-first / hybrid</w:t>
            </w:r>
          </w:p>
        </w:tc>
        <w:tc>
          <w:tcPr/>
          <w:p>
            <w:pPr>
              <w:pStyle w:val="Compact"/>
              <w:jc w:val="left"/>
            </w:pPr>
            <w:r>
              <w:t xml:space="preserve">On-premise or central data centers</w:t>
            </w:r>
          </w:p>
        </w:tc>
        <w:tc>
          <w:tcPr/>
          <w:p>
            <w:pPr>
              <w:pStyle w:val="Compact"/>
              <w:jc w:val="left"/>
            </w:pPr>
            <w:r>
              <w:rPr>
                <w:b/>
                <w:bCs/>
              </w:rPr>
              <w:t xml:space="preserve">State Data Centers (SDCs)</w:t>
            </w:r>
            <w:r>
              <w:t xml:space="preserve"> </w:t>
            </w:r>
            <w:r>
              <w:t xml:space="preserve">hosting health systems as Tier 1</w:t>
            </w:r>
          </w:p>
        </w:tc>
      </w:tr>
      <w:tr>
        <w:tc>
          <w:tcPr/>
          <w:p>
            <w:pPr>
              <w:pStyle w:val="Compact"/>
              <w:jc w:val="left"/>
            </w:pPr>
            <w:r>
              <w:rPr>
                <w:b/>
                <w:bCs/>
              </w:rPr>
              <w:t xml:space="preserve">Supply chain visibility</w:t>
            </w:r>
          </w:p>
        </w:tc>
        <w:tc>
          <w:tcPr/>
          <w:p>
            <w:pPr>
              <w:pStyle w:val="Compact"/>
              <w:jc w:val="left"/>
            </w:pPr>
            <w:r>
              <w:t xml:space="preserve">Integrated vendor management</w:t>
            </w:r>
          </w:p>
        </w:tc>
        <w:tc>
          <w:tcPr/>
          <w:p>
            <w:pPr>
              <w:pStyle w:val="Compact"/>
              <w:jc w:val="left"/>
            </w:pPr>
            <w:r>
              <w:t xml:space="preserve">Fragmented; informal procurement</w:t>
            </w:r>
          </w:p>
        </w:tc>
        <w:tc>
          <w:tcPr/>
          <w:p>
            <w:pPr>
              <w:pStyle w:val="Compact"/>
              <w:jc w:val="left"/>
            </w:pPr>
            <w:r>
              <w:t xml:space="preserve">Lower emphasis on third-party risk scoring initially</w:t>
            </w:r>
          </w:p>
        </w:tc>
      </w:tr>
    </w:tbl>
    <w:bookmarkEnd w:id="392"/>
    <w:bookmarkStart w:id="393" w:name="regulatory-and-compliance-capacity"/>
    <w:p>
      <w:pPr>
        <w:pStyle w:val="Heading3"/>
      </w:pPr>
      <w:r>
        <w:t xml:space="preserve">9.7 Regulatory and Compliance Capacity</w:t>
      </w:r>
    </w:p>
    <w:tbl>
      <w:tblPr>
        <w:tblStyle w:val="Table"/>
        <w:tblW w:type="pct" w:w="5000"/>
        <w:tblLayout w:type="fixed"/>
        <w:tblLook w:firstRow="1" w:lastRow="0" w:firstColumn="0" w:lastColumn="0" w:noHBand="0" w:noVBand="0" w:val="0020"/>
      </w:tblPr>
      <w:tblGrid>
        <w:gridCol w:w="1244"/>
        <w:gridCol w:w="3168"/>
        <w:gridCol w:w="3507"/>
      </w:tblGrid>
      <w:tr>
        <w:trPr>
          <w:tblHeader w:val="on"/>
        </w:trPr>
        <w:tc>
          <w:tcPr/>
          <w:p>
            <w:pPr>
              <w:pStyle w:val="Compact"/>
              <w:jc w:val="left"/>
            </w:pPr>
            <w:r>
              <w:t xml:space="preserve">Challenge</w:t>
            </w:r>
          </w:p>
        </w:tc>
        <w:tc>
          <w:tcPr/>
          <w:p>
            <w:pPr>
              <w:pStyle w:val="Compact"/>
              <w:jc w:val="left"/>
            </w:pPr>
            <w:r>
              <w:t xml:space="preserve">Developed-Country Approach</w:t>
            </w:r>
          </w:p>
        </w:tc>
        <w:tc>
          <w:tcPr/>
          <w:p>
            <w:pPr>
              <w:pStyle w:val="Compact"/>
              <w:jc w:val="left"/>
            </w:pPr>
            <w:r>
              <w:t xml:space="preserve">Developing-Country Adaptation</w:t>
            </w:r>
          </w:p>
        </w:tc>
      </w:tr>
      <w:tr>
        <w:tc>
          <w:tcPr/>
          <w:p>
            <w:pPr>
              <w:pStyle w:val="Compact"/>
              <w:jc w:val="left"/>
            </w:pPr>
            <w:r>
              <w:rPr>
                <w:b/>
                <w:bCs/>
              </w:rPr>
              <w:t xml:space="preserve">Limited regulators</w:t>
            </w:r>
          </w:p>
        </w:tc>
        <w:tc>
          <w:tcPr/>
          <w:p>
            <w:pPr>
              <w:pStyle w:val="Compact"/>
              <w:jc w:val="left"/>
            </w:pPr>
            <w:r>
              <w:t xml:space="preserve">Sector-specific competent authorities</w:t>
            </w:r>
          </w:p>
        </w:tc>
        <w:tc>
          <w:tcPr/>
          <w:p>
            <w:pPr>
              <w:pStyle w:val="Compact"/>
              <w:jc w:val="left"/>
            </w:pPr>
            <w:r>
              <w:rPr>
                <w:b/>
                <w:bCs/>
              </w:rPr>
              <w:t xml:space="preserve">Single nodal agency</w:t>
            </w:r>
            <w:r>
              <w:t xml:space="preserve"> </w:t>
            </w:r>
            <w:r>
              <w:t xml:space="preserve">with health ministry support</w:t>
            </w:r>
          </w:p>
        </w:tc>
      </w:tr>
      <w:tr>
        <w:tc>
          <w:tcPr/>
          <w:p>
            <w:pPr>
              <w:pStyle w:val="Compact"/>
              <w:jc w:val="left"/>
            </w:pPr>
            <w:r>
              <w:rPr>
                <w:b/>
                <w:bCs/>
              </w:rPr>
              <w:t xml:space="preserve">Audit capacity</w:t>
            </w:r>
          </w:p>
        </w:tc>
        <w:tc>
          <w:tcPr/>
          <w:p>
            <w:pPr>
              <w:pStyle w:val="Compact"/>
              <w:jc w:val="left"/>
            </w:pPr>
            <w:r>
              <w:t xml:space="preserve">Annual third-party audits</w:t>
            </w:r>
          </w:p>
        </w:tc>
        <w:tc>
          <w:tcPr/>
          <w:p>
            <w:pPr>
              <w:pStyle w:val="Compact"/>
              <w:jc w:val="left"/>
            </w:pPr>
            <w:r>
              <w:rPr>
                <w:b/>
                <w:bCs/>
              </w:rPr>
              <w:t xml:space="preserve">Phased approach</w:t>
            </w:r>
            <w:r>
              <w:t xml:space="preserve">: Tier 1 first; self-assessment for Tier 3</w:t>
            </w:r>
          </w:p>
        </w:tc>
      </w:tr>
      <w:tr>
        <w:tc>
          <w:tcPr/>
          <w:p>
            <w:pPr>
              <w:pStyle w:val="Compact"/>
              <w:jc w:val="left"/>
            </w:pPr>
            <w:r>
              <w:rPr>
                <w:b/>
                <w:bCs/>
              </w:rPr>
              <w:t xml:space="preserve">Incident reporting</w:t>
            </w:r>
          </w:p>
        </w:tc>
        <w:tc>
          <w:tcPr/>
          <w:p>
            <w:pPr>
              <w:pStyle w:val="Compact"/>
              <w:jc w:val="left"/>
            </w:pPr>
            <w:r>
              <w:t xml:space="preserve">Real-time portals; dedicated CERT</w:t>
            </w:r>
          </w:p>
        </w:tc>
        <w:tc>
          <w:tcPr/>
          <w:p>
            <w:pPr>
              <w:pStyle w:val="Compact"/>
              <w:jc w:val="left"/>
            </w:pPr>
            <w:r>
              <w:rPr>
                <w:b/>
                <w:bCs/>
              </w:rPr>
              <w:t xml:space="preserve">Simplified reporting</w:t>
            </w:r>
            <w:r>
              <w:t xml:space="preserve">: SMS/email fallback; longer initial timelines</w:t>
            </w:r>
          </w:p>
        </w:tc>
      </w:tr>
      <w:tr>
        <w:tc>
          <w:tcPr/>
          <w:p>
            <w:pPr>
              <w:pStyle w:val="Compact"/>
              <w:jc w:val="left"/>
            </w:pPr>
            <w:r>
              <w:rPr>
                <w:b/>
                <w:bCs/>
              </w:rPr>
              <w:t xml:space="preserve">Penalties</w:t>
            </w:r>
          </w:p>
        </w:tc>
        <w:tc>
          <w:tcPr/>
          <w:p>
            <w:pPr>
              <w:pStyle w:val="Compact"/>
              <w:jc w:val="left"/>
            </w:pPr>
            <w:r>
              <w:t xml:space="preserve">€10M+ fines</w:t>
            </w:r>
          </w:p>
        </w:tc>
        <w:tc>
          <w:tcPr/>
          <w:p>
            <w:pPr>
              <w:pStyle w:val="Compact"/>
              <w:jc w:val="left"/>
            </w:pPr>
            <w:r>
              <w:rPr>
                <w:b/>
                <w:bCs/>
              </w:rPr>
              <w:t xml:space="preserve">Proportionate</w:t>
            </w:r>
            <w:r>
              <w:t xml:space="preserve">: Compliance orders first; modest fines scaled to public sector budgets</w:t>
            </w:r>
          </w:p>
        </w:tc>
      </w:tr>
      <w:tr>
        <w:tc>
          <w:tcPr/>
          <w:p>
            <w:pPr>
              <w:pStyle w:val="Compact"/>
              <w:jc w:val="left"/>
            </w:pPr>
            <w:r>
              <w:rPr>
                <w:b/>
                <w:bCs/>
              </w:rPr>
              <w:t xml:space="preserve">Technical guidance</w:t>
            </w:r>
          </w:p>
        </w:tc>
        <w:tc>
          <w:tcPr/>
          <w:p>
            <w:pPr>
              <w:pStyle w:val="Compact"/>
              <w:jc w:val="left"/>
            </w:pPr>
            <w:r>
              <w:t xml:space="preserve">Sector-specific security standards</w:t>
            </w:r>
          </w:p>
        </w:tc>
        <w:tc>
          <w:tcPr/>
          <w:p>
            <w:pPr>
              <w:pStyle w:val="Compact"/>
              <w:jc w:val="left"/>
            </w:pPr>
            <w:r>
              <w:rPr>
                <w:b/>
                <w:bCs/>
              </w:rPr>
              <w:t xml:space="preserve">Adopt/adapt</w:t>
            </w:r>
            <w:r>
              <w:t xml:space="preserve"> </w:t>
            </w:r>
            <w:r>
              <w:t xml:space="preserve">existing standards (ISO 27799, NIST Healthcare) with local context</w:t>
            </w:r>
          </w:p>
        </w:tc>
      </w:tr>
    </w:tbl>
    <w:bookmarkEnd w:id="393"/>
    <w:bookmarkStart w:id="394" w:name="adapted-incident-reporting-timelines"/>
    <w:p>
      <w:pPr>
        <w:pStyle w:val="Heading3"/>
      </w:pPr>
      <w:r>
        <w:t xml:space="preserve">9.8 Adapted Incident Reporting Timelines</w:t>
      </w:r>
    </w:p>
    <w:tbl>
      <w:tblPr>
        <w:tblStyle w:val="Table"/>
        <w:tblW w:type="pct" w:w="5000"/>
        <w:tblLayout w:type="fixed"/>
        <w:tblLook w:firstRow="1" w:lastRow="0" w:firstColumn="0" w:lastColumn="0" w:noHBand="0" w:noVBand="0" w:val="0020"/>
      </w:tblPr>
      <w:tblGrid>
        <w:gridCol w:w="1622"/>
        <w:gridCol w:w="1813"/>
        <w:gridCol w:w="3435"/>
        <w:gridCol w:w="1049"/>
      </w:tblGrid>
      <w:tr>
        <w:trPr>
          <w:tblHeader w:val="on"/>
        </w:trPr>
        <w:tc>
          <w:tcPr/>
          <w:p>
            <w:pPr>
              <w:pStyle w:val="Compact"/>
              <w:jc w:val="left"/>
            </w:pPr>
            <w:r>
              <w:t xml:space="preserve">Reporting Stage</w:t>
            </w:r>
          </w:p>
        </w:tc>
        <w:tc>
          <w:tcPr/>
          <w:p>
            <w:pPr>
              <w:pStyle w:val="Compact"/>
              <w:jc w:val="left"/>
            </w:pPr>
            <w:r>
              <w:t xml:space="preserve">Developed Country</w:t>
            </w:r>
          </w:p>
        </w:tc>
        <w:tc>
          <w:tcPr/>
          <w:p>
            <w:pPr>
              <w:pStyle w:val="Compact"/>
              <w:jc w:val="left"/>
            </w:pPr>
            <w:r>
              <w:t xml:space="preserve">Developing Country (Initial Phase)</w:t>
            </w:r>
          </w:p>
        </w:tc>
        <w:tc>
          <w:tcPr/>
          <w:p>
            <w:pPr>
              <w:pStyle w:val="Compact"/>
              <w:jc w:val="left"/>
            </w:pPr>
            <w:r>
              <w:t xml:space="preserve">Rationale</w:t>
            </w:r>
          </w:p>
        </w:tc>
      </w:tr>
      <w:tr>
        <w:tc>
          <w:tcPr/>
          <w:p>
            <w:pPr>
              <w:pStyle w:val="Compact"/>
              <w:jc w:val="left"/>
            </w:pPr>
            <w:r>
              <w:rPr>
                <w:b/>
                <w:bCs/>
              </w:rPr>
              <w:t xml:space="preserve">Early Warning</w:t>
            </w:r>
          </w:p>
        </w:tc>
        <w:tc>
          <w:tcPr/>
          <w:p>
            <w:pPr>
              <w:pStyle w:val="Compact"/>
              <w:jc w:val="left"/>
            </w:pPr>
            <w:r>
              <w:t xml:space="preserve">12–24 hours</w:t>
            </w:r>
          </w:p>
        </w:tc>
        <w:tc>
          <w:tcPr/>
          <w:p>
            <w:pPr>
              <w:pStyle w:val="Compact"/>
              <w:jc w:val="left"/>
            </w:pPr>
            <w:r>
              <w:t xml:space="preserve">24–48 hours</w:t>
            </w:r>
          </w:p>
        </w:tc>
        <w:tc>
          <w:tcPr/>
          <w:p>
            <w:pPr>
              <w:pStyle w:val="Compact"/>
              <w:jc w:val="left"/>
            </w:pPr>
            <w:r>
              <w:t xml:space="preserve">Account for connectivity and capacity limitations</w:t>
            </w:r>
          </w:p>
        </w:tc>
      </w:tr>
      <w:tr>
        <w:tc>
          <w:tcPr/>
          <w:p>
            <w:pPr>
              <w:pStyle w:val="Compact"/>
              <w:jc w:val="left"/>
            </w:pPr>
            <w:r>
              <w:rPr>
                <w:b/>
                <w:bCs/>
              </w:rPr>
              <w:t xml:space="preserve">Detailed Notification</w:t>
            </w:r>
          </w:p>
        </w:tc>
        <w:tc>
          <w:tcPr/>
          <w:p>
            <w:pPr>
              <w:pStyle w:val="Compact"/>
              <w:jc w:val="left"/>
            </w:pPr>
            <w:r>
              <w:t xml:space="preserve">48–72 hours</w:t>
            </w:r>
          </w:p>
        </w:tc>
        <w:tc>
          <w:tcPr/>
          <w:p>
            <w:pPr>
              <w:pStyle w:val="Compact"/>
              <w:jc w:val="left"/>
            </w:pPr>
            <w:r>
              <w:t xml:space="preserve">72–96 hours</w:t>
            </w:r>
          </w:p>
        </w:tc>
        <w:tc>
          <w:tcPr/>
          <w:p>
            <w:pPr>
              <w:pStyle w:val="Compact"/>
              <w:jc w:val="left"/>
            </w:pPr>
            <w:r>
              <w:t xml:space="preserve">More time for investigation in resource-limited settings</w:t>
            </w:r>
          </w:p>
        </w:tc>
      </w:tr>
      <w:tr>
        <w:tc>
          <w:tcPr/>
          <w:p>
            <w:pPr>
              <w:pStyle w:val="Compact"/>
              <w:jc w:val="left"/>
            </w:pPr>
            <w:r>
              <w:rPr>
                <w:b/>
                <w:bCs/>
              </w:rPr>
              <w:t xml:space="preserve">Final Report</w:t>
            </w:r>
          </w:p>
        </w:tc>
        <w:tc>
          <w:tcPr/>
          <w:p>
            <w:pPr>
              <w:pStyle w:val="Compact"/>
              <w:jc w:val="left"/>
            </w:pPr>
            <w:r>
              <w:t xml:space="preserve">14–30 days</w:t>
            </w:r>
          </w:p>
        </w:tc>
        <w:tc>
          <w:tcPr/>
          <w:p>
            <w:pPr>
              <w:pStyle w:val="Compact"/>
              <w:jc w:val="left"/>
            </w:pPr>
            <w:r>
              <w:t xml:space="preserve">30–45 days</w:t>
            </w:r>
          </w:p>
        </w:tc>
        <w:tc>
          <w:tcPr/>
          <w:p>
            <w:pPr>
              <w:pStyle w:val="Compact"/>
              <w:jc w:val="left"/>
            </w:pPr>
            <w:r>
              <w:t xml:space="preserve">Extended analysis period</w:t>
            </w:r>
          </w:p>
        </w:tc>
      </w:tr>
      <w:tr>
        <w:tc>
          <w:tcPr/>
          <w:p>
            <w:pPr>
              <w:pStyle w:val="Compact"/>
              <w:jc w:val="left"/>
            </w:pPr>
            <w:r>
              <w:rPr>
                <w:b/>
                <w:bCs/>
              </w:rPr>
              <w:t xml:space="preserve">Ransom Payment</w:t>
            </w:r>
          </w:p>
        </w:tc>
        <w:tc>
          <w:tcPr/>
          <w:p>
            <w:pPr>
              <w:pStyle w:val="Compact"/>
              <w:jc w:val="left"/>
            </w:pPr>
            <w:r>
              <w:t xml:space="preserve">24 hours</w:t>
            </w:r>
          </w:p>
        </w:tc>
        <w:tc>
          <w:tcPr/>
          <w:p>
            <w:pPr>
              <w:pStyle w:val="Compact"/>
              <w:jc w:val="left"/>
            </w:pPr>
            <w:r>
              <w:t xml:space="preserve">24 hours</w:t>
            </w:r>
          </w:p>
        </w:tc>
        <w:tc>
          <w:tcPr/>
          <w:p>
            <w:pPr>
              <w:pStyle w:val="Compact"/>
              <w:jc w:val="left"/>
            </w:pPr>
            <w:r>
              <w:t xml:space="preserve">Keep consistent for law enforcement coordination</w:t>
            </w:r>
          </w:p>
        </w:tc>
      </w:tr>
    </w:tbl>
    <w:bookmarkEnd w:id="394"/>
    <w:bookmarkStart w:id="395" w:name="X782f8a25f255b281002c8efb1571b509c937e42"/>
    <w:p>
      <w:pPr>
        <w:pStyle w:val="Heading3"/>
      </w:pPr>
      <w:r>
        <w:t xml:space="preserve">9.9 India-Specific</w:t>
      </w:r>
      <w:r>
        <w:t xml:space="preserve"> </w:t>
      </w:r>
      <w:r>
        <w:t xml:space="preserve">“Regardless of Size”</w:t>
      </w:r>
      <w:r>
        <w:t xml:space="preserve"> </w:t>
      </w:r>
      <w:r>
        <w:t xml:space="preserve">Triggers</w:t>
      </w:r>
    </w:p>
    <w:p>
      <w:pPr>
        <w:pStyle w:val="FirstParagraph"/>
      </w:pPr>
      <w:r>
        <w:t xml:space="preserve">Regardless of scale, an entity should be</w:t>
      </w:r>
      <w:r>
        <w:t xml:space="preserve"> </w:t>
      </w:r>
      <w:r>
        <w:rPr>
          <w:b/>
          <w:bCs/>
        </w:rPr>
        <w:t xml:space="preserve">automatically Tier 1</w:t>
      </w:r>
      <w:r>
        <w:t xml:space="preserve"> </w:t>
      </w:r>
      <w:r>
        <w:t xml:space="preserve">in India if it:</w:t>
      </w:r>
    </w:p>
    <w:p>
      <w:pPr>
        <w:pStyle w:val="Compact"/>
        <w:numPr>
          <w:ilvl w:val="0"/>
          <w:numId w:val="1319"/>
        </w:numPr>
      </w:pPr>
      <w:r>
        <w:t xml:space="preserve">Operates</w:t>
      </w:r>
      <w:r>
        <w:t xml:space="preserve"> </w:t>
      </w:r>
      <w:r>
        <w:rPr>
          <w:b/>
          <w:bCs/>
        </w:rPr>
        <w:t xml:space="preserve">ABDM (Ayushman Bharat Digital Mission)</w:t>
      </w:r>
      <w:r>
        <w:t xml:space="preserve"> </w:t>
      </w:r>
      <w:r>
        <w:t xml:space="preserve">infrastructure at national/state level</w:t>
      </w:r>
    </w:p>
    <w:p>
      <w:pPr>
        <w:pStyle w:val="Compact"/>
        <w:numPr>
          <w:ilvl w:val="0"/>
          <w:numId w:val="1319"/>
        </w:numPr>
      </w:pPr>
      <w:r>
        <w:t xml:space="preserve">Operates</w:t>
      </w:r>
      <w:r>
        <w:t xml:space="preserve"> </w:t>
      </w:r>
      <w:r>
        <w:rPr>
          <w:b/>
          <w:bCs/>
        </w:rPr>
        <w:t xml:space="preserve">PM-JAY</w:t>
      </w:r>
      <w:r>
        <w:t xml:space="preserve"> </w:t>
      </w:r>
      <w:r>
        <w:t xml:space="preserve">transaction processing or beneficiary management systems</w:t>
      </w:r>
    </w:p>
    <w:p>
      <w:pPr>
        <w:pStyle w:val="Compact"/>
        <w:numPr>
          <w:ilvl w:val="0"/>
          <w:numId w:val="1319"/>
        </w:numPr>
      </w:pPr>
      <w:r>
        <w:t xml:space="preserve">Is the</w:t>
      </w:r>
      <w:r>
        <w:t xml:space="preserve"> </w:t>
      </w:r>
      <w:r>
        <w:rPr>
          <w:b/>
          <w:bCs/>
        </w:rPr>
        <w:t xml:space="preserve">sole government hospital</w:t>
      </w:r>
      <w:r>
        <w:t xml:space="preserve"> </w:t>
      </w:r>
      <w:r>
        <w:t xml:space="preserve">in a district</w:t>
      </w:r>
    </w:p>
    <w:p>
      <w:pPr>
        <w:pStyle w:val="Compact"/>
        <w:numPr>
          <w:ilvl w:val="0"/>
          <w:numId w:val="1319"/>
        </w:numPr>
      </w:pPr>
      <w:r>
        <w:t xml:space="preserve">Operates</w:t>
      </w:r>
      <w:r>
        <w:t xml:space="preserve"> </w:t>
      </w:r>
      <w:r>
        <w:rPr>
          <w:b/>
          <w:bCs/>
        </w:rPr>
        <w:t xml:space="preserve">112 ERSS</w:t>
      </w:r>
      <w:r>
        <w:t xml:space="preserve"> </w:t>
      </w:r>
      <w:r>
        <w:t xml:space="preserve">(National Emergency Number) dispatch for any state</w:t>
      </w:r>
    </w:p>
    <w:p>
      <w:pPr>
        <w:pStyle w:val="Compact"/>
        <w:numPr>
          <w:ilvl w:val="0"/>
          <w:numId w:val="1319"/>
        </w:numPr>
      </w:pPr>
      <w:r>
        <w:t xml:space="preserve">Operates</w:t>
      </w:r>
      <w:r>
        <w:t xml:space="preserve"> </w:t>
      </w:r>
      <w:r>
        <w:rPr>
          <w:b/>
          <w:bCs/>
        </w:rPr>
        <w:t xml:space="preserve">state-level integrated disease surveillance</w:t>
      </w:r>
      <w:r>
        <w:t xml:space="preserve"> </w:t>
      </w:r>
      <w:r>
        <w:t xml:space="preserve">(IHIP)</w:t>
      </w:r>
    </w:p>
    <w:p>
      <w:pPr>
        <w:pStyle w:val="Compact"/>
        <w:numPr>
          <w:ilvl w:val="0"/>
          <w:numId w:val="1319"/>
        </w:numPr>
      </w:pPr>
      <w:r>
        <w:t xml:space="preserve">Is a</w:t>
      </w:r>
      <w:r>
        <w:t xml:space="preserve"> </w:t>
      </w:r>
      <w:r>
        <w:rPr>
          <w:b/>
          <w:bCs/>
        </w:rPr>
        <w:t xml:space="preserve">national or regional reference laboratory</w:t>
      </w:r>
      <w:r>
        <w:t xml:space="preserve"> </w:t>
      </w:r>
      <w:r>
        <w:t xml:space="preserve">(NCDC, NIV, ICMR labs)</w:t>
      </w:r>
    </w:p>
    <w:p>
      <w:pPr>
        <w:pStyle w:val="Compact"/>
        <w:numPr>
          <w:ilvl w:val="0"/>
          <w:numId w:val="1319"/>
        </w:numPr>
      </w:pPr>
      <w:r>
        <w:t xml:space="preserve">Operates</w:t>
      </w:r>
      <w:r>
        <w:t xml:space="preserve"> </w:t>
      </w:r>
      <w:r>
        <w:rPr>
          <w:b/>
          <w:bCs/>
        </w:rPr>
        <w:t xml:space="preserve">state blood bank council</w:t>
      </w:r>
      <w:r>
        <w:t xml:space="preserve"> </w:t>
      </w:r>
      <w:r>
        <w:t xml:space="preserve">or regional blood transfusion center</w:t>
      </w:r>
    </w:p>
    <w:p>
      <w:pPr>
        <w:pStyle w:val="Compact"/>
        <w:numPr>
          <w:ilvl w:val="0"/>
          <w:numId w:val="1319"/>
        </w:numPr>
      </w:pPr>
      <w:r>
        <w:t xml:space="preserve">Is a</w:t>
      </w:r>
      <w:r>
        <w:t xml:space="preserve"> </w:t>
      </w:r>
      <w:r>
        <w:rPr>
          <w:b/>
          <w:bCs/>
        </w:rPr>
        <w:t xml:space="preserve">State Data Center</w:t>
      </w:r>
      <w:r>
        <w:t xml:space="preserve"> </w:t>
      </w:r>
      <w:r>
        <w:t xml:space="preserve">hosting health applications</w:t>
      </w:r>
    </w:p>
    <w:p>
      <w:pPr>
        <w:pStyle w:val="Compact"/>
        <w:numPr>
          <w:ilvl w:val="0"/>
          <w:numId w:val="1319"/>
        </w:numPr>
      </w:pPr>
      <w:r>
        <w:t xml:space="preserve">Provides</w:t>
      </w:r>
      <w:r>
        <w:t xml:space="preserve"> </w:t>
      </w:r>
      <w:r>
        <w:rPr>
          <w:b/>
          <w:bCs/>
        </w:rPr>
        <w:t xml:space="preserve">telemedicine hub services</w:t>
      </w:r>
      <w:r>
        <w:t xml:space="preserve"> </w:t>
      </w:r>
      <w:r>
        <w:t xml:space="preserve">for remote/tribal areas (e.g., eSanjeevani hubs)</w:t>
      </w:r>
    </w:p>
    <w:p>
      <w:pPr>
        <w:pStyle w:val="Compact"/>
        <w:numPr>
          <w:ilvl w:val="0"/>
          <w:numId w:val="1319"/>
        </w:numPr>
      </w:pPr>
      <w:r>
        <w:t xml:space="preserve">Operates</w:t>
      </w:r>
      <w:r>
        <w:t xml:space="preserve"> </w:t>
      </w:r>
      <w:r>
        <w:rPr>
          <w:b/>
          <w:bCs/>
        </w:rPr>
        <w:t xml:space="preserve">cold chain management systems</w:t>
      </w:r>
      <w:r>
        <w:t xml:space="preserve"> </w:t>
      </w:r>
      <w:r>
        <w:t xml:space="preserve">(eVIN) at state level</w:t>
      </w:r>
    </w:p>
    <w:bookmarkEnd w:id="395"/>
    <w:bookmarkStart w:id="397" w:name="developing-country-scoring-adjustments"/>
    <w:p>
      <w:pPr>
        <w:pStyle w:val="Heading3"/>
      </w:pPr>
      <w:r>
        <w:t xml:space="preserve">9.10 Developing Country Scoring Adjustments</w:t>
      </w:r>
    </w:p>
    <w:bookmarkStart w:id="396" w:name="X5c3d1e829c5f4e0ee3dace7583267af583c049c"/>
    <w:p>
      <w:pPr>
        <w:pStyle w:val="Heading4"/>
      </w:pPr>
      <w:r>
        <w:t xml:space="preserve">Adjusted Scoring Matrix for Developing Countries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Domain</w:t>
            </w:r>
          </w:p>
        </w:tc>
        <w:tc>
          <w:tcPr/>
          <w:p>
            <w:pPr>
              <w:pStyle w:val="Compact"/>
              <w:jc w:val="left"/>
            </w:pPr>
            <w:r>
              <w:t xml:space="preserve">Criterion</w:t>
            </w:r>
          </w:p>
        </w:tc>
        <w:tc>
          <w:tcPr/>
          <w:p>
            <w:pPr>
              <w:pStyle w:val="Compact"/>
              <w:jc w:val="center"/>
            </w:pPr>
            <w:r>
              <w:t xml:space="preserve">Points (Developed)</w:t>
            </w:r>
          </w:p>
        </w:tc>
        <w:tc>
          <w:tcPr/>
          <w:p>
            <w:pPr>
              <w:pStyle w:val="Compact"/>
              <w:jc w:val="center"/>
            </w:pPr>
            <w:r>
              <w:t xml:space="preserve">Points (Developing)</w:t>
            </w:r>
          </w:p>
        </w:tc>
      </w:tr>
      <w:tr>
        <w:tc>
          <w:tcPr/>
          <w:p>
            <w:pPr>
              <w:pStyle w:val="Compact"/>
              <w:jc w:val="left"/>
            </w:pPr>
            <w:r>
              <w:rPr>
                <w:b/>
                <w:bCs/>
              </w:rPr>
              <w:t xml:space="preserve">A. Scale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≥10,000 inpatient cases/year</w:t>
            </w:r>
          </w:p>
        </w:tc>
        <w:tc>
          <w:tcPr/>
          <w:p>
            <w:pPr>
              <w:pStyle w:val="Compact"/>
              <w:jc w:val="center"/>
            </w:pPr>
            <w:r>
              <w:t xml:space="preserve">—</w:t>
            </w:r>
          </w:p>
        </w:tc>
        <w:tc>
          <w:tcPr/>
          <w:p>
            <w:pPr>
              <w:pStyle w:val="Compact"/>
              <w:jc w:val="center"/>
            </w:pPr>
            <w:r>
              <w:t xml:space="preserve">30</w:t>
            </w:r>
          </w:p>
        </w:tc>
      </w:tr>
      <w:tr>
        <w:tc>
          <w:tcPr/>
          <w:p>
            <w:pPr>
              <w:pStyle w:val="Compact"/>
            </w:pPr>
          </w:p>
        </w:tc>
        <w:tc>
          <w:tcPr/>
          <w:p>
            <w:pPr>
              <w:pStyle w:val="Compact"/>
              <w:jc w:val="left"/>
            </w:pPr>
            <w:r>
              <w:t xml:space="preserve">5,000–9,999 cases/year</w:t>
            </w:r>
          </w:p>
        </w:tc>
        <w:tc>
          <w:tcPr/>
          <w:p>
            <w:pPr>
              <w:pStyle w:val="Compact"/>
              <w:jc w:val="center"/>
            </w:pPr>
            <w:r>
              <w:t xml:space="preserve">—</w:t>
            </w:r>
          </w:p>
        </w:tc>
        <w:tc>
          <w:tcPr/>
          <w:p>
            <w:pPr>
              <w:pStyle w:val="Compact"/>
              <w:jc w:val="center"/>
            </w:pPr>
            <w:r>
              <w:t xml:space="preserve">20</w:t>
            </w:r>
          </w:p>
        </w:tc>
      </w:tr>
      <w:tr>
        <w:tc>
          <w:tcPr/>
          <w:p>
            <w:pPr>
              <w:pStyle w:val="Compact"/>
            </w:pPr>
          </w:p>
        </w:tc>
        <w:tc>
          <w:tcPr/>
          <w:p>
            <w:pPr>
              <w:pStyle w:val="Compact"/>
              <w:jc w:val="left"/>
            </w:pPr>
            <w:r>
              <w:t xml:space="preserve">2,000–4,999 cases/year</w:t>
            </w:r>
          </w:p>
        </w:tc>
        <w:tc>
          <w:tcPr/>
          <w:p>
            <w:pPr>
              <w:pStyle w:val="Compact"/>
              <w:jc w:val="center"/>
            </w:pPr>
            <w:r>
              <w:t xml:space="preserve">—</w:t>
            </w:r>
          </w:p>
        </w:tc>
        <w:tc>
          <w:tcPr/>
          <w:p>
            <w:pPr>
              <w:pStyle w:val="Compact"/>
              <w:jc w:val="center"/>
            </w:pPr>
            <w:r>
              <w:t xml:space="preserve">10</w:t>
            </w:r>
          </w:p>
        </w:tc>
      </w:tr>
      <w:tr>
        <w:tc>
          <w:tcPr/>
          <w:p>
            <w:pPr>
              <w:pStyle w:val="Compact"/>
              <w:jc w:val="left"/>
            </w:pPr>
            <w:r>
              <w:rPr>
                <w:b/>
                <w:bCs/>
              </w:rPr>
              <w:t xml:space="preserve">B. Public System Role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District Hospital (sole in district)</w:t>
            </w:r>
          </w:p>
        </w:tc>
        <w:tc>
          <w:tcPr/>
          <w:p>
            <w:pPr>
              <w:pStyle w:val="Compact"/>
              <w:jc w:val="center"/>
            </w:pPr>
            <w:r>
              <w:t xml:space="preserve">—</w:t>
            </w:r>
          </w:p>
        </w:tc>
        <w:tc>
          <w:tcPr/>
          <w:p>
            <w:pPr>
              <w:pStyle w:val="Compact"/>
              <w:jc w:val="center"/>
            </w:pPr>
            <w:r>
              <w:t xml:space="preserve">25</w:t>
            </w:r>
          </w:p>
        </w:tc>
      </w:tr>
      <w:tr>
        <w:tc>
          <w:tcPr/>
          <w:p>
            <w:pPr>
              <w:pStyle w:val="Compact"/>
            </w:pPr>
          </w:p>
        </w:tc>
        <w:tc>
          <w:tcPr/>
          <w:p>
            <w:pPr>
              <w:pStyle w:val="Compact"/>
              <w:jc w:val="left"/>
            </w:pPr>
            <w:r>
              <w:t xml:space="preserve">FRU (sole in block)</w:t>
            </w:r>
          </w:p>
        </w:tc>
        <w:tc>
          <w:tcPr/>
          <w:p>
            <w:pPr>
              <w:pStyle w:val="Compact"/>
              <w:jc w:val="center"/>
            </w:pPr>
            <w:r>
              <w:t xml:space="preserve">—</w:t>
            </w:r>
          </w:p>
        </w:tc>
        <w:tc>
          <w:tcPr/>
          <w:p>
            <w:pPr>
              <w:pStyle w:val="Compact"/>
              <w:jc w:val="center"/>
            </w:pPr>
            <w:r>
              <w:t xml:space="preserve">20</w:t>
            </w:r>
          </w:p>
        </w:tc>
      </w:tr>
      <w:tr>
        <w:tc>
          <w:tcPr/>
          <w:p>
            <w:pPr>
              <w:pStyle w:val="Compact"/>
            </w:pPr>
          </w:p>
        </w:tc>
        <w:tc>
          <w:tcPr/>
          <w:p>
            <w:pPr>
              <w:pStyle w:val="Compact"/>
              <w:jc w:val="left"/>
            </w:pPr>
            <w:r>
              <w:t xml:space="preserve">CHC/PHC digitized</w:t>
            </w:r>
          </w:p>
        </w:tc>
        <w:tc>
          <w:tcPr/>
          <w:p>
            <w:pPr>
              <w:pStyle w:val="Compact"/>
              <w:jc w:val="center"/>
            </w:pPr>
            <w:r>
              <w:t xml:space="preserve">—</w:t>
            </w:r>
          </w:p>
        </w:tc>
        <w:tc>
          <w:tcPr/>
          <w:p>
            <w:pPr>
              <w:pStyle w:val="Compact"/>
              <w:jc w:val="center"/>
            </w:pPr>
            <w:r>
              <w:t xml:space="preserve">5</w:t>
            </w:r>
          </w:p>
        </w:tc>
      </w:tr>
      <w:tr>
        <w:tc>
          <w:tcPr/>
          <w:p>
            <w:pPr>
              <w:pStyle w:val="Compact"/>
              <w:jc w:val="left"/>
            </w:pPr>
            <w:r>
              <w:rPr>
                <w:b/>
                <w:bCs/>
              </w:rPr>
              <w:t xml:space="preserve">C. Geographic Criticality</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Sole provider &gt;50km radius</w:t>
            </w:r>
          </w:p>
        </w:tc>
        <w:tc>
          <w:tcPr/>
          <w:p>
            <w:pPr>
              <w:pStyle w:val="Compact"/>
              <w:jc w:val="center"/>
            </w:pPr>
            <w:r>
              <w:t xml:space="preserve">—</w:t>
            </w:r>
          </w:p>
        </w:tc>
        <w:tc>
          <w:tcPr/>
          <w:p>
            <w:pPr>
              <w:pStyle w:val="Compact"/>
              <w:jc w:val="center"/>
            </w:pPr>
            <w:r>
              <w:t xml:space="preserve">20</w:t>
            </w:r>
          </w:p>
        </w:tc>
      </w:tr>
      <w:tr>
        <w:tc>
          <w:tcPr/>
          <w:p>
            <w:pPr>
              <w:pStyle w:val="Compact"/>
            </w:pPr>
          </w:p>
        </w:tc>
        <w:tc>
          <w:tcPr/>
          <w:p>
            <w:pPr>
              <w:pStyle w:val="Compact"/>
              <w:jc w:val="left"/>
            </w:pPr>
            <w:r>
              <w:t xml:space="preserve">Aspirational/border district</w:t>
            </w:r>
          </w:p>
        </w:tc>
        <w:tc>
          <w:tcPr/>
          <w:p>
            <w:pPr>
              <w:pStyle w:val="Compact"/>
              <w:jc w:val="center"/>
            </w:pPr>
            <w:r>
              <w:t xml:space="preserve">—</w:t>
            </w:r>
          </w:p>
        </w:tc>
        <w:tc>
          <w:tcPr/>
          <w:p>
            <w:pPr>
              <w:pStyle w:val="Compact"/>
              <w:jc w:val="center"/>
            </w:pPr>
            <w:r>
              <w:t xml:space="preserve">10</w:t>
            </w:r>
          </w:p>
        </w:tc>
      </w:tr>
      <w:tr>
        <w:tc>
          <w:tcPr/>
          <w:p>
            <w:pPr>
              <w:pStyle w:val="Compact"/>
            </w:pPr>
          </w:p>
        </w:tc>
        <w:tc>
          <w:tcPr/>
          <w:p>
            <w:pPr>
              <w:pStyle w:val="Compact"/>
              <w:jc w:val="left"/>
            </w:pPr>
            <w:r>
              <w:t xml:space="preserve">Remote/tribal area</w:t>
            </w:r>
          </w:p>
        </w:tc>
        <w:tc>
          <w:tcPr/>
          <w:p>
            <w:pPr>
              <w:pStyle w:val="Compact"/>
              <w:jc w:val="center"/>
            </w:pPr>
            <w:r>
              <w:t xml:space="preserve">—</w:t>
            </w:r>
          </w:p>
        </w:tc>
        <w:tc>
          <w:tcPr/>
          <w:p>
            <w:pPr>
              <w:pStyle w:val="Compact"/>
              <w:jc w:val="center"/>
            </w:pPr>
            <w:r>
              <w:t xml:space="preserve">10</w:t>
            </w:r>
          </w:p>
        </w:tc>
      </w:tr>
      <w:tr>
        <w:tc>
          <w:tcPr/>
          <w:p>
            <w:pPr>
              <w:pStyle w:val="Compact"/>
              <w:jc w:val="left"/>
            </w:pPr>
            <w:r>
              <w:rPr>
                <w:b/>
                <w:bCs/>
              </w:rPr>
              <w:t xml:space="preserve">D. National Program Integration</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Hosts ABDM/PM-JAY systems</w:t>
            </w:r>
          </w:p>
        </w:tc>
        <w:tc>
          <w:tcPr/>
          <w:p>
            <w:pPr>
              <w:pStyle w:val="Compact"/>
              <w:jc w:val="center"/>
            </w:pPr>
            <w:r>
              <w:t xml:space="preserve">—</w:t>
            </w:r>
          </w:p>
        </w:tc>
        <w:tc>
          <w:tcPr/>
          <w:p>
            <w:pPr>
              <w:pStyle w:val="Compact"/>
              <w:jc w:val="center"/>
            </w:pPr>
            <w:r>
              <w:t xml:space="preserve">25</w:t>
            </w:r>
          </w:p>
        </w:tc>
      </w:tr>
      <w:tr>
        <w:tc>
          <w:tcPr/>
          <w:p>
            <w:pPr>
              <w:pStyle w:val="Compact"/>
            </w:pPr>
          </w:p>
        </w:tc>
        <w:tc>
          <w:tcPr/>
          <w:p>
            <w:pPr>
              <w:pStyle w:val="Compact"/>
              <w:jc w:val="left"/>
            </w:pPr>
            <w:r>
              <w:t xml:space="preserve">State disease surveillance node</w:t>
            </w:r>
          </w:p>
        </w:tc>
        <w:tc>
          <w:tcPr/>
          <w:p>
            <w:pPr>
              <w:pStyle w:val="Compact"/>
              <w:jc w:val="center"/>
            </w:pPr>
            <w:r>
              <w:t xml:space="preserve">—</w:t>
            </w:r>
          </w:p>
        </w:tc>
        <w:tc>
          <w:tcPr/>
          <w:p>
            <w:pPr>
              <w:pStyle w:val="Compact"/>
              <w:jc w:val="center"/>
            </w:pPr>
            <w:r>
              <w:t xml:space="preserve">20</w:t>
            </w:r>
          </w:p>
        </w:tc>
      </w:tr>
      <w:tr>
        <w:tc>
          <w:tcPr/>
          <w:p>
            <w:pPr>
              <w:pStyle w:val="Compact"/>
            </w:pPr>
          </w:p>
        </w:tc>
        <w:tc>
          <w:tcPr/>
          <w:p>
            <w:pPr>
              <w:pStyle w:val="Compact"/>
              <w:jc w:val="left"/>
            </w:pPr>
            <w:r>
              <w:t xml:space="preserve">eVIN/immunization registry</w:t>
            </w:r>
          </w:p>
        </w:tc>
        <w:tc>
          <w:tcPr/>
          <w:p>
            <w:pPr>
              <w:pStyle w:val="Compact"/>
              <w:jc w:val="center"/>
            </w:pPr>
            <w:r>
              <w:t xml:space="preserve">—</w:t>
            </w:r>
          </w:p>
        </w:tc>
        <w:tc>
          <w:tcPr/>
          <w:p>
            <w:pPr>
              <w:pStyle w:val="Compact"/>
              <w:jc w:val="center"/>
            </w:pPr>
            <w:r>
              <w:t xml:space="preserve">15</w:t>
            </w:r>
          </w:p>
        </w:tc>
      </w:tr>
    </w:tbl>
    <w:bookmarkEnd w:id="396"/>
    <w:bookmarkEnd w:id="397"/>
    <w:bookmarkStart w:id="398" w:name="phased-implementation-approach"/>
    <w:p>
      <w:pPr>
        <w:pStyle w:val="Heading3"/>
      </w:pPr>
      <w:r>
        <w:t xml:space="preserve">9.11 Phased Implementation Approach</w:t>
      </w:r>
    </w:p>
    <w:p>
      <w:pPr>
        <w:pStyle w:val="FirstParagraph"/>
      </w:pPr>
      <w:r>
        <w:t xml:space="preserve">Given capacity constraints, developing countries should adopt a</w:t>
      </w:r>
      <w:r>
        <w:t xml:space="preserve"> </w:t>
      </w:r>
      <w:r>
        <w:rPr>
          <w:b/>
          <w:bCs/>
        </w:rPr>
        <w:t xml:space="preserve">phased rollout</w:t>
      </w:r>
      <w:r>
        <w:t xml:space="preserve">:</w:t>
      </w:r>
    </w:p>
    <w:tbl>
      <w:tblPr>
        <w:tblStyle w:val="Table"/>
        <w:tblW w:type="pct" w:w="5000"/>
        <w:tblLayout w:type="fixed"/>
        <w:tblLook w:firstRow="1" w:lastRow="0" w:firstColumn="0" w:lastColumn="0" w:noHBand="0" w:noVBand="0" w:val="0020"/>
      </w:tblPr>
      <w:tblGrid>
        <w:gridCol w:w="1788"/>
        <w:gridCol w:w="2554"/>
        <w:gridCol w:w="1788"/>
        <w:gridCol w:w="1788"/>
      </w:tblGrid>
      <w:tr>
        <w:trPr>
          <w:tblHeader w:val="on"/>
        </w:trPr>
        <w:tc>
          <w:tcPr/>
          <w:p>
            <w:pPr>
              <w:pStyle w:val="Compact"/>
              <w:jc w:val="left"/>
            </w:pPr>
            <w:r>
              <w:t xml:space="preserve">Phase</w:t>
            </w:r>
          </w:p>
        </w:tc>
        <w:tc>
          <w:tcPr/>
          <w:p>
            <w:pPr>
              <w:pStyle w:val="Compact"/>
              <w:jc w:val="left"/>
            </w:pPr>
            <w:r>
              <w:t xml:space="preserve">Timeline</w:t>
            </w:r>
          </w:p>
        </w:tc>
        <w:tc>
          <w:tcPr/>
          <w:p>
            <w:pPr>
              <w:pStyle w:val="Compact"/>
              <w:jc w:val="left"/>
            </w:pPr>
            <w:r>
              <w:t xml:space="preserve">Scope</w:t>
            </w:r>
          </w:p>
        </w:tc>
        <w:tc>
          <w:tcPr/>
          <w:p>
            <w:pPr>
              <w:pStyle w:val="Compact"/>
              <w:jc w:val="left"/>
            </w:pPr>
            <w:r>
              <w:t xml:space="preserve">Focus</w:t>
            </w:r>
          </w:p>
        </w:tc>
      </w:tr>
      <w:tr>
        <w:tc>
          <w:tcPr/>
          <w:p>
            <w:pPr>
              <w:pStyle w:val="Compact"/>
              <w:jc w:val="left"/>
            </w:pPr>
            <w:r>
              <w:rPr>
                <w:b/>
                <w:bCs/>
              </w:rPr>
              <w:t xml:space="preserve">Phase 1</w:t>
            </w:r>
          </w:p>
        </w:tc>
        <w:tc>
          <w:tcPr/>
          <w:p>
            <w:pPr>
              <w:pStyle w:val="Compact"/>
              <w:jc w:val="left"/>
            </w:pPr>
            <w:r>
              <w:t xml:space="preserve">Year 1</w:t>
            </w:r>
          </w:p>
        </w:tc>
        <w:tc>
          <w:tcPr/>
          <w:p>
            <w:pPr>
              <w:pStyle w:val="Compact"/>
              <w:jc w:val="left"/>
            </w:pPr>
            <w:r>
              <w:t xml:space="preserve">National systems only</w:t>
            </w:r>
          </w:p>
        </w:tc>
        <w:tc>
          <w:tcPr/>
          <w:p>
            <w:pPr>
              <w:pStyle w:val="Compact"/>
              <w:jc w:val="left"/>
            </w:pPr>
            <w:r>
              <w:t xml:space="preserve">ABDM, PM-JAY, 112 ERSS, national surveillance, State Data Centers</w:t>
            </w:r>
          </w:p>
        </w:tc>
      </w:tr>
      <w:tr>
        <w:tc>
          <w:tcPr/>
          <w:p>
            <w:pPr>
              <w:pStyle w:val="Compact"/>
              <w:jc w:val="left"/>
            </w:pPr>
            <w:r>
              <w:rPr>
                <w:b/>
                <w:bCs/>
              </w:rPr>
              <w:t xml:space="preserve">Phase 2</w:t>
            </w:r>
          </w:p>
        </w:tc>
        <w:tc>
          <w:tcPr/>
          <w:p>
            <w:pPr>
              <w:pStyle w:val="Compact"/>
              <w:jc w:val="left"/>
            </w:pPr>
            <w:r>
              <w:t xml:space="preserve">Year 2</w:t>
            </w:r>
          </w:p>
        </w:tc>
        <w:tc>
          <w:tcPr/>
          <w:p>
            <w:pPr>
              <w:pStyle w:val="Compact"/>
              <w:jc w:val="left"/>
            </w:pPr>
            <w:r>
              <w:t xml:space="preserve">Tier 1 entities (national + major tertiary)</w:t>
            </w:r>
          </w:p>
        </w:tc>
        <w:tc>
          <w:tcPr/>
          <w:p>
            <w:pPr>
              <w:pStyle w:val="Compact"/>
              <w:jc w:val="left"/>
            </w:pPr>
            <w:r>
              <w:t xml:space="preserve">AIIMS, GMCHs, major private chains, state blood banks</w:t>
            </w:r>
          </w:p>
        </w:tc>
      </w:tr>
      <w:tr>
        <w:tc>
          <w:tcPr/>
          <w:p>
            <w:pPr>
              <w:pStyle w:val="Compact"/>
              <w:jc w:val="left"/>
            </w:pPr>
            <w:r>
              <w:rPr>
                <w:b/>
                <w:bCs/>
              </w:rPr>
              <w:t xml:space="preserve">Phase 3</w:t>
            </w:r>
          </w:p>
        </w:tc>
        <w:tc>
          <w:tcPr/>
          <w:p>
            <w:pPr>
              <w:pStyle w:val="Compact"/>
              <w:jc w:val="left"/>
            </w:pPr>
            <w:r>
              <w:t xml:space="preserve">Year 3-4</w:t>
            </w:r>
          </w:p>
        </w:tc>
        <w:tc>
          <w:tcPr/>
          <w:p>
            <w:pPr>
              <w:pStyle w:val="Compact"/>
              <w:jc w:val="left"/>
            </w:pPr>
            <w:r>
              <w:t xml:space="preserve">Tier 2 entities (district level)</w:t>
            </w:r>
          </w:p>
        </w:tc>
        <w:tc>
          <w:tcPr/>
          <w:p>
            <w:pPr>
              <w:pStyle w:val="Compact"/>
              <w:jc w:val="left"/>
            </w:pPr>
            <w:r>
              <w:t xml:space="preserve">District hospitals, state reference labs, regional facilities</w:t>
            </w:r>
          </w:p>
        </w:tc>
      </w:tr>
      <w:tr>
        <w:tc>
          <w:tcPr/>
          <w:p>
            <w:pPr>
              <w:pStyle w:val="Compact"/>
              <w:jc w:val="left"/>
            </w:pPr>
            <w:r>
              <w:rPr>
                <w:b/>
                <w:bCs/>
              </w:rPr>
              <w:t xml:space="preserve">Phase 4</w:t>
            </w:r>
          </w:p>
        </w:tc>
        <w:tc>
          <w:tcPr/>
          <w:p>
            <w:pPr>
              <w:pStyle w:val="Compact"/>
              <w:jc w:val="left"/>
            </w:pPr>
            <w:r>
              <w:t xml:space="preserve">Year 5+</w:t>
            </w:r>
          </w:p>
        </w:tc>
        <w:tc>
          <w:tcPr/>
          <w:p>
            <w:pPr>
              <w:pStyle w:val="Compact"/>
              <w:jc w:val="left"/>
            </w:pPr>
            <w:r>
              <w:t xml:space="preserve">Tier 3 entities (voluntary)</w:t>
            </w:r>
          </w:p>
        </w:tc>
        <w:tc>
          <w:tcPr/>
          <w:p>
            <w:pPr>
              <w:pStyle w:val="Compact"/>
              <w:jc w:val="left"/>
            </w:pPr>
            <w:r>
              <w:t xml:space="preserve">PHCs, CHCs, small private hospitals</w:t>
            </w:r>
          </w:p>
        </w:tc>
      </w:tr>
    </w:tbl>
    <w:bookmarkEnd w:id="398"/>
    <w:bookmarkStart w:id="399" w:name="capacity-building-requirements"/>
    <w:p>
      <w:pPr>
        <w:pStyle w:val="Heading3"/>
      </w:pPr>
      <w:r>
        <w:t xml:space="preserve">9.12 Capacity Building Requirements</w:t>
      </w:r>
    </w:p>
    <w:tbl>
      <w:tblPr>
        <w:tblStyle w:val="Table"/>
        <w:tblW w:type="pct" w:w="5000"/>
        <w:tblLayout w:type="fixed"/>
        <w:tblLook w:firstRow="1" w:lastRow="0" w:firstColumn="0" w:lastColumn="0" w:noHBand="0" w:noVBand="0" w:val="0020"/>
      </w:tblPr>
      <w:tblGrid>
        <w:gridCol w:w="1687"/>
        <w:gridCol w:w="2466"/>
        <w:gridCol w:w="3765"/>
      </w:tblGrid>
      <w:tr>
        <w:trPr>
          <w:tblHeader w:val="on"/>
        </w:trPr>
        <w:tc>
          <w:tcPr/>
          <w:p>
            <w:pPr>
              <w:pStyle w:val="Compact"/>
              <w:jc w:val="left"/>
            </w:pPr>
            <w:r>
              <w:t xml:space="preserve">Requirement</w:t>
            </w:r>
          </w:p>
        </w:tc>
        <w:tc>
          <w:tcPr/>
          <w:p>
            <w:pPr>
              <w:pStyle w:val="Compact"/>
              <w:jc w:val="left"/>
            </w:pPr>
            <w:r>
              <w:t xml:space="preserve">Developed Country</w:t>
            </w:r>
          </w:p>
        </w:tc>
        <w:tc>
          <w:tcPr/>
          <w:p>
            <w:pPr>
              <w:pStyle w:val="Compact"/>
              <w:jc w:val="left"/>
            </w:pPr>
            <w:r>
              <w:t xml:space="preserve">Developing Country Approach</w:t>
            </w:r>
          </w:p>
        </w:tc>
      </w:tr>
      <w:tr>
        <w:tc>
          <w:tcPr/>
          <w:p>
            <w:pPr>
              <w:pStyle w:val="Compact"/>
              <w:jc w:val="left"/>
            </w:pPr>
            <w:r>
              <w:rPr>
                <w:b/>
                <w:bCs/>
              </w:rPr>
              <w:t xml:space="preserve">Sector-specific guidance</w:t>
            </w:r>
          </w:p>
        </w:tc>
        <w:tc>
          <w:tcPr/>
          <w:p>
            <w:pPr>
              <w:pStyle w:val="Compact"/>
              <w:jc w:val="left"/>
            </w:pPr>
            <w:r>
              <w:t xml:space="preserve">Published standards (B3S, CAF)</w:t>
            </w:r>
          </w:p>
        </w:tc>
        <w:tc>
          <w:tcPr/>
          <w:p>
            <w:pPr>
              <w:pStyle w:val="Compact"/>
              <w:jc w:val="left"/>
            </w:pPr>
            <w:r>
              <w:rPr>
                <w:b/>
                <w:bCs/>
              </w:rPr>
              <w:t xml:space="preserve">Develop simplified health CII security baseline</w:t>
            </w:r>
          </w:p>
        </w:tc>
      </w:tr>
      <w:tr>
        <w:tc>
          <w:tcPr/>
          <w:p>
            <w:pPr>
              <w:pStyle w:val="Compact"/>
              <w:jc w:val="left"/>
            </w:pPr>
            <w:r>
              <w:rPr>
                <w:b/>
                <w:bCs/>
              </w:rPr>
              <w:t xml:space="preserve">Training</w:t>
            </w:r>
          </w:p>
        </w:tc>
        <w:tc>
          <w:tcPr/>
          <w:p>
            <w:pPr>
              <w:pStyle w:val="Compact"/>
              <w:jc w:val="left"/>
            </w:pPr>
            <w:r>
              <w:t xml:space="preserve">Commercial certifications</w:t>
            </w:r>
          </w:p>
        </w:tc>
        <w:tc>
          <w:tcPr/>
          <w:p>
            <w:pPr>
              <w:pStyle w:val="Compact"/>
              <w:jc w:val="left"/>
            </w:pPr>
            <w:r>
              <w:rPr>
                <w:b/>
                <w:bCs/>
              </w:rPr>
              <w:t xml:space="preserve">Subsidized/free government training programs</w:t>
            </w:r>
          </w:p>
        </w:tc>
      </w:tr>
      <w:tr>
        <w:tc>
          <w:tcPr/>
          <w:p>
            <w:pPr>
              <w:pStyle w:val="Compact"/>
              <w:jc w:val="left"/>
            </w:pPr>
            <w:r>
              <w:rPr>
                <w:b/>
                <w:bCs/>
              </w:rPr>
              <w:t xml:space="preserve">Shared services</w:t>
            </w:r>
          </w:p>
        </w:tc>
        <w:tc>
          <w:tcPr/>
          <w:p>
            <w:pPr>
              <w:pStyle w:val="Compact"/>
              <w:jc w:val="left"/>
            </w:pPr>
            <w:r>
              <w:t xml:space="preserve">Commercial MSPs</w:t>
            </w:r>
          </w:p>
        </w:tc>
        <w:tc>
          <w:tcPr/>
          <w:p>
            <w:pPr>
              <w:pStyle w:val="Compact"/>
              <w:jc w:val="left"/>
            </w:pPr>
            <w:r>
              <w:rPr>
                <w:b/>
                <w:bCs/>
              </w:rPr>
              <w:t xml:space="preserve">State-level Security Operations Centers (SOCs)</w:t>
            </w:r>
            <w:r>
              <w:t xml:space="preserve"> </w:t>
            </w:r>
            <w:r>
              <w:t xml:space="preserve">for public health facilities</w:t>
            </w:r>
          </w:p>
        </w:tc>
      </w:tr>
      <w:tr>
        <w:tc>
          <w:tcPr/>
          <w:p>
            <w:pPr>
              <w:pStyle w:val="Compact"/>
              <w:jc w:val="left"/>
            </w:pPr>
            <w:r>
              <w:rPr>
                <w:b/>
                <w:bCs/>
              </w:rPr>
              <w:t xml:space="preserve">Incident response</w:t>
            </w:r>
          </w:p>
        </w:tc>
        <w:tc>
          <w:tcPr/>
          <w:p>
            <w:pPr>
              <w:pStyle w:val="Compact"/>
              <w:jc w:val="left"/>
            </w:pPr>
            <w:r>
              <w:t xml:space="preserve">Sector CERTs</w:t>
            </w:r>
          </w:p>
        </w:tc>
        <w:tc>
          <w:tcPr/>
          <w:p>
            <w:pPr>
              <w:pStyle w:val="Compact"/>
              <w:jc w:val="left"/>
            </w:pPr>
            <w:r>
              <w:rPr>
                <w:b/>
                <w:bCs/>
              </w:rPr>
              <w:t xml:space="preserve">National Health-CERT</w:t>
            </w:r>
            <w:r>
              <w:t xml:space="preserve"> </w:t>
            </w:r>
            <w:r>
              <w:t xml:space="preserve">with state nodes</w:t>
            </w:r>
          </w:p>
        </w:tc>
      </w:tr>
      <w:tr>
        <w:tc>
          <w:tcPr/>
          <w:p>
            <w:pPr>
              <w:pStyle w:val="Compact"/>
              <w:jc w:val="left"/>
            </w:pPr>
            <w:r>
              <w:rPr>
                <w:b/>
                <w:bCs/>
              </w:rPr>
              <w:t xml:space="preserve">Technical assistance</w:t>
            </w:r>
          </w:p>
        </w:tc>
        <w:tc>
          <w:tcPr/>
          <w:p>
            <w:pPr>
              <w:pStyle w:val="Compact"/>
              <w:jc w:val="left"/>
            </w:pPr>
            <w:r>
              <w:t xml:space="preserve">Market-driven consulting</w:t>
            </w:r>
          </w:p>
        </w:tc>
        <w:tc>
          <w:tcPr/>
          <w:p>
            <w:pPr>
              <w:pStyle w:val="Compact"/>
              <w:jc w:val="left"/>
            </w:pPr>
            <w:r>
              <w:rPr>
                <w:b/>
                <w:bCs/>
              </w:rPr>
              <w:t xml:space="preserve">Government technical support units</w:t>
            </w:r>
            <w:r>
              <w:t xml:space="preserve"> </w:t>
            </w:r>
            <w:r>
              <w:t xml:space="preserve">for compliance assistance</w:t>
            </w:r>
          </w:p>
        </w:tc>
      </w:tr>
    </w:tbl>
    <w:bookmarkEnd w:id="399"/>
    <w:bookmarkStart w:id="406" w:name="developing-country-case-studies"/>
    <w:p>
      <w:pPr>
        <w:pStyle w:val="Heading3"/>
      </w:pPr>
      <w:r>
        <w:t xml:space="preserve">9.13 Developing Country Case Studies</w:t>
      </w:r>
    </w:p>
    <w:p>
      <w:pPr>
        <w:pStyle w:val="FirstParagraph"/>
      </w:pPr>
      <w:r>
        <w:t xml:space="preserve">The following jurisdictions provide relevant models for adapting CII frameworks to developing country contexts:</w:t>
      </w:r>
    </w:p>
    <w:p>
      <w:r>
        <w:pict>
          <v:rect style="width:0;height:1.5pt" o:hralign="center" o:hrstd="t" o:hr="t"/>
        </w:pict>
      </w:r>
    </w:p>
    <w:bookmarkStart w:id="400" w:name="X2e1681321a5f3652095ee15356a57b1f76ec462"/>
    <w:p>
      <w:pPr>
        <w:pStyle w:val="Heading4"/>
      </w:pPr>
      <w:r>
        <w:t xml:space="preserve">A. China: Multi-Level Protection Scheme (MLPS) for Healthcare</w:t>
      </w:r>
    </w:p>
    <w:p>
      <w:pPr>
        <w:pStyle w:val="FirstParagraph"/>
      </w:pPr>
      <w:r>
        <w:rPr>
          <w:b/>
          <w:bCs/>
        </w:rPr>
        <w:t xml:space="preserve">Key Features:</w:t>
      </w:r>
      <w:r>
        <w:t xml:space="preserve"> </w:t>
      </w:r>
      <w:r>
        <w:t xml:space="preserve">-</w:t>
      </w:r>
      <w:r>
        <w:t xml:space="preserve"> </w:t>
      </w:r>
      <w:r>
        <w:rPr>
          <w:b/>
          <w:bCs/>
        </w:rPr>
        <w:t xml:space="preserve">Five-tier grading system</w:t>
      </w:r>
      <w:r>
        <w:t xml:space="preserve"> </w:t>
      </w:r>
      <w:r>
        <w:t xml:space="preserve">(Levels 1-5) applied to all network information systems</w:t>
      </w:r>
      <w:r>
        <w:t xml:space="preserve"> </w:t>
      </w:r>
      <w:r>
        <w:t xml:space="preserve">-</w:t>
      </w:r>
      <w:r>
        <w:t xml:space="preserve"> </w:t>
      </w:r>
      <w:r>
        <w:rPr>
          <w:b/>
          <w:bCs/>
        </w:rPr>
        <w:t xml:space="preserve">Explicit health-sector guidance</w:t>
      </w:r>
      <w:r>
        <w:t xml:space="preserve"> </w:t>
      </w:r>
      <w:r>
        <w:t xml:space="preserve">(2011 NHC directive) specifying which systems are</w:t>
      </w:r>
      <w:r>
        <w:t xml:space="preserve"> </w:t>
      </w:r>
      <w:r>
        <w:t xml:space="preserve">“≥ Level 3”</w:t>
      </w:r>
      <w:r>
        <w:t xml:space="preserve"> </w:t>
      </w:r>
      <w:r>
        <w:t xml:space="preserve">-</w:t>
      </w:r>
      <w:r>
        <w:t xml:space="preserve"> </w:t>
      </w:r>
      <w:r>
        <w:rPr>
          <w:b/>
          <w:bCs/>
        </w:rPr>
        <w:t xml:space="preserve">Party-state designation authority</w:t>
      </w:r>
      <w:r>
        <w:t xml:space="preserve"> </w:t>
      </w:r>
      <w:r>
        <w:t xml:space="preserve">rather than purely market-based self-assessment</w:t>
      </w:r>
    </w:p>
    <w:p>
      <w:pPr>
        <w:pStyle w:val="BodyText"/>
      </w:pPr>
      <w:r>
        <w:rPr>
          <w:b/>
          <w:bCs/>
        </w:rPr>
        <w:t xml:space="preserve">Systems Explicitly Designated Level 3+ (Health Sector):</w:t>
      </w:r>
    </w:p>
    <w:tbl>
      <w:tblPr>
        <w:tblStyle w:val="Table"/>
        <w:tblW w:type="pct" w:w="5000"/>
        <w:tblLayout w:type="fixed"/>
        <w:tblLook w:firstRow="1" w:lastRow="0" w:firstColumn="0" w:lastColumn="0" w:noHBand="0" w:noVBand="0" w:val="0020"/>
      </w:tblPr>
      <w:tblGrid>
        <w:gridCol w:w="3813"/>
        <w:gridCol w:w="2053"/>
        <w:gridCol w:w="2053"/>
      </w:tblGrid>
      <w:tr>
        <w:trPr>
          <w:tblHeader w:val="on"/>
        </w:trPr>
        <w:tc>
          <w:tcPr/>
          <w:p>
            <w:pPr>
              <w:pStyle w:val="Compact"/>
              <w:jc w:val="left"/>
            </w:pPr>
            <w:r>
              <w:t xml:space="preserve">System Type</w:t>
            </w:r>
          </w:p>
        </w:tc>
        <w:tc>
          <w:tcPr/>
          <w:p>
            <w:pPr>
              <w:pStyle w:val="Compact"/>
              <w:jc w:val="left"/>
            </w:pPr>
            <w:r>
              <w:t xml:space="preserve">Level</w:t>
            </w:r>
          </w:p>
        </w:tc>
        <w:tc>
          <w:tcPr/>
          <w:p>
            <w:pPr>
              <w:pStyle w:val="Compact"/>
              <w:jc w:val="left"/>
            </w:pPr>
            <w:r>
              <w:t xml:space="preserve">Scope</w:t>
            </w:r>
          </w:p>
        </w:tc>
      </w:tr>
      <w:tr>
        <w:tc>
          <w:tcPr/>
          <w:p>
            <w:pPr>
              <w:pStyle w:val="Compact"/>
              <w:jc w:val="left"/>
            </w:pPr>
            <w:r>
              <w:t xml:space="preserve">Cross-province national networked systems (infectious disease reporting, health statistics)</w:t>
            </w:r>
          </w:p>
        </w:tc>
        <w:tc>
          <w:tcPr/>
          <w:p>
            <w:pPr>
              <w:pStyle w:val="Compact"/>
              <w:jc w:val="left"/>
            </w:pPr>
            <w:r>
              <w:t xml:space="preserve">≥3</w:t>
            </w:r>
          </w:p>
        </w:tc>
        <w:tc>
          <w:tcPr/>
          <w:p>
            <w:pPr>
              <w:pStyle w:val="Compact"/>
              <w:jc w:val="left"/>
            </w:pPr>
            <w:r>
              <w:t xml:space="preserve">National</w:t>
            </w:r>
          </w:p>
        </w:tc>
      </w:tr>
      <w:tr>
        <w:tc>
          <w:tcPr/>
          <w:p>
            <w:pPr>
              <w:pStyle w:val="Compact"/>
              <w:jc w:val="left"/>
            </w:pPr>
            <w:r>
              <w:t xml:space="preserve">National/provincial/municipal health information platforms</w:t>
            </w:r>
          </w:p>
        </w:tc>
        <w:tc>
          <w:tcPr/>
          <w:p>
            <w:pPr>
              <w:pStyle w:val="Compact"/>
              <w:jc w:val="left"/>
            </w:pPr>
            <w:r>
              <w:t xml:space="preserve">≥3</w:t>
            </w:r>
          </w:p>
        </w:tc>
        <w:tc>
          <w:tcPr/>
          <w:p>
            <w:pPr>
              <w:pStyle w:val="Compact"/>
              <w:jc w:val="left"/>
            </w:pPr>
            <w:r>
              <w:t xml:space="preserve">National/Provincial</w:t>
            </w:r>
          </w:p>
        </w:tc>
      </w:tr>
      <w:tr>
        <w:tc>
          <w:tcPr/>
          <w:p>
            <w:pPr>
              <w:pStyle w:val="Compact"/>
              <w:jc w:val="left"/>
            </w:pPr>
            <w:r>
              <w:t xml:space="preserve">Core business information systems of</w:t>
            </w:r>
            <w:r>
              <w:t xml:space="preserve"> </w:t>
            </w:r>
            <w:r>
              <w:rPr>
                <w:b/>
                <w:bCs/>
              </w:rPr>
              <w:t xml:space="preserve">Class III Grade A hospitals</w:t>
            </w:r>
            <w:r>
              <w:t xml:space="preserve"> </w:t>
            </w:r>
            <w:r>
              <w:rPr>
                <w:rFonts w:hint="eastAsia"/>
              </w:rPr>
              <w:t xml:space="preserve">(三级甲等医院)</w:t>
            </w:r>
          </w:p>
        </w:tc>
        <w:tc>
          <w:tcPr/>
          <w:p>
            <w:pPr>
              <w:pStyle w:val="Compact"/>
              <w:jc w:val="left"/>
            </w:pPr>
            <w:r>
              <w:t xml:space="preserve">≥3</w:t>
            </w:r>
          </w:p>
        </w:tc>
        <w:tc>
          <w:tcPr/>
          <w:p>
            <w:pPr>
              <w:pStyle w:val="Compact"/>
              <w:jc w:val="left"/>
            </w:pPr>
            <w:r>
              <w:t xml:space="preserve">Major tertiary hospitals</w:t>
            </w:r>
          </w:p>
        </w:tc>
      </w:tr>
      <w:tr>
        <w:tc>
          <w:tcPr/>
          <w:p>
            <w:pPr>
              <w:pStyle w:val="Compact"/>
              <w:jc w:val="left"/>
            </w:pPr>
            <w:r>
              <w:t xml:space="preserve">New Rural Cooperative Medical Scheme (NRCMS) systems</w:t>
            </w:r>
          </w:p>
        </w:tc>
        <w:tc>
          <w:tcPr/>
          <w:p>
            <w:pPr>
              <w:pStyle w:val="Compact"/>
              <w:jc w:val="left"/>
            </w:pPr>
            <w:r>
              <w:t xml:space="preserve">≥3</w:t>
            </w:r>
          </w:p>
        </w:tc>
        <w:tc>
          <w:tcPr/>
          <w:p>
            <w:pPr>
              <w:pStyle w:val="Compact"/>
              <w:jc w:val="left"/>
            </w:pPr>
            <w:r>
              <w:t xml:space="preserve">National</w:t>
            </w:r>
          </w:p>
        </w:tc>
      </w:tr>
      <w:tr>
        <w:tc>
          <w:tcPr/>
          <w:p>
            <w:pPr>
              <w:pStyle w:val="Compact"/>
              <w:jc w:val="left"/>
            </w:pPr>
            <w:r>
              <w:t xml:space="preserve">Health supervision and maternal &amp; child health registries</w:t>
            </w:r>
          </w:p>
        </w:tc>
        <w:tc>
          <w:tcPr/>
          <w:p>
            <w:pPr>
              <w:pStyle w:val="Compact"/>
              <w:jc w:val="left"/>
            </w:pPr>
            <w:r>
              <w:t xml:space="preserve">≥3</w:t>
            </w:r>
          </w:p>
        </w:tc>
        <w:tc>
          <w:tcPr/>
          <w:p>
            <w:pPr>
              <w:pStyle w:val="Compact"/>
              <w:jc w:val="left"/>
            </w:pPr>
            <w:r>
              <w:t xml:space="preserve">National</w:t>
            </w:r>
          </w:p>
        </w:tc>
      </w:tr>
    </w:tbl>
    <w:p>
      <w:pPr>
        <w:pStyle w:val="BodyText"/>
      </w:pPr>
      <w:r>
        <w:rPr>
          <w:b/>
          <w:bCs/>
        </w:rPr>
        <w:t xml:space="preserve">Relevance for India:</w:t>
      </w:r>
      <w:r>
        <w:t xml:space="preserve"> </w:t>
      </w:r>
      <w:r>
        <w:t xml:space="preserve">- China’s</w:t>
      </w:r>
      <w:r>
        <w:t xml:space="preserve"> </w:t>
      </w:r>
      <w:r>
        <w:t xml:space="preserve">“Class III Grade A”</w:t>
      </w:r>
      <w:r>
        <w:t xml:space="preserve"> </w:t>
      </w:r>
      <w:r>
        <w:t xml:space="preserve">hospital threshold is conceptually similar to India’s</w:t>
      </w:r>
      <w:r>
        <w:t xml:space="preserve"> </w:t>
      </w:r>
      <w:r>
        <w:rPr>
          <w:b/>
          <w:bCs/>
        </w:rPr>
        <w:t xml:space="preserve">AIIMS/major government medical college</w:t>
      </w:r>
      <w:r>
        <w:t xml:space="preserve"> </w:t>
      </w:r>
      <w:r>
        <w:t xml:space="preserve">tier</w:t>
      </w:r>
      <w:r>
        <w:t xml:space="preserve"> </w:t>
      </w:r>
      <w:r>
        <w:t xml:space="preserve">- The MLPS</w:t>
      </w:r>
      <w:r>
        <w:t xml:space="preserve"> </w:t>
      </w:r>
      <w:r>
        <w:rPr>
          <w:b/>
          <w:bCs/>
        </w:rPr>
        <w:t xml:space="preserve">annual evaluation requirement</w:t>
      </w:r>
      <w:r>
        <w:t xml:space="preserve"> </w:t>
      </w:r>
      <w:r>
        <w:t xml:space="preserve">for Level 3+ systems could inform India’s audit approach</w:t>
      </w:r>
      <w:r>
        <w:t xml:space="preserve"> </w:t>
      </w:r>
      <w:r>
        <w:t xml:space="preserve">- Focus on</w:t>
      </w:r>
      <w:r>
        <w:t xml:space="preserve"> </w:t>
      </w:r>
      <w:r>
        <w:rPr>
          <w:b/>
          <w:bCs/>
        </w:rPr>
        <w:t xml:space="preserve">public health surveillance systems</w:t>
      </w:r>
      <w:r>
        <w:t xml:space="preserve"> </w:t>
      </w:r>
      <w:r>
        <w:t xml:space="preserve">as automatic high-tier matches India’s IHIP context</w:t>
      </w:r>
    </w:p>
    <w:p>
      <w:r>
        <w:pict>
          <v:rect style="width:0;height:1.5pt" o:hralign="center" o:hrstd="t" o:hr="t"/>
        </w:pict>
      </w:r>
    </w:p>
    <w:bookmarkEnd w:id="400"/>
    <w:bookmarkStart w:id="401" w:name="b.-thailand-public-health-as-cii-sector"/>
    <w:p>
      <w:pPr>
        <w:pStyle w:val="Heading4"/>
      </w:pPr>
      <w:r>
        <w:t xml:space="preserve">B. Thailand: Public Health as CII Sector</w:t>
      </w:r>
    </w:p>
    <w:p>
      <w:pPr>
        <w:pStyle w:val="FirstParagraph"/>
      </w:pPr>
      <w:r>
        <w:rPr>
          <w:b/>
          <w:bCs/>
        </w:rPr>
        <w:t xml:space="preserve">Key Features:</w:t>
      </w:r>
      <w:r>
        <w:t xml:space="preserve"> </w:t>
      </w:r>
      <w:r>
        <w:t xml:space="preserve">-</w:t>
      </w:r>
      <w:r>
        <w:t xml:space="preserve"> </w:t>
      </w:r>
      <w:r>
        <w:rPr>
          <w:b/>
          <w:bCs/>
        </w:rPr>
        <w:t xml:space="preserve">Cybersecurity Act B.E. 2562 (2019)</w:t>
      </w:r>
      <w:r>
        <w:t xml:space="preserve"> </w:t>
      </w:r>
      <w:r>
        <w:t xml:space="preserve">explicitly includes</w:t>
      </w:r>
      <w:r>
        <w:t xml:space="preserve"> </w:t>
      </w:r>
      <w:r>
        <w:rPr>
          <w:b/>
          <w:bCs/>
        </w:rPr>
        <w:t xml:space="preserve">“Public Health”</w:t>
      </w:r>
      <w:r>
        <w:t xml:space="preserve"> </w:t>
      </w:r>
      <w:r>
        <w:t xml:space="preserve">as a CII sector (Section 49)</w:t>
      </w:r>
      <w:r>
        <w:t xml:space="preserve"> </w:t>
      </w:r>
      <w:r>
        <w:t xml:space="preserve">-</w:t>
      </w:r>
      <w:r>
        <w:t xml:space="preserve"> </w:t>
      </w:r>
      <w:r>
        <w:rPr>
          <w:b/>
          <w:bCs/>
        </w:rPr>
        <w:t xml:space="preserve">Committee-based designation</w:t>
      </w:r>
      <w:r>
        <w:t xml:space="preserve"> </w:t>
      </w:r>
      <w:r>
        <w:t xml:space="preserve">(case-by-case review by NCSC Committee)</w:t>
      </w:r>
      <w:r>
        <w:t xml:space="preserve"> </w:t>
      </w:r>
      <w:r>
        <w:t xml:space="preserve">-</w:t>
      </w:r>
      <w:r>
        <w:t xml:space="preserve"> </w:t>
      </w:r>
      <w:r>
        <w:rPr>
          <w:b/>
          <w:bCs/>
        </w:rPr>
        <w:t xml:space="preserve">Three cyber threat levels</w:t>
      </w:r>
      <w:r>
        <w:t xml:space="preserve"> </w:t>
      </w:r>
      <w:r>
        <w:t xml:space="preserve">(non-critical / critical / crisis) with</w:t>
      </w:r>
      <w:r>
        <w:t xml:space="preserve"> </w:t>
      </w:r>
      <w:r>
        <w:t xml:space="preserve">“public health”</w:t>
      </w:r>
      <w:r>
        <w:t xml:space="preserve"> </w:t>
      </w:r>
      <w:r>
        <w:t xml:space="preserve">explicitly referenced in</w:t>
      </w:r>
      <w:r>
        <w:t xml:space="preserve"> </w:t>
      </w:r>
      <w:r>
        <w:t xml:space="preserve">“critical level”</w:t>
      </w:r>
      <w:r>
        <w:t xml:space="preserve"> </w:t>
      </w:r>
      <w:r>
        <w:t xml:space="preserve">definition</w:t>
      </w:r>
      <w:r>
        <w:t xml:space="preserve"> </w:t>
      </w:r>
      <w:r>
        <w:t xml:space="preserve">-</w:t>
      </w:r>
      <w:r>
        <w:t xml:space="preserve"> </w:t>
      </w:r>
      <w:r>
        <w:rPr>
          <w:b/>
          <w:bCs/>
        </w:rPr>
        <w:t xml:space="preserve">September 2025 CII List Revision</w:t>
      </w:r>
      <w:r>
        <w:t xml:space="preserve"> </w:t>
      </w:r>
      <w:r>
        <w:t xml:space="preserve">updated health sector designations</w:t>
      </w:r>
    </w:p>
    <w:p>
      <w:pPr>
        <w:pStyle w:val="BodyText"/>
      </w:pPr>
      <w:r>
        <w:rPr>
          <w:b/>
          <w:bCs/>
        </w:rPr>
        <w:t xml:space="preserve">Designation Mechanism:</w:t>
      </w:r>
    </w:p>
    <w:tbl>
      <w:tblPr>
        <w:tblStyle w:val="Table"/>
        <w:tblW w:type="pct" w:w="5000"/>
        <w:tblLayout w:type="fixed"/>
        <w:tblLook w:firstRow="1" w:lastRow="0" w:firstColumn="0" w:lastColumn="0" w:noHBand="0" w:noVBand="0" w:val="0020"/>
      </w:tblPr>
      <w:tblGrid>
        <w:gridCol w:w="1657"/>
        <w:gridCol w:w="3499"/>
        <w:gridCol w:w="2762"/>
      </w:tblGrid>
      <w:tr>
        <w:trPr>
          <w:tblHeader w:val="on"/>
        </w:trPr>
        <w:tc>
          <w:tcPr/>
          <w:p>
            <w:pPr>
              <w:pStyle w:val="Compact"/>
              <w:jc w:val="left"/>
            </w:pPr>
            <w:r>
              <w:t xml:space="preserve">Element</w:t>
            </w:r>
          </w:p>
        </w:tc>
        <w:tc>
          <w:tcPr/>
          <w:p>
            <w:pPr>
              <w:pStyle w:val="Compact"/>
              <w:jc w:val="left"/>
            </w:pPr>
            <w:r>
              <w:t xml:space="preserve">Thailand Approach</w:t>
            </w:r>
          </w:p>
        </w:tc>
        <w:tc>
          <w:tcPr/>
          <w:p>
            <w:pPr>
              <w:pStyle w:val="Compact"/>
              <w:jc w:val="left"/>
            </w:pPr>
            <w:r>
              <w:t xml:space="preserve">Applicability</w:t>
            </w:r>
          </w:p>
        </w:tc>
      </w:tr>
      <w:tr>
        <w:tc>
          <w:tcPr/>
          <w:p>
            <w:pPr>
              <w:pStyle w:val="Compact"/>
              <w:jc w:val="left"/>
            </w:pPr>
            <w:r>
              <w:rPr>
                <w:b/>
                <w:bCs/>
              </w:rPr>
              <w:t xml:space="preserve">Sector trigger</w:t>
            </w:r>
          </w:p>
        </w:tc>
        <w:tc>
          <w:tcPr/>
          <w:p>
            <w:pPr>
              <w:pStyle w:val="Compact"/>
              <w:jc w:val="left"/>
            </w:pPr>
            <w:r>
              <w:t xml:space="preserve">“Public health”</w:t>
            </w:r>
            <w:r>
              <w:t xml:space="preserve"> </w:t>
            </w:r>
            <w:r>
              <w:t xml:space="preserve">listed in Section 49 aspects</w:t>
            </w:r>
          </w:p>
        </w:tc>
        <w:tc>
          <w:tcPr/>
          <w:p>
            <w:pPr>
              <w:pStyle w:val="Compact"/>
              <w:jc w:val="left"/>
            </w:pPr>
            <w:r>
              <w:t xml:space="preserve">Qualitative, broad</w:t>
            </w:r>
          </w:p>
        </w:tc>
      </w:tr>
      <w:tr>
        <w:tc>
          <w:tcPr/>
          <w:p>
            <w:pPr>
              <w:pStyle w:val="Compact"/>
              <w:jc w:val="left"/>
            </w:pPr>
            <w:r>
              <w:rPr>
                <w:b/>
                <w:bCs/>
              </w:rPr>
              <w:t xml:space="preserve">Designation process</w:t>
            </w:r>
          </w:p>
        </w:tc>
        <w:tc>
          <w:tcPr/>
          <w:p>
            <w:pPr>
              <w:pStyle w:val="Compact"/>
              <w:jc w:val="left"/>
            </w:pPr>
            <w:r>
              <w:t xml:space="preserve">Committee notification → case-by-case review → Government Gazette publication</w:t>
            </w:r>
          </w:p>
        </w:tc>
        <w:tc>
          <w:tcPr/>
          <w:p>
            <w:pPr>
              <w:pStyle w:val="Compact"/>
              <w:jc w:val="left"/>
            </w:pPr>
            <w:r>
              <w:t xml:space="preserve">Administrative discretion</w:t>
            </w:r>
          </w:p>
        </w:tc>
      </w:tr>
      <w:tr>
        <w:tc>
          <w:tcPr/>
          <w:p>
            <w:pPr>
              <w:pStyle w:val="Compact"/>
              <w:jc w:val="left"/>
            </w:pPr>
            <w:r>
              <w:rPr>
                <w:b/>
                <w:bCs/>
              </w:rPr>
              <w:t xml:space="preserve">No numeric thresholds</w:t>
            </w:r>
          </w:p>
        </w:tc>
        <w:tc>
          <w:tcPr/>
          <w:p>
            <w:pPr>
              <w:pStyle w:val="Compact"/>
              <w:jc w:val="left"/>
            </w:pPr>
            <w:r>
              <w:t xml:space="preserve">Qualitative (</w:t>
            </w:r>
            <w:r>
              <w:t xml:space="preserve">“maintaining national security, public security, national economic security”</w:t>
            </w:r>
            <w:r>
              <w:t xml:space="preserve">)</w:t>
            </w:r>
          </w:p>
        </w:tc>
        <w:tc>
          <w:tcPr/>
          <w:p>
            <w:pPr>
              <w:pStyle w:val="Compact"/>
              <w:jc w:val="left"/>
            </w:pPr>
            <w:r>
              <w:t xml:space="preserve">Flexible for diverse health system</w:t>
            </w:r>
          </w:p>
        </w:tc>
      </w:tr>
      <w:tr>
        <w:tc>
          <w:tcPr/>
          <w:p>
            <w:pPr>
              <w:pStyle w:val="Compact"/>
              <w:jc w:val="left"/>
            </w:pPr>
            <w:r>
              <w:rPr>
                <w:b/>
                <w:bCs/>
              </w:rPr>
              <w:t xml:space="preserve">Annual assessment</w:t>
            </w:r>
          </w:p>
        </w:tc>
        <w:tc>
          <w:tcPr/>
          <w:p>
            <w:pPr>
              <w:pStyle w:val="Compact"/>
              <w:jc w:val="left"/>
            </w:pPr>
            <w:r>
              <w:t xml:space="preserve">Risk assessment + examination at least once per year</w:t>
            </w:r>
          </w:p>
        </w:tc>
        <w:tc>
          <w:tcPr/>
          <w:p>
            <w:pPr>
              <w:pStyle w:val="Compact"/>
              <w:jc w:val="left"/>
            </w:pPr>
            <w:r>
              <w:t xml:space="preserve">Realistic for developing context</w:t>
            </w:r>
          </w:p>
        </w:tc>
      </w:tr>
      <w:tr>
        <w:tc>
          <w:tcPr/>
          <w:p>
            <w:pPr>
              <w:pStyle w:val="Compact"/>
              <w:jc w:val="left"/>
            </w:pPr>
            <w:r>
              <w:rPr>
                <w:b/>
                <w:bCs/>
              </w:rPr>
              <w:t xml:space="preserve">Penalty</w:t>
            </w:r>
          </w:p>
        </w:tc>
        <w:tc>
          <w:tcPr/>
          <w:p>
            <w:pPr>
              <w:pStyle w:val="Compact"/>
              <w:jc w:val="left"/>
            </w:pPr>
            <w:r>
              <w:t xml:space="preserve">฿200,000 fine for non-reporting (modest by global standards)</w:t>
            </w:r>
          </w:p>
        </w:tc>
        <w:tc>
          <w:tcPr/>
          <w:p>
            <w:pPr>
              <w:pStyle w:val="Compact"/>
              <w:jc w:val="left"/>
            </w:pPr>
            <w:r>
              <w:t xml:space="preserve">Proportionate</w:t>
            </w:r>
          </w:p>
        </w:tc>
      </w:tr>
    </w:tbl>
    <w:p>
      <w:pPr>
        <w:pStyle w:val="BodyText"/>
      </w:pPr>
      <w:r>
        <w:rPr>
          <w:b/>
          <w:bCs/>
        </w:rPr>
        <w:t xml:space="preserve">Relevance for India:</w:t>
      </w:r>
      <w:r>
        <w:t xml:space="preserve"> </w:t>
      </w:r>
      <w:r>
        <w:t xml:space="preserve">- Thailand’s</w:t>
      </w:r>
      <w:r>
        <w:t xml:space="preserve"> </w:t>
      </w:r>
      <w:r>
        <w:rPr>
          <w:b/>
          <w:bCs/>
        </w:rPr>
        <w:t xml:space="preserve">qualitative designation</w:t>
      </w:r>
      <w:r>
        <w:t xml:space="preserve"> </w:t>
      </w:r>
      <w:r>
        <w:t xml:space="preserve">with committee discretion suits contexts where quantitative data is unreliable</w:t>
      </w:r>
      <w:r>
        <w:t xml:space="preserve"> </w:t>
      </w:r>
      <w:r>
        <w:t xml:space="preserve">-</w:t>
      </w:r>
      <w:r>
        <w:t xml:space="preserve"> </w:t>
      </w:r>
      <w:r>
        <w:rPr>
          <w:b/>
          <w:bCs/>
        </w:rPr>
        <w:t xml:space="preserve">Annual assessment</w:t>
      </w:r>
      <w:r>
        <w:t xml:space="preserve"> </w:t>
      </w:r>
      <w:r>
        <w:t xml:space="preserve">(not biennial) is achievable for high-tier facilities</w:t>
      </w:r>
      <w:r>
        <w:t xml:space="preserve"> </w:t>
      </w:r>
      <w:r>
        <w:t xml:space="preserve">-</w:t>
      </w:r>
      <w:r>
        <w:t xml:space="preserve"> </w:t>
      </w:r>
      <w:r>
        <w:rPr>
          <w:b/>
          <w:bCs/>
        </w:rPr>
        <w:t xml:space="preserve">Modest penalties</w:t>
      </w:r>
      <w:r>
        <w:t xml:space="preserve"> </w:t>
      </w:r>
      <w:r>
        <w:t xml:space="preserve">more appropriate than EU-style €10M fines for public-sector hospitals</w:t>
      </w:r>
    </w:p>
    <w:p>
      <w:r>
        <w:pict>
          <v:rect style="width:0;height:1.5pt" o:hralign="center" o:hrstd="t" o:hr="t"/>
        </w:pict>
      </w:r>
    </w:p>
    <w:bookmarkEnd w:id="401"/>
    <w:bookmarkStart w:id="402" w:name="Xdffc5a27a5f39bcb8d9c2a7ca2deb060d851e31"/>
    <w:p>
      <w:pPr>
        <w:pStyle w:val="Heading4"/>
      </w:pPr>
      <w:r>
        <w:t xml:space="preserve">C. Malaysia: National Critical Information Infrastructure (NCII)</w:t>
      </w:r>
    </w:p>
    <w:p>
      <w:pPr>
        <w:pStyle w:val="FirstParagraph"/>
      </w:pPr>
      <w:r>
        <w:rPr>
          <w:b/>
          <w:bCs/>
        </w:rPr>
        <w:t xml:space="preserve">Key Features:</w:t>
      </w:r>
      <w:r>
        <w:t xml:space="preserve"> </w:t>
      </w:r>
      <w:r>
        <w:t xml:space="preserve">-</w:t>
      </w:r>
      <w:r>
        <w:t xml:space="preserve"> </w:t>
      </w:r>
      <w:r>
        <w:rPr>
          <w:b/>
          <w:bCs/>
        </w:rPr>
        <w:t xml:space="preserve">NACSA (National Cyber Security Agency)</w:t>
      </w:r>
      <w:r>
        <w:t xml:space="preserve"> </w:t>
      </w:r>
      <w:r>
        <w:t xml:space="preserve">lists</w:t>
      </w:r>
      <w:r>
        <w:t xml:space="preserve"> </w:t>
      </w:r>
      <w:r>
        <w:rPr>
          <w:b/>
          <w:bCs/>
        </w:rPr>
        <w:t xml:space="preserve">“Healthcare Services”</w:t>
      </w:r>
      <w:r>
        <w:t xml:space="preserve"> </w:t>
      </w:r>
      <w:r>
        <w:t xml:space="preserve">as an NCII sector</w:t>
      </w:r>
      <w:r>
        <w:t xml:space="preserve"> </w:t>
      </w:r>
      <w:r>
        <w:t xml:space="preserve">-</w:t>
      </w:r>
      <w:r>
        <w:t xml:space="preserve"> </w:t>
      </w:r>
      <w:r>
        <w:rPr>
          <w:b/>
          <w:bCs/>
        </w:rPr>
        <w:t xml:space="preserve">Sector-based approach</w:t>
      </w:r>
      <w:r>
        <w:t xml:space="preserve"> </w:t>
      </w:r>
      <w:r>
        <w:t xml:space="preserve">with sector leads responsible for designation</w:t>
      </w:r>
      <w:r>
        <w:t xml:space="preserve"> </w:t>
      </w:r>
      <w:r>
        <w:t xml:space="preserve">- Part of broader</w:t>
      </w:r>
      <w:r>
        <w:t xml:space="preserve"> </w:t>
      </w:r>
      <w:r>
        <w:rPr>
          <w:b/>
          <w:bCs/>
        </w:rPr>
        <w:t xml:space="preserve">11-sector NCII framework</w:t>
      </w:r>
    </w:p>
    <w:p>
      <w:pPr>
        <w:pStyle w:val="BodyText"/>
      </w:pPr>
      <w:r>
        <w:rPr>
          <w:b/>
          <w:bCs/>
        </w:rPr>
        <w:t xml:space="preserve">Model Elements: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Malaysia Approach</w:t>
            </w:r>
          </w:p>
        </w:tc>
      </w:tr>
      <w:tr>
        <w:tc>
          <w:tcPr/>
          <w:p>
            <w:pPr>
              <w:pStyle w:val="Compact"/>
              <w:jc w:val="left"/>
            </w:pPr>
            <w:r>
              <w:rPr>
                <w:b/>
                <w:bCs/>
              </w:rPr>
              <w:t xml:space="preserve">Governing body</w:t>
            </w:r>
          </w:p>
        </w:tc>
        <w:tc>
          <w:tcPr/>
          <w:p>
            <w:pPr>
              <w:pStyle w:val="Compact"/>
              <w:jc w:val="left"/>
            </w:pPr>
            <w:r>
              <w:t xml:space="preserve">NACSA (centralized coordination)</w:t>
            </w:r>
          </w:p>
        </w:tc>
      </w:tr>
      <w:tr>
        <w:tc>
          <w:tcPr/>
          <w:p>
            <w:pPr>
              <w:pStyle w:val="Compact"/>
              <w:jc w:val="left"/>
            </w:pPr>
            <w:r>
              <w:rPr>
                <w:b/>
                <w:bCs/>
              </w:rPr>
              <w:t xml:space="preserve">Sector implementation</w:t>
            </w:r>
          </w:p>
        </w:tc>
        <w:tc>
          <w:tcPr/>
          <w:p>
            <w:pPr>
              <w:pStyle w:val="Compact"/>
              <w:jc w:val="left"/>
            </w:pPr>
            <w:r>
              <w:t xml:space="preserve">Ministry of Health as sector lead</w:t>
            </w:r>
          </w:p>
        </w:tc>
      </w:tr>
      <w:tr>
        <w:tc>
          <w:tcPr/>
          <w:p>
            <w:pPr>
              <w:pStyle w:val="Compact"/>
              <w:jc w:val="left"/>
            </w:pPr>
            <w:r>
              <w:rPr>
                <w:b/>
                <w:bCs/>
              </w:rPr>
              <w:t xml:space="preserve">Scope</w:t>
            </w:r>
          </w:p>
        </w:tc>
        <w:tc>
          <w:tcPr/>
          <w:p>
            <w:pPr>
              <w:pStyle w:val="Compact"/>
              <w:jc w:val="left"/>
            </w:pPr>
            <w:r>
              <w:t xml:space="preserve">Hospitals, clinics, public health agencies</w:t>
            </w:r>
          </w:p>
        </w:tc>
      </w:tr>
      <w:tr>
        <w:tc>
          <w:tcPr/>
          <w:p>
            <w:pPr>
              <w:pStyle w:val="Compact"/>
              <w:jc w:val="left"/>
            </w:pPr>
            <w:r>
              <w:rPr>
                <w:b/>
                <w:bCs/>
              </w:rPr>
              <w:t xml:space="preserve">Reporting</w:t>
            </w:r>
          </w:p>
        </w:tc>
        <w:tc>
          <w:tcPr/>
          <w:p>
            <w:pPr>
              <w:pStyle w:val="Compact"/>
              <w:jc w:val="left"/>
            </w:pPr>
            <w:r>
              <w:t xml:space="preserve">Incident reporting to sector regulator → NACSA</w:t>
            </w:r>
          </w:p>
        </w:tc>
      </w:tr>
    </w:tbl>
    <w:p>
      <w:pPr>
        <w:pStyle w:val="BodyText"/>
      </w:pPr>
      <w:r>
        <w:rPr>
          <w:b/>
          <w:bCs/>
        </w:rPr>
        <w:t xml:space="preserve">Relevance for India:</w:t>
      </w:r>
      <w:r>
        <w:t xml:space="preserve"> </w:t>
      </w:r>
      <w:r>
        <w:t xml:space="preserve">- Malaysia’s</w:t>
      </w:r>
      <w:r>
        <w:t xml:space="preserve"> </w:t>
      </w:r>
      <w:r>
        <w:rPr>
          <w:b/>
          <w:bCs/>
        </w:rPr>
        <w:t xml:space="preserve">sector lead model</w:t>
      </w:r>
      <w:r>
        <w:t xml:space="preserve"> </w:t>
      </w:r>
      <w:r>
        <w:t xml:space="preserve">(health ministry coordination with central cyber agency) aligns with India’s potential MoHFW + CERT-In + NCIIPC structure</w:t>
      </w:r>
      <w:r>
        <w:t xml:space="preserve"> </w:t>
      </w:r>
      <w:r>
        <w:t xml:space="preserve">- NACSA’s role as</w:t>
      </w:r>
      <w:r>
        <w:t xml:space="preserve"> </w:t>
      </w:r>
      <w:r>
        <w:rPr>
          <w:b/>
          <w:bCs/>
        </w:rPr>
        <w:t xml:space="preserve">coordinating body</w:t>
      </w:r>
      <w:r>
        <w:t xml:space="preserve"> </w:t>
      </w:r>
      <w:r>
        <w:t xml:space="preserve">(not sole designator) mirrors India’s federated model with state health departments</w:t>
      </w:r>
    </w:p>
    <w:p>
      <w:r>
        <w:pict>
          <v:rect style="width:0;height:1.5pt" o:hralign="center" o:hrstd="t" o:hr="t"/>
        </w:pict>
      </w:r>
    </w:p>
    <w:bookmarkEnd w:id="402"/>
    <w:bookmarkStart w:id="403" w:name="X3aded44e60f420282a16e438d5489f6c9592f40"/>
    <w:p>
      <w:pPr>
        <w:pStyle w:val="Heading4"/>
      </w:pPr>
      <w:r>
        <w:t xml:space="preserve">D. Indonesia: Vital Information Infrastructure (Perpres 82/2022)</w:t>
      </w:r>
    </w:p>
    <w:p>
      <w:pPr>
        <w:pStyle w:val="FirstParagraph"/>
      </w:pPr>
      <w:r>
        <w:rPr>
          <w:b/>
          <w:bCs/>
        </w:rPr>
        <w:t xml:space="preserve">Key Features:</w:t>
      </w:r>
      <w:r>
        <w:t xml:space="preserve"> </w:t>
      </w:r>
      <w:r>
        <w:t xml:space="preserve">-</w:t>
      </w:r>
      <w:r>
        <w:t xml:space="preserve"> </w:t>
      </w:r>
      <w:r>
        <w:rPr>
          <w:b/>
          <w:bCs/>
        </w:rPr>
        <w:t xml:space="preserve">Presidential Regulation 82/2022</w:t>
      </w:r>
      <w:r>
        <w:t xml:space="preserve"> </w:t>
      </w:r>
      <w:r>
        <w:t xml:space="preserve">establishes Vital Information Infrastructure protection</w:t>
      </w:r>
      <w:r>
        <w:t xml:space="preserve"> </w:t>
      </w:r>
      <w:r>
        <w:t xml:space="preserve">-</w:t>
      </w:r>
      <w:r>
        <w:t xml:space="preserve"> </w:t>
      </w:r>
      <w:r>
        <w:rPr>
          <w:b/>
          <w:bCs/>
        </w:rPr>
        <w:t xml:space="preserve">“Sektor Kesehatan”</w:t>
      </w:r>
      <w:r>
        <w:rPr>
          <w:b/>
          <w:bCs/>
        </w:rPr>
        <w:t xml:space="preserve"> </w:t>
      </w:r>
      <w:r>
        <w:rPr>
          <w:b/>
          <w:bCs/>
        </w:rPr>
        <w:t xml:space="preserve">(Health Sector)</w:t>
      </w:r>
      <w:r>
        <w:t xml:space="preserve"> </w:t>
      </w:r>
      <w:r>
        <w:t xml:space="preserve">explicitly listed as strategic sector</w:t>
      </w:r>
      <w:r>
        <w:t xml:space="preserve"> </w:t>
      </w:r>
      <w:r>
        <w:t xml:space="preserve">-</w:t>
      </w:r>
      <w:r>
        <w:t xml:space="preserve"> </w:t>
      </w:r>
      <w:r>
        <w:rPr>
          <w:b/>
          <w:bCs/>
        </w:rPr>
        <w:t xml:space="preserve">BSSN (National Cyber and Crypto Agency)</w:t>
      </w:r>
      <w:r>
        <w:t xml:space="preserve"> </w:t>
      </w:r>
      <w:r>
        <w:t xml:space="preserve">as coordinating regulator</w:t>
      </w:r>
    </w:p>
    <w:p>
      <w:pPr>
        <w:pStyle w:val="BodyText"/>
      </w:pPr>
      <w:r>
        <w:rPr>
          <w:b/>
          <w:bCs/>
        </w:rPr>
        <w:t xml:space="preserve">Framework Structure:</w:t>
      </w:r>
    </w:p>
    <w:tbl>
      <w:tblPr>
        <w:tblStyle w:val="Table"/>
        <w:tblW w:type="pct" w:w="5000"/>
        <w:tblLayout w:type="fixed"/>
        <w:tblLook w:firstRow="1" w:lastRow="0" w:firstColumn="0" w:lastColumn="0" w:noHBand="0" w:noVBand="0" w:val="0020"/>
      </w:tblPr>
      <w:tblGrid>
        <w:gridCol w:w="2545"/>
        <w:gridCol w:w="5374"/>
      </w:tblGrid>
      <w:tr>
        <w:trPr>
          <w:tblHeader w:val="on"/>
        </w:trPr>
        <w:tc>
          <w:tcPr/>
          <w:p>
            <w:pPr>
              <w:pStyle w:val="Compact"/>
              <w:jc w:val="left"/>
            </w:pPr>
            <w:r>
              <w:t xml:space="preserve">Element</w:t>
            </w:r>
          </w:p>
        </w:tc>
        <w:tc>
          <w:tcPr/>
          <w:p>
            <w:pPr>
              <w:pStyle w:val="Compact"/>
              <w:jc w:val="left"/>
            </w:pPr>
            <w:r>
              <w:t xml:space="preserve">Indonesia Approach</w:t>
            </w:r>
          </w:p>
        </w:tc>
      </w:tr>
      <w:tr>
        <w:tc>
          <w:tcPr/>
          <w:p>
            <w:pPr>
              <w:pStyle w:val="Compact"/>
              <w:jc w:val="left"/>
            </w:pPr>
            <w:r>
              <w:rPr>
                <w:b/>
                <w:bCs/>
              </w:rPr>
              <w:t xml:space="preserve">Legal basis</w:t>
            </w:r>
          </w:p>
        </w:tc>
        <w:tc>
          <w:tcPr/>
          <w:p>
            <w:pPr>
              <w:pStyle w:val="Compact"/>
              <w:jc w:val="left"/>
            </w:pPr>
            <w:r>
              <w:t xml:space="preserve">Presidential Regulation (Perpres) — fast executive action</w:t>
            </w:r>
          </w:p>
        </w:tc>
      </w:tr>
      <w:tr>
        <w:tc>
          <w:tcPr/>
          <w:p>
            <w:pPr>
              <w:pStyle w:val="Compact"/>
              <w:jc w:val="left"/>
            </w:pPr>
            <w:r>
              <w:rPr>
                <w:b/>
                <w:bCs/>
              </w:rPr>
              <w:t xml:space="preserve">Sector classification</w:t>
            </w:r>
          </w:p>
        </w:tc>
        <w:tc>
          <w:tcPr/>
          <w:p>
            <w:pPr>
              <w:pStyle w:val="Compact"/>
              <w:jc w:val="left"/>
            </w:pPr>
            <w:r>
              <w:t xml:space="preserve">Health listed among strategic sectors</w:t>
            </w:r>
          </w:p>
        </w:tc>
      </w:tr>
      <w:tr>
        <w:tc>
          <w:tcPr/>
          <w:p>
            <w:pPr>
              <w:pStyle w:val="Compact"/>
              <w:jc w:val="left"/>
            </w:pPr>
            <w:r>
              <w:rPr>
                <w:b/>
                <w:bCs/>
              </w:rPr>
              <w:t xml:space="preserve">Designation authority</w:t>
            </w:r>
          </w:p>
        </w:tc>
        <w:tc>
          <w:tcPr/>
          <w:p>
            <w:pPr>
              <w:pStyle w:val="Compact"/>
              <w:jc w:val="left"/>
            </w:pPr>
            <w:r>
              <w:t xml:space="preserve">Sector ministry with BSSN coordination</w:t>
            </w:r>
          </w:p>
        </w:tc>
      </w:tr>
      <w:tr>
        <w:tc>
          <w:tcPr/>
          <w:p>
            <w:pPr>
              <w:pStyle w:val="Compact"/>
              <w:jc w:val="left"/>
            </w:pPr>
            <w:r>
              <w:rPr>
                <w:b/>
                <w:bCs/>
              </w:rPr>
              <w:t xml:space="preserve">Implementation</w:t>
            </w:r>
          </w:p>
        </w:tc>
        <w:tc>
          <w:tcPr/>
          <w:p>
            <w:pPr>
              <w:pStyle w:val="Compact"/>
              <w:jc w:val="left"/>
            </w:pPr>
            <w:r>
              <w:t xml:space="preserve">Still developing detailed health-sector guidelines</w:t>
            </w:r>
          </w:p>
        </w:tc>
      </w:tr>
    </w:tbl>
    <w:p>
      <w:pPr>
        <w:pStyle w:val="BodyText"/>
      </w:pPr>
      <w:r>
        <w:rPr>
          <w:b/>
          <w:bCs/>
        </w:rPr>
        <w:t xml:space="preserve">Relevance for India:</w:t>
      </w:r>
      <w:r>
        <w:t xml:space="preserve"> </w:t>
      </w:r>
      <w:r>
        <w:t xml:space="preserve">- Indonesia’s use of</w:t>
      </w:r>
      <w:r>
        <w:t xml:space="preserve"> </w:t>
      </w:r>
      <w:r>
        <w:rPr>
          <w:b/>
          <w:bCs/>
        </w:rPr>
        <w:t xml:space="preserve">executive regulation</w:t>
      </w:r>
      <w:r>
        <w:t xml:space="preserve"> </w:t>
      </w:r>
      <w:r>
        <w:t xml:space="preserve">(Perpres) rather than primary legislation enables faster implementation</w:t>
      </w:r>
      <w:r>
        <w:t xml:space="preserve"> </w:t>
      </w:r>
      <w:r>
        <w:t xml:space="preserve">- Could inform India’s approach via</w:t>
      </w:r>
      <w:r>
        <w:t xml:space="preserve"> </w:t>
      </w:r>
      <w:r>
        <w:rPr>
          <w:b/>
          <w:bCs/>
        </w:rPr>
        <w:t xml:space="preserve">IT Act rules</w:t>
      </w:r>
      <w:r>
        <w:t xml:space="preserve"> </w:t>
      </w:r>
      <w:r>
        <w:t xml:space="preserve">or</w:t>
      </w:r>
      <w:r>
        <w:t xml:space="preserve"> </w:t>
      </w:r>
      <w:r>
        <w:rPr>
          <w:b/>
          <w:bCs/>
        </w:rPr>
        <w:t xml:space="preserve">DPDP Act rules</w:t>
      </w:r>
      <w:r>
        <w:t xml:space="preserve"> </w:t>
      </w:r>
      <w:r>
        <w:t xml:space="preserve">rather than new legislation</w:t>
      </w:r>
      <w:r>
        <w:t xml:space="preserve"> </w:t>
      </w:r>
      <w:r>
        <w:t xml:space="preserve">- Both countries share</w:t>
      </w:r>
      <w:r>
        <w:t xml:space="preserve"> </w:t>
      </w:r>
      <w:r>
        <w:rPr>
          <w:b/>
          <w:bCs/>
        </w:rPr>
        <w:t xml:space="preserve">archipelago/large-geography</w:t>
      </w:r>
      <w:r>
        <w:t xml:space="preserve"> </w:t>
      </w:r>
      <w:r>
        <w:t xml:space="preserve">challenges requiring offline-first system considerations</w:t>
      </w:r>
    </w:p>
    <w:p>
      <w:r>
        <w:pict>
          <v:rect style="width:0;height:1.5pt" o:hralign="center" o:hrstd="t" o:hr="t"/>
        </w:pict>
      </w:r>
    </w:p>
    <w:bookmarkEnd w:id="403"/>
    <w:bookmarkStart w:id="404" w:name="e.-ghana-african-model-for-health-cii"/>
    <w:p>
      <w:pPr>
        <w:pStyle w:val="Heading4"/>
      </w:pPr>
      <w:r>
        <w:t xml:space="preserve">E. Ghana: African Model for Health CII</w:t>
      </w:r>
    </w:p>
    <w:p>
      <w:pPr>
        <w:pStyle w:val="FirstParagraph"/>
      </w:pPr>
      <w:r>
        <w:rPr>
          <w:b/>
          <w:bCs/>
        </w:rPr>
        <w:t xml:space="preserve">Key Features:</w:t>
      </w:r>
      <w:r>
        <w:t xml:space="preserve"> </w:t>
      </w:r>
      <w:r>
        <w:t xml:space="preserve">-</w:t>
      </w:r>
      <w:r>
        <w:t xml:space="preserve"> </w:t>
      </w:r>
      <w:r>
        <w:rPr>
          <w:b/>
          <w:bCs/>
        </w:rPr>
        <w:t xml:space="preserve">Cyber Security Authority (CSA) directive</w:t>
      </w:r>
      <w:r>
        <w:t xml:space="preserve"> </w:t>
      </w:r>
      <w:r>
        <w:t xml:space="preserve">explicitly lists</w:t>
      </w:r>
      <w:r>
        <w:t xml:space="preserve"> </w:t>
      </w:r>
      <w:r>
        <w:rPr>
          <w:b/>
          <w:bCs/>
        </w:rPr>
        <w:t xml:space="preserve">“Health”</w:t>
      </w:r>
      <w:r>
        <w:t xml:space="preserve"> </w:t>
      </w:r>
      <w:r>
        <w:t xml:space="preserve">as a CII sector</w:t>
      </w:r>
      <w:r>
        <w:t xml:space="preserve"> </w:t>
      </w:r>
      <w:r>
        <w:t xml:space="preserve">- Part of</w:t>
      </w:r>
      <w:r>
        <w:t xml:space="preserve"> </w:t>
      </w:r>
      <w:r>
        <w:rPr>
          <w:b/>
          <w:bCs/>
        </w:rPr>
        <w:t xml:space="preserve">national CII protection framework</w:t>
      </w:r>
      <w:r>
        <w:t xml:space="preserve"> </w:t>
      </w:r>
      <w:r>
        <w:t xml:space="preserve">under Cybersecurity Act 2020</w:t>
      </w:r>
      <w:r>
        <w:t xml:space="preserve"> </w:t>
      </w:r>
      <w:r>
        <w:t xml:space="preserve">- Relatively early adopter in Sub-Saharan Africa</w:t>
      </w:r>
    </w:p>
    <w:p>
      <w:pPr>
        <w:pStyle w:val="BodyText"/>
      </w:pPr>
      <w:r>
        <w:rPr>
          <w:b/>
          <w:bCs/>
        </w:rPr>
        <w:t xml:space="preserve">Relevance for India:</w:t>
      </w:r>
      <w:r>
        <w:t xml:space="preserve"> </w:t>
      </w:r>
      <w:r>
        <w:t xml:space="preserve">- Demonstrates that</w:t>
      </w:r>
      <w:r>
        <w:t xml:space="preserve"> </w:t>
      </w:r>
      <w:r>
        <w:rPr>
          <w:b/>
          <w:bCs/>
        </w:rPr>
        <w:t xml:space="preserve">even resource-limited contexts</w:t>
      </w:r>
      <w:r>
        <w:t xml:space="preserve"> </w:t>
      </w:r>
      <w:r>
        <w:t xml:space="preserve">can establish explicit health CII frameworks</w:t>
      </w:r>
      <w:r>
        <w:t xml:space="preserve"> </w:t>
      </w:r>
      <w:r>
        <w:t xml:space="preserve">- Ghana’s approach emphasizes</w:t>
      </w:r>
      <w:r>
        <w:t xml:space="preserve"> </w:t>
      </w:r>
      <w:r>
        <w:rPr>
          <w:b/>
          <w:bCs/>
        </w:rPr>
        <w:t xml:space="preserve">sector listing first, detailed thresholds later</w:t>
      </w:r>
      <w:r>
        <w:t xml:space="preserve"> </w:t>
      </w:r>
      <w:r>
        <w:t xml:space="preserve">— incremental model</w:t>
      </w:r>
    </w:p>
    <w:p>
      <w:r>
        <w:pict>
          <v:rect style="width:0;height:1.5pt" o:hralign="center" o:hrstd="t" o:hr="t"/>
        </w:pict>
      </w:r>
    </w:p>
    <w:bookmarkEnd w:id="404"/>
    <w:bookmarkStart w:id="405" w:name="X8b4a7f7b283cf613a7577aeca4ab1101c84b487"/>
    <w:p>
      <w:pPr>
        <w:pStyle w:val="Heading4"/>
      </w:pPr>
      <w:r>
        <w:t xml:space="preserve">F. Kazakhstan / Kyrgyz Republic: Central Asian Models</w:t>
      </w:r>
    </w:p>
    <w:p>
      <w:pPr>
        <w:pStyle w:val="FirstParagraph"/>
      </w:pPr>
      <w:r>
        <w:rPr>
          <w:b/>
          <w:bCs/>
        </w:rPr>
        <w:t xml:space="preserve">Key Features:</w:t>
      </w:r>
      <w:r>
        <w:t xml:space="preserve"> </w:t>
      </w:r>
      <w:r>
        <w:t xml:space="preserve">- Both jurisdictions</w:t>
      </w:r>
      <w:r>
        <w:t xml:space="preserve"> </w:t>
      </w:r>
      <w:r>
        <w:rPr>
          <w:b/>
          <w:bCs/>
        </w:rPr>
        <w:t xml:space="preserve">explicitly include</w:t>
      </w:r>
      <w:r>
        <w:rPr>
          <w:b/>
          <w:bCs/>
        </w:rPr>
        <w:t xml:space="preserve"> </w:t>
      </w:r>
      <w:r>
        <w:rPr>
          <w:b/>
          <w:bCs/>
        </w:rPr>
        <w:t xml:space="preserve">“healthcare”</w:t>
      </w:r>
      <w:r>
        <w:t xml:space="preserve"> </w:t>
      </w:r>
      <w:r>
        <w:t xml:space="preserve">in their CII/CIIC definitions</w:t>
      </w:r>
      <w:r>
        <w:t xml:space="preserve"> </w:t>
      </w:r>
      <w:r>
        <w:t xml:space="preserve">-</w:t>
      </w:r>
      <w:r>
        <w:t xml:space="preserve"> </w:t>
      </w:r>
      <w:r>
        <w:rPr>
          <w:b/>
          <w:bCs/>
        </w:rPr>
        <w:t xml:space="preserve">Legal text definitions</w:t>
      </w:r>
      <w:r>
        <w:t xml:space="preserve"> </w:t>
      </w:r>
      <w:r>
        <w:t xml:space="preserve">rather than detailed implementation guidance</w:t>
      </w:r>
      <w:r>
        <w:t xml:space="preserve"> </w:t>
      </w:r>
      <w:r>
        <w:t xml:space="preserve">- Reflects</w:t>
      </w:r>
      <w:r>
        <w:t xml:space="preserve"> </w:t>
      </w:r>
      <w:r>
        <w:rPr>
          <w:b/>
          <w:bCs/>
        </w:rPr>
        <w:t xml:space="preserve">post-Soviet legal tradition</w:t>
      </w:r>
      <w:r>
        <w:t xml:space="preserve"> </w:t>
      </w:r>
      <w:r>
        <w:t xml:space="preserve">of broad framework laws</w:t>
      </w:r>
    </w:p>
    <w:tbl>
      <w:tblPr>
        <w:tblStyle w:val="Table"/>
        <w:tblW w:type="pct" w:w="5000"/>
        <w:tblLayout w:type="fixed"/>
        <w:tblLook w:firstRow="1" w:lastRow="0" w:firstColumn="0" w:lastColumn="0" w:noHBand="0" w:noVBand="0" w:val="0020"/>
      </w:tblPr>
      <w:tblGrid>
        <w:gridCol w:w="2457"/>
        <w:gridCol w:w="3277"/>
        <w:gridCol w:w="2184"/>
      </w:tblGrid>
      <w:tr>
        <w:trPr>
          <w:tblHeader w:val="on"/>
        </w:trPr>
        <w:tc>
          <w:tcPr/>
          <w:p>
            <w:pPr>
              <w:pStyle w:val="Compact"/>
              <w:jc w:val="left"/>
            </w:pPr>
            <w:r>
              <w:t xml:space="preserve">Country</w:t>
            </w:r>
          </w:p>
        </w:tc>
        <w:tc>
          <w:tcPr/>
          <w:p>
            <w:pPr>
              <w:pStyle w:val="Compact"/>
              <w:jc w:val="left"/>
            </w:pPr>
            <w:r>
              <w:t xml:space="preserve">Definition</w:t>
            </w:r>
          </w:p>
        </w:tc>
        <w:tc>
          <w:tcPr/>
          <w:p>
            <w:pPr>
              <w:pStyle w:val="Compact"/>
              <w:jc w:val="left"/>
            </w:pPr>
            <w:r>
              <w:t xml:space="preserve">Source</w:t>
            </w:r>
          </w:p>
        </w:tc>
      </w:tr>
      <w:tr>
        <w:tc>
          <w:tcPr/>
          <w:p>
            <w:pPr>
              <w:pStyle w:val="Compact"/>
              <w:jc w:val="left"/>
            </w:pPr>
            <w:r>
              <w:rPr>
                <w:b/>
                <w:bCs/>
              </w:rPr>
              <w:t xml:space="preserve">Kazakhstan</w:t>
            </w:r>
          </w:p>
        </w:tc>
        <w:tc>
          <w:tcPr/>
          <w:p>
            <w:pPr>
              <w:pStyle w:val="Compact"/>
              <w:jc w:val="left"/>
            </w:pPr>
            <w:r>
              <w:t xml:space="preserve">“Critical information and communication infrastructure”</w:t>
            </w:r>
            <w:r>
              <w:t xml:space="preserve"> </w:t>
            </w:r>
            <w:r>
              <w:t xml:space="preserve">explicitly includes</w:t>
            </w:r>
            <w:r>
              <w:t xml:space="preserve"> </w:t>
            </w:r>
            <w:r>
              <w:rPr>
                <w:b/>
                <w:bCs/>
              </w:rPr>
              <w:t xml:space="preserve">healthcare</w:t>
            </w:r>
          </w:p>
        </w:tc>
        <w:tc>
          <w:tcPr/>
          <w:p>
            <w:pPr>
              <w:pStyle w:val="Compact"/>
              <w:jc w:val="left"/>
            </w:pPr>
            <w:r>
              <w:t xml:space="preserve">Adilet LIS CIIC Rules</w:t>
            </w:r>
          </w:p>
        </w:tc>
      </w:tr>
      <w:tr>
        <w:tc>
          <w:tcPr/>
          <w:p>
            <w:pPr>
              <w:pStyle w:val="Compact"/>
              <w:jc w:val="left"/>
            </w:pPr>
            <w:r>
              <w:rPr>
                <w:b/>
                <w:bCs/>
              </w:rPr>
              <w:t xml:space="preserve">Kyrgyz Republic</w:t>
            </w:r>
          </w:p>
        </w:tc>
        <w:tc>
          <w:tcPr/>
          <w:p>
            <w:pPr>
              <w:pStyle w:val="Compact"/>
              <w:jc w:val="left"/>
            </w:pPr>
            <w:r>
              <w:t xml:space="preserve">“Critical information infrastructure”</w:t>
            </w:r>
            <w:r>
              <w:t xml:space="preserve"> </w:t>
            </w:r>
            <w:r>
              <w:t xml:space="preserve">includes the field of</w:t>
            </w:r>
            <w:r>
              <w:t xml:space="preserve"> </w:t>
            </w:r>
            <w:r>
              <w:rPr>
                <w:b/>
                <w:bCs/>
              </w:rPr>
              <w:t xml:space="preserve">healthcare</w:t>
            </w:r>
          </w:p>
        </w:tc>
        <w:tc>
          <w:tcPr/>
          <w:p>
            <w:pPr>
              <w:pStyle w:val="Compact"/>
              <w:jc w:val="left"/>
            </w:pPr>
            <w:r>
              <w:t xml:space="preserve">Regulation for Information Protection in SIS</w:t>
            </w:r>
          </w:p>
        </w:tc>
      </w:tr>
    </w:tbl>
    <w:p>
      <w:pPr>
        <w:pStyle w:val="BodyText"/>
      </w:pPr>
      <w:r>
        <w:rPr>
          <w:b/>
          <w:bCs/>
        </w:rPr>
        <w:t xml:space="preserve">Relevance for India:</w:t>
      </w:r>
      <w:r>
        <w:t xml:space="preserve"> </w:t>
      </w:r>
      <w:r>
        <w:t xml:space="preserve">- Shows that</w:t>
      </w:r>
      <w:r>
        <w:t xml:space="preserve"> </w:t>
      </w:r>
      <w:r>
        <w:rPr>
          <w:b/>
          <w:bCs/>
        </w:rPr>
        <w:t xml:space="preserve">explicit sector listing in law</w:t>
      </w:r>
      <w:r>
        <w:t xml:space="preserve"> </w:t>
      </w:r>
      <w:r>
        <w:t xml:space="preserve">is foundational — India could do this via IT Act amendment or DPDP rules</w:t>
      </w:r>
      <w:r>
        <w:t xml:space="preserve"> </w:t>
      </w:r>
      <w:r>
        <w:t xml:space="preserve">- Central Asian models are also adapting</w:t>
      </w:r>
      <w:r>
        <w:t xml:space="preserve"> </w:t>
      </w:r>
      <w:r>
        <w:rPr>
          <w:b/>
          <w:bCs/>
        </w:rPr>
        <w:t xml:space="preserve">Russian-style graduated protection</w:t>
      </w:r>
      <w:r>
        <w:t xml:space="preserve"> </w:t>
      </w:r>
      <w:r>
        <w:t xml:space="preserve">(similar to China’s MLPS)</w:t>
      </w:r>
    </w:p>
    <w:p>
      <w:r>
        <w:pict>
          <v:rect style="width:0;height:1.5pt" o:hralign="center" o:hrstd="t" o:hr="t"/>
        </w:pict>
      </w:r>
    </w:p>
    <w:bookmarkEnd w:id="405"/>
    <w:bookmarkEnd w:id="406"/>
    <w:bookmarkStart w:id="407" w:name="X6d7b8cd512a627f508b11e8a919ccb4f8bd4759"/>
    <w:p>
      <w:pPr>
        <w:pStyle w:val="Heading3"/>
      </w:pPr>
      <w:r>
        <w:t xml:space="preserve">9.14 Comparative Summary: Developing Country Models</w:t>
      </w:r>
    </w:p>
    <w:tbl>
      <w:tblPr>
        <w:tblStyle w:val="Table"/>
        <w:tblW w:type="pct" w:w="5000"/>
        <w:tblLayout w:type="fixed"/>
        <w:tblLook w:firstRow="1" w:lastRow="0" w:firstColumn="0" w:lastColumn="0" w:noHBand="0" w:noVBand="0" w:val="0020"/>
      </w:tblPr>
      <w:tblGrid>
        <w:gridCol w:w="1096"/>
        <w:gridCol w:w="852"/>
        <w:gridCol w:w="1218"/>
        <w:gridCol w:w="1218"/>
        <w:gridCol w:w="1340"/>
        <w:gridCol w:w="2193"/>
      </w:tblGrid>
      <w:tr>
        <w:trPr>
          <w:tblHeader w:val="on"/>
        </w:trPr>
        <w:tc>
          <w:tcPr/>
          <w:p>
            <w:pPr>
              <w:pStyle w:val="Compact"/>
              <w:jc w:val="left"/>
            </w:pPr>
            <w:r>
              <w:t xml:space="preserve">Feature</w:t>
            </w:r>
          </w:p>
        </w:tc>
        <w:tc>
          <w:tcPr/>
          <w:p>
            <w:pPr>
              <w:pStyle w:val="Compact"/>
              <w:jc w:val="left"/>
            </w:pPr>
            <w:r>
              <w:t xml:space="preserve">China</w:t>
            </w:r>
          </w:p>
        </w:tc>
        <w:tc>
          <w:tcPr/>
          <w:p>
            <w:pPr>
              <w:pStyle w:val="Compact"/>
              <w:jc w:val="left"/>
            </w:pPr>
            <w:r>
              <w:t xml:space="preserve">Thailand</w:t>
            </w:r>
          </w:p>
        </w:tc>
        <w:tc>
          <w:tcPr/>
          <w:p>
            <w:pPr>
              <w:pStyle w:val="Compact"/>
              <w:jc w:val="left"/>
            </w:pPr>
            <w:r>
              <w:t xml:space="preserve">Malaysia</w:t>
            </w:r>
          </w:p>
        </w:tc>
        <w:tc>
          <w:tcPr/>
          <w:p>
            <w:pPr>
              <w:pStyle w:val="Compact"/>
              <w:jc w:val="left"/>
            </w:pPr>
            <w:r>
              <w:t xml:space="preserve">Indonesia</w:t>
            </w:r>
          </w:p>
        </w:tc>
        <w:tc>
          <w:tcPr/>
          <w:p>
            <w:pPr>
              <w:pStyle w:val="Compact"/>
              <w:jc w:val="left"/>
            </w:pPr>
            <w:r>
              <w:t xml:space="preserve">India (Proposed)</w:t>
            </w:r>
          </w:p>
        </w:tc>
      </w:tr>
      <w:tr>
        <w:tc>
          <w:tcPr/>
          <w:p>
            <w:pPr>
              <w:pStyle w:val="Compact"/>
              <w:jc w:val="left"/>
            </w:pPr>
            <w:r>
              <w:rPr>
                <w:b/>
                <w:bCs/>
              </w:rPr>
              <w:t xml:space="preserve">Sector explicitly listed</w:t>
            </w:r>
          </w:p>
        </w:tc>
        <w:tc>
          <w:tcPr/>
          <w:p>
            <w:pPr>
              <w:pStyle w:val="Compact"/>
              <w:jc w:val="left"/>
            </w:pPr>
            <w:r>
              <w:t xml:space="preserve">✓ (MLPS, CII Reg)</w:t>
            </w:r>
          </w:p>
        </w:tc>
        <w:tc>
          <w:tcPr/>
          <w:p>
            <w:pPr>
              <w:pStyle w:val="Compact"/>
              <w:jc w:val="left"/>
            </w:pPr>
            <w:r>
              <w:t xml:space="preserve">✓ (Section 49)</w:t>
            </w:r>
          </w:p>
        </w:tc>
        <w:tc>
          <w:tcPr/>
          <w:p>
            <w:pPr>
              <w:pStyle w:val="Compact"/>
              <w:jc w:val="left"/>
            </w:pPr>
            <w:r>
              <w:t xml:space="preserve">✓ (NCII)</w:t>
            </w:r>
          </w:p>
        </w:tc>
        <w:tc>
          <w:tcPr/>
          <w:p>
            <w:pPr>
              <w:pStyle w:val="Compact"/>
              <w:jc w:val="left"/>
            </w:pPr>
            <w:r>
              <w:t xml:space="preserve">✓ (Perpres 82/2022)</w:t>
            </w:r>
          </w:p>
        </w:tc>
        <w:tc>
          <w:tcPr/>
          <w:p>
            <w:pPr>
              <w:pStyle w:val="Compact"/>
              <w:jc w:val="left"/>
            </w:pPr>
            <w:r>
              <w:t xml:space="preserve">✓ (Recommend)</w:t>
            </w:r>
          </w:p>
        </w:tc>
      </w:tr>
      <w:tr>
        <w:tc>
          <w:tcPr/>
          <w:p>
            <w:pPr>
              <w:pStyle w:val="Compact"/>
              <w:jc w:val="left"/>
            </w:pPr>
            <w:r>
              <w:rPr>
                <w:b/>
                <w:bCs/>
              </w:rPr>
              <w:t xml:space="preserve">Tiering system</w:t>
            </w:r>
          </w:p>
        </w:tc>
        <w:tc>
          <w:tcPr/>
          <w:p>
            <w:pPr>
              <w:pStyle w:val="Compact"/>
              <w:jc w:val="left"/>
            </w:pPr>
            <w:r>
              <w:t xml:space="preserve">5 levels</w:t>
            </w:r>
          </w:p>
        </w:tc>
        <w:tc>
          <w:tcPr/>
          <w:p>
            <w:pPr>
              <w:pStyle w:val="Compact"/>
              <w:jc w:val="left"/>
            </w:pPr>
            <w:r>
              <w:t xml:space="preserve">3 threat levels</w:t>
            </w:r>
          </w:p>
        </w:tc>
        <w:tc>
          <w:tcPr/>
          <w:p>
            <w:pPr>
              <w:pStyle w:val="Compact"/>
              <w:jc w:val="left"/>
            </w:pPr>
            <w:r>
              <w:t xml:space="preserve">Binary</w:t>
            </w:r>
          </w:p>
        </w:tc>
        <w:tc>
          <w:tcPr/>
          <w:p>
            <w:pPr>
              <w:pStyle w:val="Compact"/>
              <w:jc w:val="left"/>
            </w:pPr>
            <w:r>
              <w:t xml:space="preserve">Binary</w:t>
            </w:r>
          </w:p>
        </w:tc>
        <w:tc>
          <w:tcPr/>
          <w:p>
            <w:pPr>
              <w:pStyle w:val="Compact"/>
              <w:jc w:val="left"/>
            </w:pPr>
            <w:r>
              <w:t xml:space="preserve">3 tiers</w:t>
            </w:r>
          </w:p>
        </w:tc>
      </w:tr>
      <w:tr>
        <w:tc>
          <w:tcPr/>
          <w:p>
            <w:pPr>
              <w:pStyle w:val="Compact"/>
              <w:jc w:val="left"/>
            </w:pPr>
            <w:r>
              <w:rPr>
                <w:b/>
                <w:bCs/>
              </w:rPr>
              <w:t xml:space="preserve">Quantitative thresholds</w:t>
            </w:r>
          </w:p>
        </w:tc>
        <w:tc>
          <w:tcPr/>
          <w:p>
            <w:pPr>
              <w:pStyle w:val="Compact"/>
              <w:jc w:val="left"/>
            </w:pPr>
            <w:r>
              <w:t xml:space="preserve">No (Class III-A qualitative)</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 (adapted)</w:t>
            </w:r>
          </w:p>
        </w:tc>
      </w:tr>
      <w:tr>
        <w:tc>
          <w:tcPr/>
          <w:p>
            <w:pPr>
              <w:pStyle w:val="Compact"/>
              <w:jc w:val="left"/>
            </w:pPr>
            <w:r>
              <w:rPr>
                <w:b/>
                <w:bCs/>
              </w:rPr>
              <w:t xml:space="preserve">Hospital tier explicit</w:t>
            </w:r>
          </w:p>
        </w:tc>
        <w:tc>
          <w:tcPr/>
          <w:p>
            <w:pPr>
              <w:pStyle w:val="Compact"/>
              <w:jc w:val="left"/>
            </w:pPr>
            <w:r>
              <w:t xml:space="preserve">Class III-A</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 (AIIMS/DH/PHC)</w:t>
            </w:r>
          </w:p>
        </w:tc>
      </w:tr>
      <w:tr>
        <w:tc>
          <w:tcPr/>
          <w:p>
            <w:pPr>
              <w:pStyle w:val="Compact"/>
              <w:jc w:val="left"/>
            </w:pPr>
            <w:r>
              <w:rPr>
                <w:b/>
                <w:bCs/>
              </w:rPr>
              <w:t xml:space="preserve">National systems separate</w:t>
            </w:r>
          </w:p>
        </w:tc>
        <w:tc>
          <w:tcPr/>
          <w:p>
            <w:pPr>
              <w:pStyle w:val="Compact"/>
              <w:jc w:val="left"/>
            </w:pPr>
            <w:r>
              <w:t xml:space="preserve">Yes (Level 3+)</w:t>
            </w:r>
          </w:p>
        </w:tc>
        <w:tc>
          <w:tcPr/>
          <w:p>
            <w:pPr>
              <w:pStyle w:val="Compact"/>
              <w:jc w:val="left"/>
            </w:pPr>
            <w:r>
              <w:t xml:space="preserve">Implicit</w:t>
            </w:r>
          </w:p>
        </w:tc>
        <w:tc>
          <w:tcPr/>
          <w:p>
            <w:pPr>
              <w:pStyle w:val="Compact"/>
              <w:jc w:val="left"/>
            </w:pPr>
            <w:r>
              <w:t xml:space="preserve">Implicit</w:t>
            </w:r>
          </w:p>
        </w:tc>
        <w:tc>
          <w:tcPr/>
          <w:p>
            <w:pPr>
              <w:pStyle w:val="Compact"/>
              <w:jc w:val="left"/>
            </w:pPr>
            <w:r>
              <w:t xml:space="preserve">Implicit</w:t>
            </w:r>
          </w:p>
        </w:tc>
        <w:tc>
          <w:tcPr/>
          <w:p>
            <w:pPr>
              <w:pStyle w:val="Compact"/>
              <w:jc w:val="left"/>
            </w:pPr>
            <w:r>
              <w:t xml:space="preserve">Yes (ABDM, PM-JAY)</w:t>
            </w:r>
          </w:p>
        </w:tc>
      </w:tr>
      <w:tr>
        <w:tc>
          <w:tcPr/>
          <w:p>
            <w:pPr>
              <w:pStyle w:val="Compact"/>
              <w:jc w:val="left"/>
            </w:pPr>
            <w:r>
              <w:rPr>
                <w:b/>
                <w:bCs/>
              </w:rPr>
              <w:t xml:space="preserve">Geographic factors</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 (sole provider)</w:t>
            </w:r>
          </w:p>
        </w:tc>
      </w:tr>
      <w:tr>
        <w:tc>
          <w:tcPr/>
          <w:p>
            <w:pPr>
              <w:pStyle w:val="Compact"/>
              <w:jc w:val="left"/>
            </w:pPr>
            <w:r>
              <w:rPr>
                <w:b/>
                <w:bCs/>
              </w:rPr>
              <w:t xml:space="preserve">Audit frequency</w:t>
            </w:r>
          </w:p>
        </w:tc>
        <w:tc>
          <w:tcPr/>
          <w:p>
            <w:pPr>
              <w:pStyle w:val="Compact"/>
              <w:jc w:val="left"/>
            </w:pPr>
            <w:r>
              <w:t xml:space="preserve">Annual (Level 3+)</w:t>
            </w:r>
          </w:p>
        </w:tc>
        <w:tc>
          <w:tcPr/>
          <w:p>
            <w:pPr>
              <w:pStyle w:val="Compact"/>
              <w:jc w:val="left"/>
            </w:pPr>
            <w:r>
              <w:t xml:space="preserve">Annual</w:t>
            </w:r>
          </w:p>
        </w:tc>
        <w:tc>
          <w:tcPr/>
          <w:p>
            <w:pPr>
              <w:pStyle w:val="Compact"/>
              <w:jc w:val="left"/>
            </w:pPr>
            <w:r>
              <w:t xml:space="preserve">Not specified</w:t>
            </w:r>
          </w:p>
        </w:tc>
        <w:tc>
          <w:tcPr/>
          <w:p>
            <w:pPr>
              <w:pStyle w:val="Compact"/>
              <w:jc w:val="left"/>
            </w:pPr>
            <w:r>
              <w:t xml:space="preserve">Not specified</w:t>
            </w:r>
          </w:p>
        </w:tc>
        <w:tc>
          <w:tcPr/>
          <w:p>
            <w:pPr>
              <w:pStyle w:val="Compact"/>
              <w:jc w:val="left"/>
            </w:pPr>
            <w:r>
              <w:t xml:space="preserve">Annual (T1) / Biennial (T2)</w:t>
            </w:r>
          </w:p>
        </w:tc>
      </w:tr>
      <w:tr>
        <w:tc>
          <w:tcPr/>
          <w:p>
            <w:pPr>
              <w:pStyle w:val="Compact"/>
              <w:jc w:val="left"/>
            </w:pPr>
            <w:r>
              <w:rPr>
                <w:b/>
                <w:bCs/>
              </w:rPr>
              <w:t xml:space="preserve">Penalties</w:t>
            </w:r>
          </w:p>
        </w:tc>
        <w:tc>
          <w:tcPr/>
          <w:p>
            <w:pPr>
              <w:pStyle w:val="Compact"/>
              <w:jc w:val="left"/>
            </w:pPr>
            <w:r>
              <w:t xml:space="preserve">Administrative sanctions</w:t>
            </w:r>
          </w:p>
        </w:tc>
        <w:tc>
          <w:tcPr/>
          <w:p>
            <w:pPr>
              <w:pStyle w:val="Compact"/>
              <w:jc w:val="left"/>
            </w:pPr>
            <w:r>
              <w:t xml:space="preserve">฿200K fine</w:t>
            </w:r>
          </w:p>
        </w:tc>
        <w:tc>
          <w:tcPr/>
          <w:p>
            <w:pPr>
              <w:pStyle w:val="Compact"/>
              <w:jc w:val="left"/>
            </w:pPr>
            <w:r>
              <w:t xml:space="preserve">Not specified</w:t>
            </w:r>
          </w:p>
        </w:tc>
        <w:tc>
          <w:tcPr/>
          <w:p>
            <w:pPr>
              <w:pStyle w:val="Compact"/>
              <w:jc w:val="left"/>
            </w:pPr>
            <w:r>
              <w:t xml:space="preserve">Not specified</w:t>
            </w:r>
          </w:p>
        </w:tc>
        <w:tc>
          <w:tcPr/>
          <w:p>
            <w:pPr>
              <w:pStyle w:val="Compact"/>
              <w:jc w:val="left"/>
            </w:pPr>
            <w:r>
              <w:t xml:space="preserve">Proportionate</w:t>
            </w:r>
          </w:p>
        </w:tc>
      </w:tr>
      <w:tr>
        <w:tc>
          <w:tcPr/>
          <w:p>
            <w:pPr>
              <w:pStyle w:val="Compact"/>
              <w:jc w:val="left"/>
            </w:pPr>
            <w:r>
              <w:rPr>
                <w:b/>
                <w:bCs/>
              </w:rPr>
              <w:t xml:space="preserve">Legal instrument</w:t>
            </w:r>
          </w:p>
        </w:tc>
        <w:tc>
          <w:tcPr/>
          <w:p>
            <w:pPr>
              <w:pStyle w:val="Compact"/>
              <w:jc w:val="left"/>
            </w:pPr>
            <w:r>
              <w:t xml:space="preserve">Law + State Council Reg</w:t>
            </w:r>
          </w:p>
        </w:tc>
        <w:tc>
          <w:tcPr/>
          <w:p>
            <w:pPr>
              <w:pStyle w:val="Compact"/>
              <w:jc w:val="left"/>
            </w:pPr>
            <w:r>
              <w:t xml:space="preserve">Cybersecurity Act</w:t>
            </w:r>
          </w:p>
        </w:tc>
        <w:tc>
          <w:tcPr/>
          <w:p>
            <w:pPr>
              <w:pStyle w:val="Compact"/>
              <w:jc w:val="left"/>
            </w:pPr>
            <w:r>
              <w:t xml:space="preserve">Agency directive</w:t>
            </w:r>
          </w:p>
        </w:tc>
        <w:tc>
          <w:tcPr/>
          <w:p>
            <w:pPr>
              <w:pStyle w:val="Compact"/>
              <w:jc w:val="left"/>
            </w:pPr>
            <w:r>
              <w:t xml:space="preserve">Presidential Reg</w:t>
            </w:r>
          </w:p>
        </w:tc>
        <w:tc>
          <w:tcPr/>
          <w:p>
            <w:pPr>
              <w:pStyle w:val="Compact"/>
              <w:jc w:val="left"/>
            </w:pPr>
            <w:r>
              <w:t xml:space="preserve">IT Act rules / new law</w:t>
            </w:r>
          </w:p>
        </w:tc>
      </w:tr>
    </w:tbl>
    <w:bookmarkEnd w:id="407"/>
    <w:bookmarkStart w:id="408" w:name="recommended-approach-for-india"/>
    <w:p>
      <w:pPr>
        <w:pStyle w:val="Heading3"/>
      </w:pPr>
      <w:r>
        <w:t xml:space="preserve">9.15 Recommended Approach for India</w:t>
      </w:r>
    </w:p>
    <w:p>
      <w:pPr>
        <w:pStyle w:val="FirstParagraph"/>
      </w:pPr>
      <w:r>
        <w:t xml:space="preserve">Based on global developing country models, the recommended approach for India:</w:t>
      </w:r>
    </w:p>
    <w:p>
      <w:pPr>
        <w:pStyle w:val="Compact"/>
        <w:numPr>
          <w:ilvl w:val="0"/>
          <w:numId w:val="1320"/>
        </w:numPr>
      </w:pPr>
      <w:r>
        <w:rPr>
          <w:b/>
          <w:bCs/>
        </w:rPr>
        <w:t xml:space="preserve">Explicit sector listing</w:t>
      </w:r>
      <w:r>
        <w:t xml:space="preserve">: Amend IT Act rules or issue executive notification explicitly designating</w:t>
      </w:r>
      <w:r>
        <w:t xml:space="preserve"> </w:t>
      </w:r>
      <w:r>
        <w:t xml:space="preserve">“Healthcare”</w:t>
      </w:r>
      <w:r>
        <w:t xml:space="preserve"> </w:t>
      </w:r>
      <w:r>
        <w:t xml:space="preserve">as CII sector under existing NCIIPC framework</w:t>
      </w:r>
    </w:p>
    <w:p>
      <w:pPr>
        <w:pStyle w:val="Compact"/>
        <w:numPr>
          <w:ilvl w:val="0"/>
          <w:numId w:val="1320"/>
        </w:numPr>
      </w:pPr>
      <w:r>
        <w:rPr>
          <w:b/>
          <w:bCs/>
        </w:rPr>
        <w:t xml:space="preserve">Tiered designation with geographic factors</w:t>
      </w:r>
      <w:r>
        <w:t xml:space="preserve">: Adopt 3-tier model with:</w:t>
      </w:r>
    </w:p>
    <w:p>
      <w:pPr>
        <w:pStyle w:val="Compact"/>
        <w:numPr>
          <w:ilvl w:val="1"/>
          <w:numId w:val="1321"/>
        </w:numPr>
      </w:pPr>
      <w:r>
        <w:rPr>
          <w:b/>
          <w:bCs/>
        </w:rPr>
        <w:t xml:space="preserve">Tier 1</w:t>
      </w:r>
      <w:r>
        <w:t xml:space="preserve">: National digital systems + AIIMS/GMCHs + sole district providers</w:t>
      </w:r>
    </w:p>
    <w:p>
      <w:pPr>
        <w:pStyle w:val="Compact"/>
        <w:numPr>
          <w:ilvl w:val="1"/>
          <w:numId w:val="1321"/>
        </w:numPr>
      </w:pPr>
      <w:r>
        <w:rPr>
          <w:b/>
          <w:bCs/>
        </w:rPr>
        <w:t xml:space="preserve">Tier 2</w:t>
      </w:r>
      <w:r>
        <w:t xml:space="preserve">: District hospitals + reference labs + major private chains</w:t>
      </w:r>
    </w:p>
    <w:p>
      <w:pPr>
        <w:pStyle w:val="Compact"/>
        <w:numPr>
          <w:ilvl w:val="1"/>
          <w:numId w:val="1321"/>
        </w:numPr>
      </w:pPr>
      <w:r>
        <w:rPr>
          <w:b/>
          <w:bCs/>
        </w:rPr>
        <w:t xml:space="preserve">Tier 3</w:t>
      </w:r>
      <w:r>
        <w:t xml:space="preserve">: PHCs/CHCs (voluntary/self-regulated)</w:t>
      </w:r>
    </w:p>
    <w:p>
      <w:pPr>
        <w:pStyle w:val="Compact"/>
        <w:numPr>
          <w:ilvl w:val="0"/>
          <w:numId w:val="1320"/>
        </w:numPr>
      </w:pPr>
      <w:r>
        <w:rPr>
          <w:b/>
          <w:bCs/>
        </w:rPr>
        <w:t xml:space="preserve">Qualitative + quantitative hybrid</w:t>
      </w:r>
      <w:r>
        <w:t xml:space="preserve">: Use adapted quantitative thresholds (10,000 cases/year, 200 beds) with qualitative triggers (sole provider, geographic remoteness)</w:t>
      </w:r>
    </w:p>
    <w:p>
      <w:pPr>
        <w:pStyle w:val="Compact"/>
        <w:numPr>
          <w:ilvl w:val="0"/>
          <w:numId w:val="1320"/>
        </w:numPr>
      </w:pPr>
      <w:r>
        <w:rPr>
          <w:b/>
          <w:bCs/>
        </w:rPr>
        <w:t xml:space="preserve">Committee-based designation</w:t>
      </w:r>
      <w:r>
        <w:t xml:space="preserve"> </w:t>
      </w:r>
      <w:r>
        <w:t xml:space="preserve">(Thailand model): Health-CII Designation Committee with MoHFW, MeitY, NCIIPC, and CERT-In representation</w:t>
      </w:r>
    </w:p>
    <w:p>
      <w:pPr>
        <w:pStyle w:val="Compact"/>
        <w:numPr>
          <w:ilvl w:val="0"/>
          <w:numId w:val="1320"/>
        </w:numPr>
      </w:pPr>
      <w:r>
        <w:rPr>
          <w:b/>
          <w:bCs/>
        </w:rPr>
        <w:t xml:space="preserve">Phased implementation</w:t>
      </w:r>
      <w:r>
        <w:t xml:space="preserve"> </w:t>
      </w:r>
      <w:r>
        <w:t xml:space="preserve">(China model):</w:t>
      </w:r>
    </w:p>
    <w:p>
      <w:pPr>
        <w:pStyle w:val="Compact"/>
        <w:numPr>
          <w:ilvl w:val="1"/>
          <w:numId w:val="1322"/>
        </w:numPr>
      </w:pPr>
      <w:r>
        <w:t xml:space="preserve">Year 1: National systems (ABDM, PM-JAY, 112 ERSS)</w:t>
      </w:r>
    </w:p>
    <w:p>
      <w:pPr>
        <w:pStyle w:val="Compact"/>
        <w:numPr>
          <w:ilvl w:val="1"/>
          <w:numId w:val="1322"/>
        </w:numPr>
      </w:pPr>
      <w:r>
        <w:t xml:space="preserve">Year 2: Tier 1 facilities</w:t>
      </w:r>
    </w:p>
    <w:p>
      <w:pPr>
        <w:pStyle w:val="Compact"/>
        <w:numPr>
          <w:ilvl w:val="1"/>
          <w:numId w:val="1322"/>
        </w:numPr>
      </w:pPr>
      <w:r>
        <w:t xml:space="preserve">Year 3-4: Tier 2 facilities</w:t>
      </w:r>
    </w:p>
    <w:p>
      <w:pPr>
        <w:pStyle w:val="Compact"/>
        <w:numPr>
          <w:ilvl w:val="0"/>
          <w:numId w:val="1320"/>
        </w:numPr>
      </w:pPr>
      <w:r>
        <w:rPr>
          <w:b/>
          <w:bCs/>
        </w:rPr>
        <w:t xml:space="preserve">Proportionate obligations</w:t>
      </w:r>
      <w:r>
        <w:t xml:space="preserve">:</w:t>
      </w:r>
    </w:p>
    <w:p>
      <w:pPr>
        <w:pStyle w:val="Compact"/>
        <w:numPr>
          <w:ilvl w:val="1"/>
          <w:numId w:val="1323"/>
        </w:numPr>
      </w:pPr>
      <w:r>
        <w:t xml:space="preserve">Tier 1: Annual audits, 24-48h reporting, mandatory BCP</w:t>
      </w:r>
    </w:p>
    <w:p>
      <w:pPr>
        <w:pStyle w:val="Compact"/>
        <w:numPr>
          <w:ilvl w:val="1"/>
          <w:numId w:val="1323"/>
        </w:numPr>
      </w:pPr>
      <w:r>
        <w:t xml:space="preserve">Tier 2: Biennial audits, 72-96h reporting</w:t>
      </w:r>
    </w:p>
    <w:p>
      <w:pPr>
        <w:pStyle w:val="Compact"/>
        <w:numPr>
          <w:ilvl w:val="1"/>
          <w:numId w:val="1323"/>
        </w:numPr>
      </w:pPr>
      <w:r>
        <w:t xml:space="preserve">Tier 3: Self-assessment, voluntary reporting</w:t>
      </w:r>
    </w:p>
    <w:p>
      <w:pPr>
        <w:pStyle w:val="Compact"/>
        <w:numPr>
          <w:ilvl w:val="0"/>
          <w:numId w:val="1320"/>
        </w:numPr>
      </w:pPr>
      <w:r>
        <w:rPr>
          <w:b/>
          <w:bCs/>
        </w:rPr>
        <w:t xml:space="preserve">Shared services model</w:t>
      </w:r>
      <w:r>
        <w:t xml:space="preserve">: State-level SOCs for public health facilities (leveraging NIC/state IT infrastructure)</w:t>
      </w:r>
    </w:p>
    <w:p>
      <w:pPr>
        <w:pStyle w:val="Compact"/>
        <w:numPr>
          <w:ilvl w:val="0"/>
          <w:numId w:val="1320"/>
        </w:numPr>
      </w:pPr>
      <w:r>
        <w:rPr>
          <w:b/>
          <w:bCs/>
        </w:rPr>
        <w:t xml:space="preserve">Health-CERT</w:t>
      </w:r>
      <w:r>
        <w:t xml:space="preserve">: Establish sectoral CERT under MoHFW with CERT-In coordination (similar to sectoral CERTs in banking/power)</w:t>
      </w:r>
    </w:p>
    <w:p>
      <w:r>
        <w:pict>
          <v:rect style="width:0;height:1.5pt" o:hralign="center" o:hrstd="t" o:hr="t"/>
        </w:pict>
      </w:r>
    </w:p>
    <w:bookmarkEnd w:id="408"/>
    <w:bookmarkEnd w:id="409"/>
    <w:bookmarkStart w:id="410" w:name="conclusion-1"/>
    <w:p>
      <w:pPr>
        <w:pStyle w:val="Heading2"/>
      </w:pPr>
      <w:r>
        <w:t xml:space="preserve">Conclusion</w:t>
      </w:r>
    </w:p>
    <w:p>
      <w:pPr>
        <w:pStyle w:val="FirstParagraph"/>
      </w:pPr>
      <w:r>
        <w:t xml:space="preserve">This metrics and grading framework provides a</w:t>
      </w:r>
      <w:r>
        <w:t xml:space="preserve"> </w:t>
      </w:r>
      <w:r>
        <w:rPr>
          <w:b/>
          <w:bCs/>
        </w:rPr>
        <w:t xml:space="preserve">structured, evidence-based approach</w:t>
      </w:r>
      <w:r>
        <w:t xml:space="preserve"> </w:t>
      </w:r>
      <w:r>
        <w:t xml:space="preserve">for classifying health sector entities as Critical Information Infrastructure. Key design principles include:</w:t>
      </w:r>
    </w:p>
    <w:p>
      <w:pPr>
        <w:pStyle w:val="Compact"/>
        <w:numPr>
          <w:ilvl w:val="0"/>
          <w:numId w:val="1324"/>
        </w:numPr>
      </w:pPr>
      <w:r>
        <w:rPr>
          <w:b/>
          <w:bCs/>
        </w:rPr>
        <w:t xml:space="preserve">Hybrid criteria</w:t>
      </w:r>
      <w:r>
        <w:t xml:space="preserve">: Combines quantitative thresholds with qualitative safety-net triggers</w:t>
      </w:r>
    </w:p>
    <w:p>
      <w:pPr>
        <w:pStyle w:val="Compact"/>
        <w:numPr>
          <w:ilvl w:val="0"/>
          <w:numId w:val="1324"/>
        </w:numPr>
      </w:pPr>
      <w:r>
        <w:rPr>
          <w:b/>
          <w:bCs/>
        </w:rPr>
        <w:t xml:space="preserve">Proportionality</w:t>
      </w:r>
      <w:r>
        <w:t xml:space="preserve">: Three-tier structure aligns obligations with criticality</w:t>
      </w:r>
    </w:p>
    <w:p>
      <w:pPr>
        <w:pStyle w:val="Compact"/>
        <w:numPr>
          <w:ilvl w:val="0"/>
          <w:numId w:val="1324"/>
        </w:numPr>
      </w:pPr>
      <w:r>
        <w:rPr>
          <w:b/>
          <w:bCs/>
        </w:rPr>
        <w:t xml:space="preserve">Transparency</w:t>
      </w:r>
      <w:r>
        <w:t xml:space="preserve">: Clear criteria enable self-assessment</w:t>
      </w:r>
    </w:p>
    <w:p>
      <w:pPr>
        <w:pStyle w:val="Compact"/>
        <w:numPr>
          <w:ilvl w:val="0"/>
          <w:numId w:val="1324"/>
        </w:numPr>
      </w:pPr>
      <w:r>
        <w:rPr>
          <w:b/>
          <w:bCs/>
        </w:rPr>
        <w:t xml:space="preserve">Adaptability</w:t>
      </w:r>
      <w:r>
        <w:t xml:space="preserve">: Framework accommodates diverse health system contexts</w:t>
      </w:r>
    </w:p>
    <w:p>
      <w:pPr>
        <w:pStyle w:val="Compact"/>
        <w:numPr>
          <w:ilvl w:val="0"/>
          <w:numId w:val="1324"/>
        </w:numPr>
      </w:pPr>
      <w:r>
        <w:rPr>
          <w:b/>
          <w:bCs/>
        </w:rPr>
        <w:t xml:space="preserve">Global alignment</w:t>
      </w:r>
      <w:r>
        <w:t xml:space="preserve">: Harmonized with emerging international standards</w:t>
      </w:r>
    </w:p>
    <w:p>
      <w:pPr>
        <w:pStyle w:val="FirstParagraph"/>
      </w:pPr>
      <w:r>
        <w:t xml:space="preserve">The framework should be adapted to national context, with particular attention to:</w:t>
      </w:r>
      <w:r>
        <w:t xml:space="preserve"> </w:t>
      </w:r>
      <w:r>
        <w:t xml:space="preserve">- Local health system structure and governance</w:t>
      </w:r>
      <w:r>
        <w:t xml:space="preserve"> </w:t>
      </w:r>
      <w:r>
        <w:t xml:space="preserve">- Existing regulatory frameworks</w:t>
      </w:r>
      <w:r>
        <w:t xml:space="preserve"> </w:t>
      </w:r>
      <w:r>
        <w:t xml:space="preserve">- Data availability for quantitative metrics</w:t>
      </w:r>
      <w:r>
        <w:t xml:space="preserve"> </w:t>
      </w:r>
      <w:r>
        <w:t xml:space="preserve">- Administrative capacity for enforcement</w:t>
      </w:r>
    </w:p>
    <w:p>
      <w:r>
        <w:pict>
          <v:rect style="width:0;height:1.5pt" o:hralign="center" o:hrstd="t" o:hr="t"/>
        </w:pict>
      </w:r>
    </w:p>
    <w:bookmarkEnd w:id="410"/>
    <w:bookmarkStart w:id="411" w:name="references"/>
    <w:p>
      <w:pPr>
        <w:pStyle w:val="Heading2"/>
      </w:pPr>
      <w:r>
        <w:t xml:space="preserve">References</w:t>
      </w:r>
    </w:p>
    <w:p>
      <w:pPr>
        <w:pStyle w:val="FirstParagraph"/>
      </w:pPr>
      <w:r>
        <w:t xml:space="preserve">This framework synthesizes criteria from the 17 jurisdictions analyzed in this study:</w:t>
      </w:r>
    </w:p>
    <w:p>
      <w:pPr>
        <w:pStyle w:val="Compact"/>
        <w:numPr>
          <w:ilvl w:val="0"/>
          <w:numId w:val="1325"/>
        </w:numPr>
      </w:pPr>
      <w:r>
        <w:t xml:space="preserve">USA (CISA/HPH Sector)</w:t>
      </w:r>
    </w:p>
    <w:p>
      <w:pPr>
        <w:pStyle w:val="Compact"/>
        <w:numPr>
          <w:ilvl w:val="0"/>
          <w:numId w:val="1325"/>
        </w:numPr>
      </w:pPr>
      <w:r>
        <w:t xml:space="preserve">Australia (SOCI Act 2018)</w:t>
      </w:r>
    </w:p>
    <w:p>
      <w:pPr>
        <w:pStyle w:val="Compact"/>
        <w:numPr>
          <w:ilvl w:val="0"/>
          <w:numId w:val="1325"/>
        </w:numPr>
      </w:pPr>
      <w:r>
        <w:t xml:space="preserve">European Union (NIS2 Directive)</w:t>
      </w:r>
    </w:p>
    <w:p>
      <w:pPr>
        <w:pStyle w:val="Compact"/>
        <w:numPr>
          <w:ilvl w:val="0"/>
          <w:numId w:val="1325"/>
        </w:numPr>
      </w:pPr>
      <w:r>
        <w:t xml:space="preserve">Canada (National CI Strategy)</w:t>
      </w:r>
    </w:p>
    <w:p>
      <w:pPr>
        <w:pStyle w:val="Compact"/>
        <w:numPr>
          <w:ilvl w:val="0"/>
          <w:numId w:val="1325"/>
        </w:numPr>
      </w:pPr>
      <w:r>
        <w:t xml:space="preserve">United Kingdom (NIS Regulations / CAF)</w:t>
      </w:r>
    </w:p>
    <w:p>
      <w:pPr>
        <w:pStyle w:val="Compact"/>
        <w:numPr>
          <w:ilvl w:val="0"/>
          <w:numId w:val="1325"/>
        </w:numPr>
      </w:pPr>
      <w:r>
        <w:t xml:space="preserve">Germany (BSI-KritisV / NIS2UmsuCG)</w:t>
      </w:r>
    </w:p>
    <w:p>
      <w:pPr>
        <w:pStyle w:val="Compact"/>
        <w:numPr>
          <w:ilvl w:val="0"/>
          <w:numId w:val="1325"/>
        </w:numPr>
      </w:pPr>
      <w:r>
        <w:t xml:space="preserve">Singapore (Cybersecurity Act)</w:t>
      </w:r>
    </w:p>
    <w:p>
      <w:pPr>
        <w:pStyle w:val="Compact"/>
        <w:numPr>
          <w:ilvl w:val="0"/>
          <w:numId w:val="1325"/>
        </w:numPr>
      </w:pPr>
      <w:r>
        <w:t xml:space="preserve">New Zealand (HISO 10029 / NVA)</w:t>
      </w:r>
    </w:p>
    <w:p>
      <w:pPr>
        <w:pStyle w:val="Compact"/>
        <w:numPr>
          <w:ilvl w:val="0"/>
          <w:numId w:val="1325"/>
        </w:numPr>
      </w:pPr>
      <w:r>
        <w:t xml:space="preserve">Japan (CIP Policy)</w:t>
      </w:r>
    </w:p>
    <w:p>
      <w:pPr>
        <w:pStyle w:val="Compact"/>
        <w:numPr>
          <w:ilvl w:val="0"/>
          <w:numId w:val="1325"/>
        </w:numPr>
      </w:pPr>
      <w:r>
        <w:t xml:space="preserve">China (Cybersecurity Law / MLPS)</w:t>
      </w:r>
    </w:p>
    <w:p>
      <w:pPr>
        <w:pStyle w:val="Compact"/>
        <w:numPr>
          <w:ilvl w:val="0"/>
          <w:numId w:val="1325"/>
        </w:numPr>
      </w:pPr>
      <w:r>
        <w:t xml:space="preserve">South Korea (CIIC Act)</w:t>
      </w:r>
    </w:p>
    <w:p>
      <w:pPr>
        <w:pStyle w:val="Compact"/>
        <w:numPr>
          <w:ilvl w:val="0"/>
          <w:numId w:val="1325"/>
        </w:numPr>
      </w:pPr>
      <w:r>
        <w:t xml:space="preserve">France (OIV/SAIV/SIIV)</w:t>
      </w:r>
    </w:p>
    <w:p>
      <w:pPr>
        <w:pStyle w:val="Compact"/>
        <w:numPr>
          <w:ilvl w:val="0"/>
          <w:numId w:val="1325"/>
        </w:numPr>
      </w:pPr>
      <w:r>
        <w:t xml:space="preserve">Norway (Digital Security Act)</w:t>
      </w:r>
    </w:p>
    <w:p>
      <w:pPr>
        <w:pStyle w:val="Compact"/>
        <w:numPr>
          <w:ilvl w:val="0"/>
          <w:numId w:val="1325"/>
        </w:numPr>
      </w:pPr>
      <w:r>
        <w:t xml:space="preserve">Switzerland (ISG/CSV)</w:t>
      </w:r>
    </w:p>
    <w:p>
      <w:pPr>
        <w:pStyle w:val="Compact"/>
        <w:numPr>
          <w:ilvl w:val="0"/>
          <w:numId w:val="1325"/>
        </w:numPr>
      </w:pPr>
      <w:r>
        <w:t xml:space="preserve">Taiwan (CSMA)</w:t>
      </w:r>
    </w:p>
    <w:p>
      <w:pPr>
        <w:pStyle w:val="Compact"/>
        <w:numPr>
          <w:ilvl w:val="0"/>
          <w:numId w:val="1325"/>
        </w:numPr>
      </w:pPr>
      <w:r>
        <w:t xml:space="preserve">Thailand (Cybersecurity Act)</w:t>
      </w:r>
    </w:p>
    <w:p>
      <w:pPr>
        <w:pStyle w:val="Compact"/>
        <w:numPr>
          <w:ilvl w:val="0"/>
          <w:numId w:val="1325"/>
        </w:numPr>
      </w:pPr>
      <w:r>
        <w:t xml:space="preserve">Hong Kong (PCICSO)</w:t>
      </w:r>
    </w:p>
    <w:p>
      <w:pPr>
        <w:sectPr>
          <w:footerReference w:type="first" r:id="rId13"/>
          <w:footerReference w:type="default" r:id="rId11"/>
          <w:footerReference w:type="even" r:id="rId10"/>
          <w:type w:val="nextPage"/>
        </w:sectPr>
      </w:pPr>
    </w:p>
    <w:bookmarkEnd w:id="411"/>
    <w:bookmarkEnd w:id="412"/>
    <w:bookmarkStart w:id="456" w:name="Xdb31c7463e67307d004242f8c825b2d31a8d6b9"/>
    <w:p>
      <w:pPr>
        <w:pStyle w:val="Heading1"/>
      </w:pPr>
      <w:r>
        <w:t xml:space="preserve">CII Case Studies: Healthcare Delivery Facilities</w:t>
      </w:r>
    </w:p>
    <w:p>
      <w:pPr>
        <w:pStyle w:val="FirstParagraph"/>
      </w:pPr>
      <w:r>
        <w:t xml:space="preserve">This chapter presents case studies for</w:t>
      </w:r>
      <w:r>
        <w:t xml:space="preserve"> </w:t>
      </w:r>
      <w:r>
        <w:rPr>
          <w:b/>
          <w:bCs/>
        </w:rPr>
        <w:t xml:space="preserve">healthcare delivery facilities</w:t>
      </w:r>
      <w:r>
        <w:t xml:space="preserve"> </w:t>
      </w:r>
      <w:r>
        <w:t xml:space="preserve">including hospitals, medical colleges, community health centres, and telemedicine services.</w:t>
      </w:r>
    </w:p>
    <w:p>
      <w:r>
        <w:pict>
          <v:rect style="width:0;height:1.5pt" o:hralign="center" o:hrstd="t" o:hr="t"/>
        </w:pict>
      </w:r>
    </w:p>
    <w:bookmarkStart w:id="419" w:name="case-study-1-metro-general-hospital"/>
    <w:p>
      <w:pPr>
        <w:pStyle w:val="Heading2"/>
      </w:pPr>
      <w:r>
        <w:t xml:space="preserve">Case Study 1: Metro General Hospital</w:t>
      </w:r>
    </w:p>
    <w:bookmarkStart w:id="413" w:name="entity-profile"/>
    <w:p>
      <w:pPr>
        <w:pStyle w:val="Heading3"/>
      </w:pPr>
      <w:r>
        <w:t xml:space="preserve">Entity Profile</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jc w:val="left"/>
            </w:pPr>
            <w:r>
              <w:t xml:space="preserve">Attribute</w:t>
            </w:r>
          </w:p>
        </w:tc>
        <w:tc>
          <w:tcPr/>
          <w:p>
            <w:pPr>
              <w:pStyle w:val="Compact"/>
              <w:jc w:val="left"/>
            </w:pPr>
            <w:r>
              <w:t xml:space="preserve">Details</w:t>
            </w:r>
          </w:p>
        </w:tc>
      </w:tr>
      <w:tr>
        <w:tc>
          <w:tcPr/>
          <w:p>
            <w:pPr>
              <w:pStyle w:val="Compact"/>
              <w:jc w:val="left"/>
            </w:pPr>
            <w:r>
              <w:rPr>
                <w:b/>
                <w:bCs/>
              </w:rPr>
              <w:t xml:space="preserve">Name</w:t>
            </w:r>
          </w:p>
        </w:tc>
        <w:tc>
          <w:tcPr/>
          <w:p>
            <w:pPr>
              <w:pStyle w:val="Compact"/>
              <w:jc w:val="left"/>
            </w:pPr>
            <w:r>
              <w:t xml:space="preserve">Metro General Hospital</w:t>
            </w:r>
          </w:p>
        </w:tc>
      </w:tr>
      <w:tr>
        <w:tc>
          <w:tcPr/>
          <w:p>
            <w:pPr>
              <w:pStyle w:val="Compact"/>
              <w:jc w:val="left"/>
            </w:pPr>
            <w:r>
              <w:rPr>
                <w:b/>
                <w:bCs/>
              </w:rPr>
              <w:t xml:space="preserve">Type</w:t>
            </w:r>
          </w:p>
        </w:tc>
        <w:tc>
          <w:tcPr/>
          <w:p>
            <w:pPr>
              <w:pStyle w:val="Compact"/>
              <w:jc w:val="left"/>
            </w:pPr>
            <w:r>
              <w:t xml:space="preserve">Government tertiary teaching hospital</w:t>
            </w:r>
          </w:p>
        </w:tc>
      </w:tr>
      <w:tr>
        <w:tc>
          <w:tcPr/>
          <w:p>
            <w:pPr>
              <w:pStyle w:val="Compact"/>
              <w:jc w:val="left"/>
            </w:pPr>
            <w:r>
              <w:rPr>
                <w:b/>
                <w:bCs/>
              </w:rPr>
              <w:t xml:space="preserve">Location</w:t>
            </w:r>
          </w:p>
        </w:tc>
        <w:tc>
          <w:tcPr/>
          <w:p>
            <w:pPr>
              <w:pStyle w:val="Compact"/>
              <w:jc w:val="left"/>
            </w:pPr>
            <w:r>
              <w:t xml:space="preserve">State capital city (population 5 million)</w:t>
            </w:r>
          </w:p>
        </w:tc>
      </w:tr>
      <w:tr>
        <w:tc>
          <w:tcPr/>
          <w:p>
            <w:pPr>
              <w:pStyle w:val="Compact"/>
              <w:jc w:val="left"/>
            </w:pPr>
            <w:r>
              <w:rPr>
                <w:b/>
                <w:bCs/>
              </w:rPr>
              <w:t xml:space="preserve">Beds</w:t>
            </w:r>
          </w:p>
        </w:tc>
        <w:tc>
          <w:tcPr/>
          <w:p>
            <w:pPr>
              <w:pStyle w:val="Compact"/>
              <w:jc w:val="left"/>
            </w:pPr>
            <w:r>
              <w:t xml:space="preserve">1,200</w:t>
            </w:r>
          </w:p>
        </w:tc>
      </w:tr>
      <w:tr>
        <w:tc>
          <w:tcPr/>
          <w:p>
            <w:pPr>
              <w:pStyle w:val="Compact"/>
              <w:jc w:val="left"/>
            </w:pPr>
            <w:r>
              <w:rPr>
                <w:b/>
                <w:bCs/>
              </w:rPr>
              <w:t xml:space="preserve">Annual inpatient cases</w:t>
            </w:r>
          </w:p>
        </w:tc>
        <w:tc>
          <w:tcPr/>
          <w:p>
            <w:pPr>
              <w:pStyle w:val="Compact"/>
              <w:jc w:val="left"/>
            </w:pPr>
            <w:r>
              <w:t xml:space="preserve">45,000</w:t>
            </w:r>
          </w:p>
        </w:tc>
      </w:tr>
      <w:tr>
        <w:tc>
          <w:tcPr/>
          <w:p>
            <w:pPr>
              <w:pStyle w:val="Compact"/>
              <w:jc w:val="left"/>
            </w:pPr>
            <w:r>
              <w:rPr>
                <w:b/>
                <w:bCs/>
              </w:rPr>
              <w:t xml:space="preserve">Employees</w:t>
            </w:r>
          </w:p>
        </w:tc>
        <w:tc>
          <w:tcPr/>
          <w:p>
            <w:pPr>
              <w:pStyle w:val="Compact"/>
              <w:jc w:val="left"/>
            </w:pPr>
            <w:r>
              <w:t xml:space="preserve">3,500</w:t>
            </w:r>
          </w:p>
        </w:tc>
      </w:tr>
      <w:tr>
        <w:tc>
          <w:tcPr/>
          <w:p>
            <w:pPr>
              <w:pStyle w:val="Compact"/>
              <w:jc w:val="left"/>
            </w:pPr>
            <w:r>
              <w:rPr>
                <w:b/>
                <w:bCs/>
              </w:rPr>
              <w:t xml:space="preserve">Key departments</w:t>
            </w:r>
          </w:p>
        </w:tc>
        <w:tc>
          <w:tcPr/>
          <w:p>
            <w:pPr>
              <w:pStyle w:val="Compact"/>
              <w:jc w:val="left"/>
            </w:pPr>
            <w:r>
              <w:t xml:space="preserve">ICU (50 beds), Emergency, Trauma Centre, Cardiac Surgery, Organ Transplant</w:t>
            </w:r>
          </w:p>
        </w:tc>
      </w:tr>
      <w:tr>
        <w:tc>
          <w:tcPr/>
          <w:p>
            <w:pPr>
              <w:pStyle w:val="Compact"/>
              <w:jc w:val="left"/>
            </w:pPr>
            <w:r>
              <w:rPr>
                <w:b/>
                <w:bCs/>
              </w:rPr>
              <w:t xml:space="preserve">Digital systems</w:t>
            </w:r>
          </w:p>
        </w:tc>
        <w:tc>
          <w:tcPr/>
          <w:p>
            <w:pPr>
              <w:pStyle w:val="Compact"/>
              <w:jc w:val="left"/>
            </w:pPr>
            <w:r>
              <w:t xml:space="preserve">Integrated HIS, EMR, PACS, LIS, Blood Bank Management</w:t>
            </w:r>
          </w:p>
        </w:tc>
      </w:tr>
      <w:tr>
        <w:tc>
          <w:tcPr/>
          <w:p>
            <w:pPr>
              <w:pStyle w:val="Compact"/>
              <w:jc w:val="left"/>
            </w:pPr>
            <w:r>
              <w:rPr>
                <w:b/>
                <w:bCs/>
              </w:rPr>
              <w:t xml:space="preserve">Connectivity</w:t>
            </w:r>
          </w:p>
        </w:tc>
        <w:tc>
          <w:tcPr/>
          <w:p>
            <w:pPr>
              <w:pStyle w:val="Compact"/>
              <w:jc w:val="left"/>
            </w:pPr>
            <w:r>
              <w:t xml:space="preserve">24/7 broadband; connected to national health exchange</w:t>
            </w:r>
          </w:p>
        </w:tc>
      </w:tr>
    </w:tbl>
    <w:bookmarkEnd w:id="413"/>
    <w:bookmarkStart w:id="416" w:name="cii-classification-assessment"/>
    <w:p>
      <w:pPr>
        <w:pStyle w:val="Heading3"/>
      </w:pPr>
      <w:r>
        <w:t xml:space="preserve">CII Classification Assessment</w:t>
      </w:r>
    </w:p>
    <w:bookmarkStart w:id="414" w:name="scoring-developed-country-framework"/>
    <w:p>
      <w:pPr>
        <w:pStyle w:val="Heading4"/>
      </w:pPr>
      <w:r>
        <w:t xml:space="preserve">Scoring (Developed Country Framework)</w:t>
      </w:r>
    </w:p>
    <w:tbl>
      <w:tblPr>
        <w:tblStyle w:val="Table"/>
        <w:tblW w:type="pct" w:w="5000"/>
        <w:tblLayout w:type="fixed"/>
        <w:tblLook w:firstRow="1" w:lastRow="0" w:firstColumn="0" w:lastColumn="0" w:noHBand="0" w:noVBand="0" w:val="0020"/>
      </w:tblPr>
      <w:tblGrid>
        <w:gridCol w:w="1863"/>
        <w:gridCol w:w="2562"/>
        <w:gridCol w:w="3494"/>
      </w:tblGrid>
      <w:tr>
        <w:trPr>
          <w:tblHeader w:val="on"/>
        </w:trPr>
        <w:tc>
          <w:tcPr/>
          <w:p>
            <w:pPr>
              <w:pStyle w:val="Compact"/>
              <w:jc w:val="left"/>
            </w:pPr>
            <w:r>
              <w:t xml:space="preserve">Domain</w:t>
            </w:r>
          </w:p>
        </w:tc>
        <w:tc>
          <w:tcPr/>
          <w:p>
            <w:pPr>
              <w:pStyle w:val="Compact"/>
              <w:jc w:val="left"/>
            </w:pPr>
            <w:r>
              <w:t xml:space="preserve">Criterion</w:t>
            </w:r>
          </w:p>
        </w:tc>
        <w:tc>
          <w:tcPr/>
          <w:p>
            <w:pPr>
              <w:pStyle w:val="Compact"/>
              <w:jc w:val="center"/>
            </w:pPr>
            <w:r>
              <w:t xml:space="preserve">Points Scored</w:t>
            </w:r>
          </w:p>
        </w:tc>
      </w:tr>
      <w:tr>
        <w:tc>
          <w:tcPr/>
          <w:p>
            <w:pPr>
              <w:pStyle w:val="Compact"/>
              <w:jc w:val="left"/>
            </w:pPr>
            <w:r>
              <w:rPr>
                <w:b/>
                <w:bCs/>
              </w:rPr>
              <w:t xml:space="preserve">A. Scale</w:t>
            </w:r>
          </w:p>
        </w:tc>
        <w:tc>
          <w:tcPr/>
          <w:p>
            <w:pPr>
              <w:pStyle w:val="Compact"/>
              <w:jc w:val="left"/>
            </w:pPr>
            <w:r>
              <w:t xml:space="preserve">≥30,000 cases/year</w:t>
            </w:r>
          </w:p>
        </w:tc>
        <w:tc>
          <w:tcPr/>
          <w:p>
            <w:pPr>
              <w:pStyle w:val="Compact"/>
              <w:jc w:val="center"/>
            </w:pPr>
            <w:r>
              <w:t xml:space="preserve">30</w:t>
            </w:r>
          </w:p>
        </w:tc>
      </w:tr>
      <w:tr>
        <w:tc>
          <w:tcPr/>
          <w:p>
            <w:pPr>
              <w:pStyle w:val="Compact"/>
              <w:jc w:val="left"/>
            </w:pPr>
            <w:r>
              <w:rPr>
                <w:b/>
                <w:bCs/>
              </w:rPr>
              <w:t xml:space="preserve">B. Capability</w:t>
            </w:r>
          </w:p>
        </w:tc>
        <w:tc>
          <w:tcPr/>
          <w:p>
            <w:pPr>
              <w:pStyle w:val="Compact"/>
              <w:jc w:val="left"/>
            </w:pPr>
            <w:r>
              <w:t xml:space="preserve">General ICU present</w:t>
            </w:r>
          </w:p>
        </w:tc>
        <w:tc>
          <w:tcPr/>
          <w:p>
            <w:pPr>
              <w:pStyle w:val="Compact"/>
              <w:jc w:val="center"/>
            </w:pPr>
            <w:r>
              <w:t xml:space="preserve">25</w:t>
            </w:r>
          </w:p>
        </w:tc>
      </w:tr>
      <w:tr>
        <w:tc>
          <w:tcPr/>
          <w:p>
            <w:pPr>
              <w:pStyle w:val="Compact"/>
              <w:jc w:val="left"/>
            </w:pPr>
            <w:r>
              <w:rPr>
                <w:b/>
                <w:bCs/>
              </w:rPr>
              <w:t xml:space="preserve">C. Functions</w:t>
            </w:r>
          </w:p>
        </w:tc>
        <w:tc>
          <w:tcPr/>
          <w:p>
            <w:pPr>
              <w:pStyle w:val="Compact"/>
              <w:jc w:val="left"/>
            </w:pPr>
            <w:r>
              <w:t xml:space="preserve">Blood bank/transfusion + Organ allocation</w:t>
            </w:r>
          </w:p>
        </w:tc>
        <w:tc>
          <w:tcPr/>
          <w:p>
            <w:pPr>
              <w:pStyle w:val="Compact"/>
              <w:jc w:val="center"/>
            </w:pPr>
            <w:r>
              <w:t xml:space="preserve">20</w:t>
            </w:r>
          </w:p>
        </w:tc>
      </w:tr>
      <w:tr>
        <w:tc>
          <w:tcPr/>
          <w:p>
            <w:pPr>
              <w:pStyle w:val="Compact"/>
              <w:jc w:val="left"/>
            </w:pPr>
            <w:r>
              <w:rPr>
                <w:b/>
                <w:bCs/>
              </w:rPr>
              <w:t xml:space="preserve">D. Uniqueness</w:t>
            </w:r>
          </w:p>
        </w:tc>
        <w:tc>
          <w:tcPr/>
          <w:p>
            <w:pPr>
              <w:pStyle w:val="Compact"/>
              <w:jc w:val="left"/>
            </w:pPr>
            <w:r>
              <w:t xml:space="preserve">Alternative providers available (metro area)</w:t>
            </w:r>
          </w:p>
        </w:tc>
        <w:tc>
          <w:tcPr/>
          <w:p>
            <w:pPr>
              <w:pStyle w:val="Compact"/>
              <w:jc w:val="center"/>
            </w:pPr>
            <w:r>
              <w:t xml:space="preserve">0</w:t>
            </w:r>
          </w:p>
        </w:tc>
      </w:tr>
      <w:tr>
        <w:tc>
          <w:tcPr/>
          <w:p>
            <w:pPr>
              <w:pStyle w:val="Compact"/>
              <w:jc w:val="left"/>
            </w:pPr>
            <w:r>
              <w:rPr>
                <w:b/>
                <w:bCs/>
              </w:rPr>
              <w:t xml:space="preserve">E. Dependencies</w:t>
            </w:r>
          </w:p>
        </w:tc>
        <w:tc>
          <w:tcPr/>
          <w:p>
            <w:pPr>
              <w:pStyle w:val="Compact"/>
              <w:jc w:val="left"/>
            </w:pPr>
            <w:r>
              <w:t xml:space="preserve">Other regional facilities depend on transplant services</w:t>
            </w:r>
          </w:p>
        </w:tc>
        <w:tc>
          <w:tcPr/>
          <w:p>
            <w:pPr>
              <w:pStyle w:val="Compact"/>
              <w:jc w:val="center"/>
            </w:pPr>
            <w:r>
              <w:t xml:space="preserve">8</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83</w:t>
            </w:r>
          </w:p>
        </w:tc>
      </w:tr>
    </w:tbl>
    <w:bookmarkEnd w:id="414"/>
    <w:bookmarkStart w:id="415" w:name="X3caf40433bb68049eacd7d05634c54c731c154d"/>
    <w:p>
      <w:pPr>
        <w:pStyle w:val="Heading4"/>
      </w:pPr>
      <w:r>
        <w:t xml:space="preserve">Scoring (Developing Country Framework - Adapted)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Criterion</w:t>
            </w:r>
          </w:p>
        </w:tc>
        <w:tc>
          <w:tcPr/>
          <w:p>
            <w:pPr>
              <w:pStyle w:val="Compact"/>
              <w:jc w:val="center"/>
            </w:pPr>
            <w:r>
              <w:t xml:space="preserve">Points Scored</w:t>
            </w:r>
          </w:p>
        </w:tc>
      </w:tr>
      <w:tr>
        <w:tc>
          <w:tcPr/>
          <w:p>
            <w:pPr>
              <w:pStyle w:val="Compact"/>
              <w:jc w:val="left"/>
            </w:pPr>
            <w:r>
              <w:rPr>
                <w:b/>
                <w:bCs/>
              </w:rPr>
              <w:t xml:space="preserve">A. Scale</w:t>
            </w:r>
          </w:p>
        </w:tc>
        <w:tc>
          <w:tcPr/>
          <w:p>
            <w:pPr>
              <w:pStyle w:val="Compact"/>
              <w:jc w:val="left"/>
            </w:pPr>
            <w:r>
              <w:t xml:space="preserve">≥10,000 cases/year</w:t>
            </w:r>
          </w:p>
        </w:tc>
        <w:tc>
          <w:tcPr/>
          <w:p>
            <w:pPr>
              <w:pStyle w:val="Compact"/>
              <w:jc w:val="center"/>
            </w:pPr>
            <w:r>
              <w:t xml:space="preserve">30</w:t>
            </w:r>
          </w:p>
        </w:tc>
      </w:tr>
      <w:tr>
        <w:tc>
          <w:tcPr/>
          <w:p>
            <w:pPr>
              <w:pStyle w:val="Compact"/>
              <w:jc w:val="left"/>
            </w:pPr>
            <w:r>
              <w:rPr>
                <w:b/>
                <w:bCs/>
              </w:rPr>
              <w:t xml:space="preserve">B. Public System Role</w:t>
            </w:r>
          </w:p>
        </w:tc>
        <w:tc>
          <w:tcPr/>
          <w:p>
            <w:pPr>
              <w:pStyle w:val="Compact"/>
              <w:jc w:val="left"/>
            </w:pPr>
            <w:r>
              <w:t xml:space="preserve">Major Government Medical College</w:t>
            </w:r>
          </w:p>
        </w:tc>
        <w:tc>
          <w:tcPr/>
          <w:p>
            <w:pPr>
              <w:pStyle w:val="Compact"/>
              <w:jc w:val="center"/>
            </w:pPr>
            <w:r>
              <w:t xml:space="preserve">25</w:t>
            </w:r>
          </w:p>
        </w:tc>
      </w:tr>
      <w:tr>
        <w:tc>
          <w:tcPr/>
          <w:p>
            <w:pPr>
              <w:pStyle w:val="Compact"/>
              <w:jc w:val="left"/>
            </w:pPr>
            <w:r>
              <w:rPr>
                <w:b/>
                <w:bCs/>
              </w:rPr>
              <w:t xml:space="preserve">C. Geographic Criticality</w:t>
            </w:r>
          </w:p>
        </w:tc>
        <w:tc>
          <w:tcPr/>
          <w:p>
            <w:pPr>
              <w:pStyle w:val="Compact"/>
              <w:jc w:val="left"/>
            </w:pPr>
            <w:r>
              <w:t xml:space="preserve">Metro (not sole provider)</w:t>
            </w:r>
          </w:p>
        </w:tc>
        <w:tc>
          <w:tcPr/>
          <w:p>
            <w:pPr>
              <w:pStyle w:val="Compact"/>
              <w:jc w:val="center"/>
            </w:pPr>
            <w:r>
              <w:t xml:space="preserve">0</w:t>
            </w:r>
          </w:p>
        </w:tc>
      </w:tr>
      <w:tr>
        <w:tc>
          <w:tcPr/>
          <w:p>
            <w:pPr>
              <w:pStyle w:val="Compact"/>
              <w:jc w:val="left"/>
            </w:pPr>
            <w:r>
              <w:rPr>
                <w:b/>
                <w:bCs/>
              </w:rPr>
              <w:t xml:space="preserve">D. National Program Integration</w:t>
            </w:r>
          </w:p>
        </w:tc>
        <w:tc>
          <w:tcPr/>
          <w:p>
            <w:pPr>
              <w:pStyle w:val="Compact"/>
              <w:jc w:val="left"/>
            </w:pPr>
            <w:r>
              <w:t xml:space="preserve">Connected to national HIE</w:t>
            </w:r>
          </w:p>
        </w:tc>
        <w:tc>
          <w:tcPr/>
          <w:p>
            <w:pPr>
              <w:pStyle w:val="Compact"/>
              <w:jc w:val="center"/>
            </w:pPr>
            <w:r>
              <w:t xml:space="preserve">15</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70</w:t>
            </w:r>
          </w:p>
        </w:tc>
      </w:tr>
    </w:tbl>
    <w:bookmarkEnd w:id="415"/>
    <w:bookmarkEnd w:id="416"/>
    <w:bookmarkStart w:id="417" w:name="classification-result"/>
    <w:p>
      <w:pPr>
        <w:pStyle w:val="Heading3"/>
      </w:pPr>
      <w:r>
        <w:t xml:space="preserve">Classification Result</w:t>
      </w:r>
    </w:p>
    <w:tbl>
      <w:tblPr>
        <w:tblStyle w:val="Table"/>
        <w:tblW w:type="pct" w:w="5000"/>
        <w:tblLayout w:type="fixed"/>
        <w:tblLook w:firstRow="1" w:lastRow="0" w:firstColumn="0" w:lastColumn="0" w:noHBand="0" w:noVBand="0" w:val="0020"/>
      </w:tblPr>
      <w:tblGrid>
        <w:gridCol w:w="2489"/>
        <w:gridCol w:w="1584"/>
        <w:gridCol w:w="1357"/>
        <w:gridCol w:w="2489"/>
      </w:tblGrid>
      <w:tr>
        <w:trPr>
          <w:tblHeader w:val="on"/>
        </w:trPr>
        <w:tc>
          <w:tcPr/>
          <w:p>
            <w:pPr>
              <w:pStyle w:val="Compact"/>
              <w:jc w:val="left"/>
            </w:pPr>
            <w:r>
              <w:t xml:space="preserve">Framework</w:t>
            </w:r>
          </w:p>
        </w:tc>
        <w:tc>
          <w:tcPr/>
          <w:p>
            <w:pPr>
              <w:pStyle w:val="Compact"/>
              <w:jc w:val="left"/>
            </w:pPr>
            <w:r>
              <w:t xml:space="preserve">Score</w:t>
            </w:r>
          </w:p>
        </w:tc>
        <w:tc>
          <w:tcPr/>
          <w:p>
            <w:pPr>
              <w:pStyle w:val="Compact"/>
              <w:jc w:val="left"/>
            </w:pPr>
            <w:r>
              <w:t xml:space="preserve">Tier</w:t>
            </w:r>
          </w:p>
        </w:tc>
        <w:tc>
          <w:tcPr/>
          <w:p>
            <w:pPr>
              <w:pStyle w:val="Compact"/>
              <w:jc w:val="left"/>
            </w:pPr>
            <w:r>
              <w:t xml:space="preserve">Rationale</w:t>
            </w:r>
          </w:p>
        </w:tc>
      </w:tr>
      <w:tr>
        <w:tc>
          <w:tcPr/>
          <w:p>
            <w:pPr>
              <w:pStyle w:val="Compact"/>
              <w:jc w:val="left"/>
            </w:pPr>
            <w:r>
              <w:rPr>
                <w:b/>
                <w:bCs/>
              </w:rPr>
              <w:t xml:space="preserve">Developed Country</w:t>
            </w:r>
          </w:p>
        </w:tc>
        <w:tc>
          <w:tcPr/>
          <w:p>
            <w:pPr>
              <w:pStyle w:val="Compact"/>
              <w:jc w:val="left"/>
            </w:pPr>
            <w:r>
              <w:t xml:space="preserve">83</w:t>
            </w:r>
          </w:p>
        </w:tc>
        <w:tc>
          <w:tcPr/>
          <w:p>
            <w:pPr>
              <w:pStyle w:val="Compact"/>
              <w:jc w:val="left"/>
            </w:pPr>
            <w:r>
              <w:rPr>
                <w:b/>
                <w:bCs/>
              </w:rPr>
              <w:t xml:space="preserve">Tier 1 (Essential)</w:t>
            </w:r>
          </w:p>
        </w:tc>
        <w:tc>
          <w:tcPr/>
          <w:p>
            <w:pPr>
              <w:pStyle w:val="Compact"/>
              <w:jc w:val="left"/>
            </w:pPr>
            <w:r>
              <w:t xml:space="preserve">Exceeds 60-point threshold; ICU + transplant capability</w:t>
            </w:r>
          </w:p>
        </w:tc>
      </w:tr>
      <w:tr>
        <w:tc>
          <w:tcPr/>
          <w:p>
            <w:pPr>
              <w:pStyle w:val="Compact"/>
              <w:jc w:val="left"/>
            </w:pPr>
            <w:r>
              <w:rPr>
                <w:b/>
                <w:bCs/>
              </w:rPr>
              <w:t xml:space="preserve">Developing Country</w:t>
            </w:r>
          </w:p>
        </w:tc>
        <w:tc>
          <w:tcPr/>
          <w:p>
            <w:pPr>
              <w:pStyle w:val="Compact"/>
              <w:jc w:val="left"/>
            </w:pPr>
            <w:r>
              <w:t xml:space="preserve">70</w:t>
            </w:r>
          </w:p>
        </w:tc>
        <w:tc>
          <w:tcPr/>
          <w:p>
            <w:pPr>
              <w:pStyle w:val="Compact"/>
              <w:jc w:val="left"/>
            </w:pPr>
            <w:r>
              <w:rPr>
                <w:b/>
                <w:bCs/>
              </w:rPr>
              <w:t xml:space="preserve">Tier 1 (Essential)</w:t>
            </w:r>
          </w:p>
        </w:tc>
        <w:tc>
          <w:tcPr/>
          <w:p>
            <w:pPr>
              <w:pStyle w:val="Compact"/>
              <w:jc w:val="left"/>
            </w:pPr>
            <w:r>
              <w:t xml:space="preserve">Major teaching hospital; national program integration</w:t>
            </w:r>
          </w:p>
        </w:tc>
      </w:tr>
    </w:tbl>
    <w:bookmarkEnd w:id="417"/>
    <w:bookmarkStart w:id="418" w:name="applicable-obligations"/>
    <w:p>
      <w:pPr>
        <w:pStyle w:val="Heading3"/>
      </w:pPr>
      <w:r>
        <w:t xml:space="preserve">Applicable Obligations</w:t>
      </w:r>
    </w:p>
    <w:p>
      <w:pPr>
        <w:pStyle w:val="Compact"/>
        <w:numPr>
          <w:ilvl w:val="0"/>
          <w:numId w:val="1326"/>
        </w:numPr>
      </w:pPr>
      <w:r>
        <w:t xml:space="preserve">Annual security audit (third-party)</w:t>
      </w:r>
    </w:p>
    <w:p>
      <w:pPr>
        <w:pStyle w:val="Compact"/>
        <w:numPr>
          <w:ilvl w:val="0"/>
          <w:numId w:val="1326"/>
        </w:numPr>
      </w:pPr>
      <w:r>
        <w:t xml:space="preserve">24-48 hour incident reporting</w:t>
      </w:r>
    </w:p>
    <w:p>
      <w:pPr>
        <w:pStyle w:val="Compact"/>
        <w:numPr>
          <w:ilvl w:val="0"/>
          <w:numId w:val="1326"/>
        </w:numPr>
      </w:pPr>
      <w:r>
        <w:t xml:space="preserve">Dedicated CISO required</w:t>
      </w:r>
    </w:p>
    <w:p>
      <w:pPr>
        <w:pStyle w:val="Compact"/>
        <w:numPr>
          <w:ilvl w:val="0"/>
          <w:numId w:val="1326"/>
        </w:numPr>
      </w:pPr>
      <w:r>
        <w:t xml:space="preserve">Mandatory business continuity plan</w:t>
      </w:r>
    </w:p>
    <w:p>
      <w:pPr>
        <w:pStyle w:val="Compact"/>
        <w:numPr>
          <w:ilvl w:val="0"/>
          <w:numId w:val="1326"/>
        </w:numPr>
      </w:pPr>
      <w:r>
        <w:t xml:space="preserve">Participation in cyber drills</w:t>
      </w:r>
    </w:p>
    <w:p>
      <w:pPr>
        <w:pStyle w:val="Compact"/>
        <w:numPr>
          <w:ilvl w:val="0"/>
          <w:numId w:val="1326"/>
        </w:numPr>
      </w:pPr>
      <w:r>
        <w:t xml:space="preserve">24/7 security monitoring</w:t>
      </w:r>
    </w:p>
    <w:p>
      <w:r>
        <w:pict>
          <v:rect style="width:0;height:1.5pt" o:hralign="center" o:hrstd="t" o:hr="t"/>
        </w:pict>
      </w:r>
    </w:p>
    <w:bookmarkEnd w:id="418"/>
    <w:bookmarkEnd w:id="419"/>
    <w:bookmarkStart w:id="426" w:name="X9aee356a912c4687004bc3a0b48410be3b201ed"/>
    <w:p>
      <w:pPr>
        <w:pStyle w:val="Heading2"/>
      </w:pPr>
      <w:r>
        <w:t xml:space="preserve">Case Study 2: Rural District Hospital - Greenfield DH</w:t>
      </w:r>
    </w:p>
    <w:bookmarkStart w:id="420" w:name="entity-profile-1"/>
    <w:p>
      <w:pPr>
        <w:pStyle w:val="Heading3"/>
      </w:pPr>
      <w:r>
        <w:t xml:space="preserve">Entity Profile</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jc w:val="left"/>
            </w:pPr>
            <w:r>
              <w:t xml:space="preserve">Attribute</w:t>
            </w:r>
          </w:p>
        </w:tc>
        <w:tc>
          <w:tcPr/>
          <w:p>
            <w:pPr>
              <w:pStyle w:val="Compact"/>
              <w:jc w:val="left"/>
            </w:pPr>
            <w:r>
              <w:t xml:space="preserve">Details</w:t>
            </w:r>
          </w:p>
        </w:tc>
      </w:tr>
      <w:tr>
        <w:tc>
          <w:tcPr/>
          <w:p>
            <w:pPr>
              <w:pStyle w:val="Compact"/>
              <w:jc w:val="left"/>
            </w:pPr>
            <w:r>
              <w:rPr>
                <w:b/>
                <w:bCs/>
              </w:rPr>
              <w:t xml:space="preserve">Name</w:t>
            </w:r>
          </w:p>
        </w:tc>
        <w:tc>
          <w:tcPr/>
          <w:p>
            <w:pPr>
              <w:pStyle w:val="Compact"/>
              <w:jc w:val="left"/>
            </w:pPr>
            <w:r>
              <w:t xml:space="preserve">Greenfield District Hospital</w:t>
            </w:r>
          </w:p>
        </w:tc>
      </w:tr>
      <w:tr>
        <w:tc>
          <w:tcPr/>
          <w:p>
            <w:pPr>
              <w:pStyle w:val="Compact"/>
              <w:jc w:val="left"/>
            </w:pPr>
            <w:r>
              <w:rPr>
                <w:b/>
                <w:bCs/>
              </w:rPr>
              <w:t xml:space="preserve">Type</w:t>
            </w:r>
          </w:p>
        </w:tc>
        <w:tc>
          <w:tcPr/>
          <w:p>
            <w:pPr>
              <w:pStyle w:val="Compact"/>
              <w:jc w:val="left"/>
            </w:pPr>
            <w:r>
              <w:t xml:space="preserve">Government district hospital</w:t>
            </w:r>
          </w:p>
        </w:tc>
      </w:tr>
      <w:tr>
        <w:tc>
          <w:tcPr/>
          <w:p>
            <w:pPr>
              <w:pStyle w:val="Compact"/>
              <w:jc w:val="left"/>
            </w:pPr>
            <w:r>
              <w:rPr>
                <w:b/>
                <w:bCs/>
              </w:rPr>
              <w:t xml:space="preserve">Location</w:t>
            </w:r>
          </w:p>
        </w:tc>
        <w:tc>
          <w:tcPr/>
          <w:p>
            <w:pPr>
              <w:pStyle w:val="Compact"/>
              <w:jc w:val="left"/>
            </w:pPr>
            <w:r>
              <w:t xml:space="preserve">Rural district headquarters (district population 1.2 million)</w:t>
            </w:r>
          </w:p>
        </w:tc>
      </w:tr>
      <w:tr>
        <w:tc>
          <w:tcPr/>
          <w:p>
            <w:pPr>
              <w:pStyle w:val="Compact"/>
              <w:jc w:val="left"/>
            </w:pPr>
            <w:r>
              <w:rPr>
                <w:b/>
                <w:bCs/>
              </w:rPr>
              <w:t xml:space="preserve">Beds</w:t>
            </w:r>
          </w:p>
        </w:tc>
        <w:tc>
          <w:tcPr/>
          <w:p>
            <w:pPr>
              <w:pStyle w:val="Compact"/>
              <w:jc w:val="left"/>
            </w:pPr>
            <w:r>
              <w:t xml:space="preserve">150</w:t>
            </w:r>
          </w:p>
        </w:tc>
      </w:tr>
      <w:tr>
        <w:tc>
          <w:tcPr/>
          <w:p>
            <w:pPr>
              <w:pStyle w:val="Compact"/>
              <w:jc w:val="left"/>
            </w:pPr>
            <w:r>
              <w:rPr>
                <w:b/>
                <w:bCs/>
              </w:rPr>
              <w:t xml:space="preserve">Annual inpatient cases</w:t>
            </w:r>
          </w:p>
        </w:tc>
        <w:tc>
          <w:tcPr/>
          <w:p>
            <w:pPr>
              <w:pStyle w:val="Compact"/>
              <w:jc w:val="left"/>
            </w:pPr>
            <w:r>
              <w:t xml:space="preserve">8,000</w:t>
            </w:r>
          </w:p>
        </w:tc>
      </w:tr>
      <w:tr>
        <w:tc>
          <w:tcPr/>
          <w:p>
            <w:pPr>
              <w:pStyle w:val="Compact"/>
              <w:jc w:val="left"/>
            </w:pPr>
            <w:r>
              <w:rPr>
                <w:b/>
                <w:bCs/>
              </w:rPr>
              <w:t xml:space="preserve">Employees</w:t>
            </w:r>
          </w:p>
        </w:tc>
        <w:tc>
          <w:tcPr/>
          <w:p>
            <w:pPr>
              <w:pStyle w:val="Compact"/>
              <w:jc w:val="left"/>
            </w:pPr>
            <w:r>
              <w:t xml:space="preserve">280</w:t>
            </w:r>
          </w:p>
        </w:tc>
      </w:tr>
      <w:tr>
        <w:tc>
          <w:tcPr/>
          <w:p>
            <w:pPr>
              <w:pStyle w:val="Compact"/>
              <w:jc w:val="left"/>
            </w:pPr>
            <w:r>
              <w:rPr>
                <w:b/>
                <w:bCs/>
              </w:rPr>
              <w:t xml:space="preserve">Key departments</w:t>
            </w:r>
          </w:p>
        </w:tc>
        <w:tc>
          <w:tcPr/>
          <w:p>
            <w:pPr>
              <w:pStyle w:val="Compact"/>
              <w:jc w:val="left"/>
            </w:pPr>
            <w:r>
              <w:t xml:space="preserve">General surgery, Obstetrics, Emergency, No ICU</w:t>
            </w:r>
          </w:p>
        </w:tc>
      </w:tr>
      <w:tr>
        <w:tc>
          <w:tcPr/>
          <w:p>
            <w:pPr>
              <w:pStyle w:val="Compact"/>
              <w:jc w:val="left"/>
            </w:pPr>
            <w:r>
              <w:rPr>
                <w:b/>
                <w:bCs/>
              </w:rPr>
              <w:t xml:space="preserve">Digital systems</w:t>
            </w:r>
          </w:p>
        </w:tc>
        <w:tc>
          <w:tcPr/>
          <w:p>
            <w:pPr>
              <w:pStyle w:val="Compact"/>
              <w:jc w:val="left"/>
            </w:pPr>
            <w:r>
              <w:t xml:space="preserve">Basic HIS, connected to state disease surveillance</w:t>
            </w:r>
          </w:p>
        </w:tc>
      </w:tr>
      <w:tr>
        <w:tc>
          <w:tcPr/>
          <w:p>
            <w:pPr>
              <w:pStyle w:val="Compact"/>
              <w:jc w:val="left"/>
            </w:pPr>
            <w:r>
              <w:rPr>
                <w:b/>
                <w:bCs/>
              </w:rPr>
              <w:t xml:space="preserve">Connectivity</w:t>
            </w:r>
          </w:p>
        </w:tc>
        <w:tc>
          <w:tcPr/>
          <w:p>
            <w:pPr>
              <w:pStyle w:val="Compact"/>
              <w:jc w:val="left"/>
            </w:pPr>
            <w:r>
              <w:t xml:space="preserve">Intermittent broadband; mobile backup</w:t>
            </w:r>
          </w:p>
        </w:tc>
      </w:tr>
      <w:tr>
        <w:tc>
          <w:tcPr/>
          <w:p>
            <w:pPr>
              <w:pStyle w:val="Compact"/>
              <w:jc w:val="left"/>
            </w:pPr>
            <w:r>
              <w:rPr>
                <w:b/>
                <w:bCs/>
              </w:rPr>
              <w:t xml:space="preserve">Special status</w:t>
            </w:r>
          </w:p>
        </w:tc>
        <w:tc>
          <w:tcPr/>
          <w:p>
            <w:pPr>
              <w:pStyle w:val="Compact"/>
              <w:jc w:val="left"/>
            </w:pPr>
            <w:r>
              <w:rPr>
                <w:b/>
                <w:bCs/>
              </w:rPr>
              <w:t xml:space="preserve">Only hospital with surgical capability in the district</w:t>
            </w:r>
          </w:p>
        </w:tc>
      </w:tr>
    </w:tbl>
    <w:bookmarkEnd w:id="420"/>
    <w:bookmarkStart w:id="423" w:name="cii-classification-assessment-1"/>
    <w:p>
      <w:pPr>
        <w:pStyle w:val="Heading3"/>
      </w:pPr>
      <w:r>
        <w:t xml:space="preserve">CII Classification Assessment</w:t>
      </w:r>
    </w:p>
    <w:bookmarkStart w:id="421" w:name="scoring-developed-country-framework-1"/>
    <w:p>
      <w:pPr>
        <w:pStyle w:val="Heading4"/>
      </w:pPr>
      <w:r>
        <w:t xml:space="preserve">Scoring (Developed Country Framework)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Criterion</w:t>
            </w:r>
          </w:p>
        </w:tc>
        <w:tc>
          <w:tcPr/>
          <w:p>
            <w:pPr>
              <w:pStyle w:val="Compact"/>
              <w:jc w:val="center"/>
            </w:pPr>
            <w:r>
              <w:t xml:space="preserve">Points Scored</w:t>
            </w:r>
          </w:p>
        </w:tc>
      </w:tr>
      <w:tr>
        <w:tc>
          <w:tcPr/>
          <w:p>
            <w:pPr>
              <w:pStyle w:val="Compact"/>
              <w:jc w:val="left"/>
            </w:pPr>
            <w:r>
              <w:rPr>
                <w:b/>
                <w:bCs/>
              </w:rPr>
              <w:t xml:space="preserve">A. Scale</w:t>
            </w:r>
          </w:p>
        </w:tc>
        <w:tc>
          <w:tcPr/>
          <w:p>
            <w:pPr>
              <w:pStyle w:val="Compact"/>
              <w:jc w:val="left"/>
            </w:pPr>
            <w:r>
              <w:t xml:space="preserve">5,000–14,999 cases/year</w:t>
            </w:r>
          </w:p>
        </w:tc>
        <w:tc>
          <w:tcPr/>
          <w:p>
            <w:pPr>
              <w:pStyle w:val="Compact"/>
              <w:jc w:val="center"/>
            </w:pPr>
            <w:r>
              <w:t xml:space="preserve">10</w:t>
            </w:r>
          </w:p>
        </w:tc>
      </w:tr>
      <w:tr>
        <w:tc>
          <w:tcPr/>
          <w:p>
            <w:pPr>
              <w:pStyle w:val="Compact"/>
              <w:jc w:val="left"/>
            </w:pPr>
            <w:r>
              <w:rPr>
                <w:b/>
                <w:bCs/>
              </w:rPr>
              <w:t xml:space="preserve">B. Capability</w:t>
            </w:r>
          </w:p>
        </w:tc>
        <w:tc>
          <w:tcPr/>
          <w:p>
            <w:pPr>
              <w:pStyle w:val="Compact"/>
              <w:jc w:val="left"/>
            </w:pPr>
            <w:r>
              <w:t xml:space="preserve">Emergency department only (no ICU)</w:t>
            </w:r>
          </w:p>
        </w:tc>
        <w:tc>
          <w:tcPr/>
          <w:p>
            <w:pPr>
              <w:pStyle w:val="Compact"/>
              <w:jc w:val="center"/>
            </w:pPr>
            <w:r>
              <w:t xml:space="preserve">10</w:t>
            </w:r>
          </w:p>
        </w:tc>
      </w:tr>
      <w:tr>
        <w:tc>
          <w:tcPr/>
          <w:p>
            <w:pPr>
              <w:pStyle w:val="Compact"/>
              <w:jc w:val="left"/>
            </w:pPr>
            <w:r>
              <w:rPr>
                <w:b/>
                <w:bCs/>
              </w:rPr>
              <w:t xml:space="preserve">C. Functions</w:t>
            </w:r>
          </w:p>
        </w:tc>
        <w:tc>
          <w:tcPr/>
          <w:p>
            <w:pPr>
              <w:pStyle w:val="Compact"/>
              <w:jc w:val="left"/>
            </w:pPr>
            <w:r>
              <w:t xml:space="preserve">None of the critical functions listed</w:t>
            </w:r>
          </w:p>
        </w:tc>
        <w:tc>
          <w:tcPr/>
          <w:p>
            <w:pPr>
              <w:pStyle w:val="Compact"/>
              <w:jc w:val="center"/>
            </w:pPr>
            <w:r>
              <w:t xml:space="preserve">0</w:t>
            </w:r>
          </w:p>
        </w:tc>
      </w:tr>
      <w:tr>
        <w:tc>
          <w:tcPr/>
          <w:p>
            <w:pPr>
              <w:pStyle w:val="Compact"/>
              <w:jc w:val="left"/>
            </w:pPr>
            <w:r>
              <w:rPr>
                <w:b/>
                <w:bCs/>
              </w:rPr>
              <w:t xml:space="preserve">D. Uniqueness</w:t>
            </w:r>
          </w:p>
        </w:tc>
        <w:tc>
          <w:tcPr/>
          <w:p>
            <w:pPr>
              <w:pStyle w:val="Compact"/>
              <w:jc w:val="left"/>
            </w:pPr>
            <w:r>
              <w:t xml:space="preserve">Sole provider in region</w:t>
            </w:r>
          </w:p>
        </w:tc>
        <w:tc>
          <w:tcPr/>
          <w:p>
            <w:pPr>
              <w:pStyle w:val="Compact"/>
              <w:jc w:val="center"/>
            </w:pPr>
            <w:r>
              <w:t xml:space="preserve">10</w:t>
            </w:r>
          </w:p>
        </w:tc>
      </w:tr>
      <w:tr>
        <w:tc>
          <w:tcPr/>
          <w:p>
            <w:pPr>
              <w:pStyle w:val="Compact"/>
              <w:jc w:val="left"/>
            </w:pPr>
            <w:r>
              <w:rPr>
                <w:b/>
                <w:bCs/>
              </w:rPr>
              <w:t xml:space="preserve">E. Dependencies</w:t>
            </w:r>
          </w:p>
        </w:tc>
        <w:tc>
          <w:tcPr/>
          <w:p>
            <w:pPr>
              <w:pStyle w:val="Compact"/>
              <w:jc w:val="left"/>
            </w:pPr>
            <w:r>
              <w:t xml:space="preserve">Limited external dependencies</w:t>
            </w:r>
          </w:p>
        </w:tc>
        <w:tc>
          <w:tcPr/>
          <w:p>
            <w:pPr>
              <w:pStyle w:val="Compact"/>
              <w:jc w:val="center"/>
            </w:pPr>
            <w:r>
              <w:t xml:space="preserve">3</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33</w:t>
            </w:r>
          </w:p>
        </w:tc>
      </w:tr>
    </w:tbl>
    <w:bookmarkEnd w:id="421"/>
    <w:bookmarkStart w:id="422" w:name="X0ab32670d4b6a1a97fb0e48e0c479b2b8ea3b00"/>
    <w:p>
      <w:pPr>
        <w:pStyle w:val="Heading4"/>
      </w:pPr>
      <w:r>
        <w:t xml:space="preserve">Scoring (Developing Country Framework - Adapted)</w:t>
      </w:r>
    </w:p>
    <w:tbl>
      <w:tblPr>
        <w:tblStyle w:val="Table"/>
        <w:tblW w:type="pct" w:w="5000"/>
        <w:tblLayout w:type="fixed"/>
        <w:tblLook w:firstRow="1" w:lastRow="0" w:firstColumn="0" w:lastColumn="0" w:noHBand="0" w:noVBand="0" w:val="0020"/>
      </w:tblPr>
      <w:tblGrid>
        <w:gridCol w:w="1863"/>
        <w:gridCol w:w="2562"/>
        <w:gridCol w:w="3494"/>
      </w:tblGrid>
      <w:tr>
        <w:trPr>
          <w:tblHeader w:val="on"/>
        </w:trPr>
        <w:tc>
          <w:tcPr/>
          <w:p>
            <w:pPr>
              <w:pStyle w:val="Compact"/>
              <w:jc w:val="left"/>
            </w:pPr>
            <w:r>
              <w:t xml:space="preserve">Domain</w:t>
            </w:r>
          </w:p>
        </w:tc>
        <w:tc>
          <w:tcPr/>
          <w:p>
            <w:pPr>
              <w:pStyle w:val="Compact"/>
              <w:jc w:val="left"/>
            </w:pPr>
            <w:r>
              <w:t xml:space="preserve">Criterion</w:t>
            </w:r>
          </w:p>
        </w:tc>
        <w:tc>
          <w:tcPr/>
          <w:p>
            <w:pPr>
              <w:pStyle w:val="Compact"/>
              <w:jc w:val="center"/>
            </w:pPr>
            <w:r>
              <w:t xml:space="preserve">Points Scored</w:t>
            </w:r>
          </w:p>
        </w:tc>
      </w:tr>
      <w:tr>
        <w:tc>
          <w:tcPr/>
          <w:p>
            <w:pPr>
              <w:pStyle w:val="Compact"/>
              <w:jc w:val="left"/>
            </w:pPr>
            <w:r>
              <w:rPr>
                <w:b/>
                <w:bCs/>
              </w:rPr>
              <w:t xml:space="preserve">A. Scale</w:t>
            </w:r>
          </w:p>
        </w:tc>
        <w:tc>
          <w:tcPr/>
          <w:p>
            <w:pPr>
              <w:pStyle w:val="Compact"/>
              <w:jc w:val="left"/>
            </w:pPr>
            <w:r>
              <w:t xml:space="preserve">5,000–9,999 cases/year</w:t>
            </w:r>
          </w:p>
        </w:tc>
        <w:tc>
          <w:tcPr/>
          <w:p>
            <w:pPr>
              <w:pStyle w:val="Compact"/>
              <w:jc w:val="center"/>
            </w:pPr>
            <w:r>
              <w:t xml:space="preserve">20</w:t>
            </w:r>
          </w:p>
        </w:tc>
      </w:tr>
      <w:tr>
        <w:tc>
          <w:tcPr/>
          <w:p>
            <w:pPr>
              <w:pStyle w:val="Compact"/>
              <w:jc w:val="left"/>
            </w:pPr>
            <w:r>
              <w:rPr>
                <w:b/>
                <w:bCs/>
              </w:rPr>
              <w:t xml:space="preserve">B. Public System Role</w:t>
            </w:r>
          </w:p>
        </w:tc>
        <w:tc>
          <w:tcPr/>
          <w:p>
            <w:pPr>
              <w:pStyle w:val="Compact"/>
              <w:jc w:val="left"/>
            </w:pPr>
            <w:r>
              <w:t xml:space="preserve">District Hospital (sole in district)</w:t>
            </w:r>
          </w:p>
        </w:tc>
        <w:tc>
          <w:tcPr/>
          <w:p>
            <w:pPr>
              <w:pStyle w:val="Compact"/>
              <w:jc w:val="center"/>
            </w:pPr>
            <w:r>
              <w:t xml:space="preserve">25</w:t>
            </w:r>
          </w:p>
        </w:tc>
      </w:tr>
      <w:tr>
        <w:tc>
          <w:tcPr/>
          <w:p>
            <w:pPr>
              <w:pStyle w:val="Compact"/>
              <w:jc w:val="left"/>
            </w:pPr>
            <w:r>
              <w:rPr>
                <w:b/>
                <w:bCs/>
              </w:rPr>
              <w:t xml:space="preserve">C. Geographic Criticality</w:t>
            </w:r>
          </w:p>
        </w:tc>
        <w:tc>
          <w:tcPr/>
          <w:p>
            <w:pPr>
              <w:pStyle w:val="Compact"/>
              <w:jc w:val="left"/>
            </w:pPr>
            <w:r>
              <w:t xml:space="preserve">Sole provider &gt;50km radius</w:t>
            </w:r>
          </w:p>
        </w:tc>
        <w:tc>
          <w:tcPr/>
          <w:p>
            <w:pPr>
              <w:pStyle w:val="Compact"/>
              <w:jc w:val="center"/>
            </w:pPr>
            <w:r>
              <w:t xml:space="preserve">20</w:t>
            </w:r>
          </w:p>
        </w:tc>
      </w:tr>
      <w:tr>
        <w:tc>
          <w:tcPr/>
          <w:p>
            <w:pPr>
              <w:pStyle w:val="Compact"/>
              <w:jc w:val="left"/>
            </w:pPr>
            <w:r>
              <w:rPr>
                <w:b/>
                <w:bCs/>
              </w:rPr>
              <w:t xml:space="preserve">D. National Program Integration</w:t>
            </w:r>
          </w:p>
        </w:tc>
        <w:tc>
          <w:tcPr/>
          <w:p>
            <w:pPr>
              <w:pStyle w:val="Compact"/>
              <w:jc w:val="left"/>
            </w:pPr>
            <w:r>
              <w:t xml:space="preserve">State disease surveillance node</w:t>
            </w:r>
          </w:p>
        </w:tc>
        <w:tc>
          <w:tcPr/>
          <w:p>
            <w:pPr>
              <w:pStyle w:val="Compact"/>
              <w:jc w:val="center"/>
            </w:pPr>
            <w:r>
              <w:t xml:space="preserve">10</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75</w:t>
            </w:r>
          </w:p>
        </w:tc>
      </w:tr>
    </w:tbl>
    <w:bookmarkEnd w:id="422"/>
    <w:bookmarkEnd w:id="423"/>
    <w:bookmarkStart w:id="424" w:name="classification-result-1"/>
    <w:p>
      <w:pPr>
        <w:pStyle w:val="Heading3"/>
      </w:pPr>
      <w:r>
        <w:t xml:space="preserve">Classification Result</w:t>
      </w:r>
    </w:p>
    <w:tbl>
      <w:tblPr>
        <w:tblStyle w:val="Table"/>
        <w:tblW w:type="pct" w:w="5000"/>
        <w:tblLayout w:type="fixed"/>
        <w:tblLook w:firstRow="1" w:lastRow="0" w:firstColumn="0" w:lastColumn="0" w:noHBand="0" w:noVBand="0" w:val="0020"/>
      </w:tblPr>
      <w:tblGrid>
        <w:gridCol w:w="2489"/>
        <w:gridCol w:w="1584"/>
        <w:gridCol w:w="1357"/>
        <w:gridCol w:w="2489"/>
      </w:tblGrid>
      <w:tr>
        <w:trPr>
          <w:tblHeader w:val="on"/>
        </w:trPr>
        <w:tc>
          <w:tcPr/>
          <w:p>
            <w:pPr>
              <w:pStyle w:val="Compact"/>
              <w:jc w:val="left"/>
            </w:pPr>
            <w:r>
              <w:t xml:space="preserve">Framework</w:t>
            </w:r>
          </w:p>
        </w:tc>
        <w:tc>
          <w:tcPr/>
          <w:p>
            <w:pPr>
              <w:pStyle w:val="Compact"/>
              <w:jc w:val="left"/>
            </w:pPr>
            <w:r>
              <w:t xml:space="preserve">Score</w:t>
            </w:r>
          </w:p>
        </w:tc>
        <w:tc>
          <w:tcPr/>
          <w:p>
            <w:pPr>
              <w:pStyle w:val="Compact"/>
              <w:jc w:val="left"/>
            </w:pPr>
            <w:r>
              <w:t xml:space="preserve">Tier</w:t>
            </w:r>
          </w:p>
        </w:tc>
        <w:tc>
          <w:tcPr/>
          <w:p>
            <w:pPr>
              <w:pStyle w:val="Compact"/>
              <w:jc w:val="left"/>
            </w:pPr>
            <w:r>
              <w:t xml:space="preserve">Rationale</w:t>
            </w:r>
          </w:p>
        </w:tc>
      </w:tr>
      <w:tr>
        <w:tc>
          <w:tcPr/>
          <w:p>
            <w:pPr>
              <w:pStyle w:val="Compact"/>
              <w:jc w:val="left"/>
            </w:pPr>
            <w:r>
              <w:rPr>
                <w:b/>
                <w:bCs/>
              </w:rPr>
              <w:t xml:space="preserve">Developed Country</w:t>
            </w:r>
          </w:p>
        </w:tc>
        <w:tc>
          <w:tcPr/>
          <w:p>
            <w:pPr>
              <w:pStyle w:val="Compact"/>
              <w:jc w:val="left"/>
            </w:pPr>
            <w:r>
              <w:t xml:space="preserve">33</w:t>
            </w:r>
          </w:p>
        </w:tc>
        <w:tc>
          <w:tcPr/>
          <w:p>
            <w:pPr>
              <w:pStyle w:val="Compact"/>
              <w:jc w:val="left"/>
            </w:pPr>
            <w:r>
              <w:rPr>
                <w:b/>
                <w:bCs/>
              </w:rPr>
              <w:t xml:space="preserve">Tier 2 (Important)</w:t>
            </w:r>
          </w:p>
        </w:tc>
        <w:tc>
          <w:tcPr/>
          <w:p>
            <w:pPr>
              <w:pStyle w:val="Compact"/>
              <w:jc w:val="left"/>
            </w:pPr>
            <w:r>
              <w:t xml:space="preserve">Above 30 threshold; sole provider adds weight</w:t>
            </w:r>
          </w:p>
        </w:tc>
      </w:tr>
      <w:tr>
        <w:tc>
          <w:tcPr/>
          <w:p>
            <w:pPr>
              <w:pStyle w:val="Compact"/>
              <w:jc w:val="left"/>
            </w:pPr>
            <w:r>
              <w:rPr>
                <w:b/>
                <w:bCs/>
              </w:rPr>
              <w:t xml:space="preserve">Developing Country</w:t>
            </w:r>
          </w:p>
        </w:tc>
        <w:tc>
          <w:tcPr/>
          <w:p>
            <w:pPr>
              <w:pStyle w:val="Compact"/>
              <w:jc w:val="left"/>
            </w:pPr>
            <w:r>
              <w:t xml:space="preserve">75</w:t>
            </w:r>
          </w:p>
        </w:tc>
        <w:tc>
          <w:tcPr/>
          <w:p>
            <w:pPr>
              <w:pStyle w:val="Compact"/>
              <w:jc w:val="left"/>
            </w:pPr>
            <w:r>
              <w:rPr>
                <w:b/>
                <w:bCs/>
              </w:rPr>
              <w:t xml:space="preserve">Tier 1 (Essential)</w:t>
            </w:r>
          </w:p>
        </w:tc>
        <w:tc>
          <w:tcPr/>
          <w:p>
            <w:pPr>
              <w:pStyle w:val="Compact"/>
              <w:jc w:val="left"/>
            </w:pPr>
            <w:r>
              <w:rPr>
                <w:b/>
                <w:bCs/>
              </w:rPr>
              <w:t xml:space="preserve">Automatic Tier 1 trigger</w:t>
            </w:r>
            <w:r>
              <w:t xml:space="preserve">: Sole district hospital</w:t>
            </w:r>
          </w:p>
        </w:tc>
      </w:tr>
    </w:tbl>
    <w:p>
      <w:pPr>
        <w:pStyle w:val="BlockText"/>
      </w:pPr>
      <w:r>
        <w:t xml:space="preserve">[!IMPORTANT]</w:t>
      </w:r>
      <w:r>
        <w:t xml:space="preserve"> </w:t>
      </w:r>
      <w:r>
        <w:t xml:space="preserve">This case illustrates why developing country adaptations are critical. Under developed-country thresholds, this hospital would be Tier 2. However, as the</w:t>
      </w:r>
      <w:r>
        <w:t xml:space="preserve"> </w:t>
      </w:r>
      <w:r>
        <w:rPr>
          <w:b/>
          <w:bCs/>
        </w:rPr>
        <w:t xml:space="preserve">sole surgical/obstetric facility for 1.2 million people</w:t>
      </w:r>
      <w:r>
        <w:t xml:space="preserve">, it merits Tier 1 designation in the developing country context.</w:t>
      </w:r>
    </w:p>
    <w:bookmarkEnd w:id="424"/>
    <w:bookmarkStart w:id="425" w:name="Xfd473297de823c1424afcfbf66d703800e28126"/>
    <w:p>
      <w:pPr>
        <w:pStyle w:val="Heading3"/>
      </w:pPr>
      <w:r>
        <w:t xml:space="preserve">Applicable Obligations (Developing Country Tier 1)</w:t>
      </w:r>
    </w:p>
    <w:p>
      <w:pPr>
        <w:pStyle w:val="Compact"/>
        <w:numPr>
          <w:ilvl w:val="0"/>
          <w:numId w:val="1327"/>
        </w:numPr>
      </w:pPr>
      <w:r>
        <w:t xml:space="preserve">Annual security audit (may be state-supported)</w:t>
      </w:r>
    </w:p>
    <w:p>
      <w:pPr>
        <w:pStyle w:val="Compact"/>
        <w:numPr>
          <w:ilvl w:val="0"/>
          <w:numId w:val="1327"/>
        </w:numPr>
      </w:pPr>
      <w:r>
        <w:t xml:space="preserve">24-48 hour incident reporting</w:t>
      </w:r>
    </w:p>
    <w:p>
      <w:pPr>
        <w:pStyle w:val="Compact"/>
        <w:numPr>
          <w:ilvl w:val="0"/>
          <w:numId w:val="1327"/>
        </w:numPr>
      </w:pPr>
      <w:r>
        <w:t xml:space="preserve">Security focal point required (may share with district administration)</w:t>
      </w:r>
    </w:p>
    <w:p>
      <w:pPr>
        <w:pStyle w:val="Compact"/>
        <w:numPr>
          <w:ilvl w:val="0"/>
          <w:numId w:val="1327"/>
        </w:numPr>
      </w:pPr>
      <w:r>
        <w:t xml:space="preserve">Business continuity plan with manual fallback procedures</w:t>
      </w:r>
    </w:p>
    <w:p>
      <w:pPr>
        <w:pStyle w:val="Compact"/>
        <w:numPr>
          <w:ilvl w:val="0"/>
          <w:numId w:val="1327"/>
        </w:numPr>
      </w:pPr>
      <w:r>
        <w:t xml:space="preserve">State SOC integration (shared services model)</w:t>
      </w:r>
    </w:p>
    <w:p>
      <w:r>
        <w:pict>
          <v:rect style="width:0;height:1.5pt" o:hralign="center" o:hrstd="t" o:hr="t"/>
        </w:pict>
      </w:r>
    </w:p>
    <w:bookmarkEnd w:id="425"/>
    <w:bookmarkEnd w:id="426"/>
    <w:bookmarkStart w:id="434" w:name="X34be264702d59f4fee2f2dfa5fb48329be82602"/>
    <w:p>
      <w:pPr>
        <w:pStyle w:val="Heading2"/>
      </w:pPr>
      <w:r>
        <w:t xml:space="preserve">Case Study 3: Private Hospital Chain - HealthFirst Network</w:t>
      </w:r>
    </w:p>
    <w:bookmarkStart w:id="427" w:name="entity-profile-2"/>
    <w:p>
      <w:pPr>
        <w:pStyle w:val="Heading3"/>
      </w:pPr>
      <w:r>
        <w:t xml:space="preserve">Entity Profile</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jc w:val="left"/>
            </w:pPr>
            <w:r>
              <w:t xml:space="preserve">Attribute</w:t>
            </w:r>
          </w:p>
        </w:tc>
        <w:tc>
          <w:tcPr/>
          <w:p>
            <w:pPr>
              <w:pStyle w:val="Compact"/>
              <w:jc w:val="left"/>
            </w:pPr>
            <w:r>
              <w:t xml:space="preserve">Details</w:t>
            </w:r>
          </w:p>
        </w:tc>
      </w:tr>
      <w:tr>
        <w:tc>
          <w:tcPr/>
          <w:p>
            <w:pPr>
              <w:pStyle w:val="Compact"/>
              <w:jc w:val="left"/>
            </w:pPr>
            <w:r>
              <w:rPr>
                <w:b/>
                <w:bCs/>
              </w:rPr>
              <w:t xml:space="preserve">Name</w:t>
            </w:r>
          </w:p>
        </w:tc>
        <w:tc>
          <w:tcPr/>
          <w:p>
            <w:pPr>
              <w:pStyle w:val="Compact"/>
              <w:jc w:val="left"/>
            </w:pPr>
            <w:r>
              <w:t xml:space="preserve">HealthFirst Hospital Network</w:t>
            </w:r>
          </w:p>
        </w:tc>
      </w:tr>
      <w:tr>
        <w:tc>
          <w:tcPr/>
          <w:p>
            <w:pPr>
              <w:pStyle w:val="Compact"/>
              <w:jc w:val="left"/>
            </w:pPr>
            <w:r>
              <w:rPr>
                <w:b/>
                <w:bCs/>
              </w:rPr>
              <w:t xml:space="preserve">Type</w:t>
            </w:r>
          </w:p>
        </w:tc>
        <w:tc>
          <w:tcPr/>
          <w:p>
            <w:pPr>
              <w:pStyle w:val="Compact"/>
              <w:jc w:val="left"/>
            </w:pPr>
            <w:r>
              <w:t xml:space="preserve">Private corporate hospital chain</w:t>
            </w:r>
          </w:p>
        </w:tc>
      </w:tr>
      <w:tr>
        <w:tc>
          <w:tcPr/>
          <w:p>
            <w:pPr>
              <w:pStyle w:val="Compact"/>
              <w:jc w:val="left"/>
            </w:pPr>
            <w:r>
              <w:rPr>
                <w:b/>
                <w:bCs/>
              </w:rPr>
              <w:t xml:space="preserve">Coverage</w:t>
            </w:r>
          </w:p>
        </w:tc>
        <w:tc>
          <w:tcPr/>
          <w:p>
            <w:pPr>
              <w:pStyle w:val="Compact"/>
              <w:jc w:val="left"/>
            </w:pPr>
            <w:r>
              <w:t xml:space="preserve">15 hospitals across 8 states</w:t>
            </w:r>
          </w:p>
        </w:tc>
      </w:tr>
      <w:tr>
        <w:tc>
          <w:tcPr/>
          <w:p>
            <w:pPr>
              <w:pStyle w:val="Compact"/>
              <w:jc w:val="left"/>
            </w:pPr>
            <w:r>
              <w:rPr>
                <w:b/>
                <w:bCs/>
              </w:rPr>
              <w:t xml:space="preserve">Total beds</w:t>
            </w:r>
          </w:p>
        </w:tc>
        <w:tc>
          <w:tcPr/>
          <w:p>
            <w:pPr>
              <w:pStyle w:val="Compact"/>
              <w:jc w:val="left"/>
            </w:pPr>
            <w:r>
              <w:t xml:space="preserve">4,500 (average 300 per hospital)</w:t>
            </w:r>
          </w:p>
        </w:tc>
      </w:tr>
      <w:tr>
        <w:tc>
          <w:tcPr/>
          <w:p>
            <w:pPr>
              <w:pStyle w:val="Compact"/>
              <w:jc w:val="left"/>
            </w:pPr>
            <w:r>
              <w:rPr>
                <w:b/>
                <w:bCs/>
              </w:rPr>
              <w:t xml:space="preserve">Annual inpatient cases</w:t>
            </w:r>
          </w:p>
        </w:tc>
        <w:tc>
          <w:tcPr/>
          <w:p>
            <w:pPr>
              <w:pStyle w:val="Compact"/>
              <w:jc w:val="left"/>
            </w:pPr>
            <w:r>
              <w:t xml:space="preserve">180,000 (network-wide)</w:t>
            </w:r>
          </w:p>
        </w:tc>
      </w:tr>
      <w:tr>
        <w:tc>
          <w:tcPr/>
          <w:p>
            <w:pPr>
              <w:pStyle w:val="Compact"/>
              <w:jc w:val="left"/>
            </w:pPr>
            <w:r>
              <w:rPr>
                <w:b/>
                <w:bCs/>
              </w:rPr>
              <w:t xml:space="preserve">Employees</w:t>
            </w:r>
          </w:p>
        </w:tc>
        <w:tc>
          <w:tcPr/>
          <w:p>
            <w:pPr>
              <w:pStyle w:val="Compact"/>
              <w:jc w:val="left"/>
            </w:pPr>
            <w:r>
              <w:t xml:space="preserve">12,000</w:t>
            </w:r>
          </w:p>
        </w:tc>
      </w:tr>
      <w:tr>
        <w:tc>
          <w:tcPr/>
          <w:p>
            <w:pPr>
              <w:pStyle w:val="Compact"/>
              <w:jc w:val="left"/>
            </w:pPr>
            <w:r>
              <w:rPr>
                <w:b/>
                <w:bCs/>
              </w:rPr>
              <w:t xml:space="preserve">Key features</w:t>
            </w:r>
          </w:p>
        </w:tc>
        <w:tc>
          <w:tcPr/>
          <w:p>
            <w:pPr>
              <w:pStyle w:val="Compact"/>
              <w:jc w:val="left"/>
            </w:pPr>
            <w:r>
              <w:t xml:space="preserve">ICU in all facilities; 3 hospitals with cardiac surgery</w:t>
            </w:r>
          </w:p>
        </w:tc>
      </w:tr>
      <w:tr>
        <w:tc>
          <w:tcPr/>
          <w:p>
            <w:pPr>
              <w:pStyle w:val="Compact"/>
              <w:jc w:val="left"/>
            </w:pPr>
            <w:r>
              <w:rPr>
                <w:b/>
                <w:bCs/>
              </w:rPr>
              <w:t xml:space="preserve">Digital systems</w:t>
            </w:r>
          </w:p>
        </w:tc>
        <w:tc>
          <w:tcPr/>
          <w:p>
            <w:pPr>
              <w:pStyle w:val="Compact"/>
              <w:jc w:val="left"/>
            </w:pPr>
            <w:r>
              <w:t xml:space="preserve">Centralized cloud EHR; unified patient portal</w:t>
            </w:r>
          </w:p>
        </w:tc>
      </w:tr>
      <w:tr>
        <w:tc>
          <w:tcPr/>
          <w:p>
            <w:pPr>
              <w:pStyle w:val="Compact"/>
              <w:jc w:val="left"/>
            </w:pPr>
            <w:r>
              <w:rPr>
                <w:b/>
                <w:bCs/>
              </w:rPr>
              <w:t xml:space="preserve">Market position</w:t>
            </w:r>
          </w:p>
        </w:tc>
        <w:tc>
          <w:tcPr/>
          <w:p>
            <w:pPr>
              <w:pStyle w:val="Compact"/>
              <w:jc w:val="left"/>
            </w:pPr>
            <w:r>
              <w:t xml:space="preserve">Second-largest private chain in the country</w:t>
            </w:r>
          </w:p>
        </w:tc>
      </w:tr>
    </w:tbl>
    <w:bookmarkEnd w:id="427"/>
    <w:bookmarkStart w:id="431" w:name="cii-classification-assessment-2"/>
    <w:p>
      <w:pPr>
        <w:pStyle w:val="Heading3"/>
      </w:pPr>
      <w:r>
        <w:t xml:space="preserve">CII Classification Assessment</w:t>
      </w:r>
    </w:p>
    <w:bookmarkStart w:id="428" w:name="entity-level-vs-system-level-analysis"/>
    <w:p>
      <w:pPr>
        <w:pStyle w:val="Heading4"/>
      </w:pPr>
      <w:r>
        <w:t xml:space="preserve">Entity-Level vs System-Level Analysis</w:t>
      </w:r>
    </w:p>
    <w:tbl>
      <w:tblPr>
        <w:tblStyle w:val="Table"/>
        <w:tblW w:type="pct" w:w="5000"/>
        <w:tblLayout w:type="fixed"/>
        <w:tblLook w:firstRow="1" w:lastRow="0" w:firstColumn="0" w:lastColumn="0" w:noHBand="0" w:noVBand="0" w:val="0020"/>
      </w:tblPr>
      <w:tblGrid>
        <w:gridCol w:w="3840"/>
        <w:gridCol w:w="1680"/>
        <w:gridCol w:w="2400"/>
      </w:tblGrid>
      <w:tr>
        <w:trPr>
          <w:tblHeader w:val="on"/>
        </w:trPr>
        <w:tc>
          <w:tcPr/>
          <w:p>
            <w:pPr>
              <w:pStyle w:val="Compact"/>
              <w:jc w:val="left"/>
            </w:pPr>
            <w:r>
              <w:t xml:space="preserve">Analysis Level</w:t>
            </w:r>
          </w:p>
        </w:tc>
        <w:tc>
          <w:tcPr/>
          <w:p>
            <w:pPr>
              <w:pStyle w:val="Compact"/>
              <w:jc w:val="left"/>
            </w:pPr>
            <w:r>
              <w:t xml:space="preserve">Scope</w:t>
            </w:r>
          </w:p>
        </w:tc>
        <w:tc>
          <w:tcPr/>
          <w:p>
            <w:pPr>
              <w:pStyle w:val="Compact"/>
              <w:jc w:val="left"/>
            </w:pPr>
            <w:r>
              <w:t xml:space="preserve">Approach</w:t>
            </w:r>
          </w:p>
        </w:tc>
      </w:tr>
      <w:tr>
        <w:tc>
          <w:tcPr/>
          <w:p>
            <w:pPr>
              <w:pStyle w:val="Compact"/>
              <w:jc w:val="left"/>
            </w:pPr>
            <w:r>
              <w:rPr>
                <w:b/>
                <w:bCs/>
              </w:rPr>
              <w:t xml:space="preserve">Entity-level (network)</w:t>
            </w:r>
          </w:p>
        </w:tc>
        <w:tc>
          <w:tcPr/>
          <w:p>
            <w:pPr>
              <w:pStyle w:val="Compact"/>
              <w:jc w:val="left"/>
            </w:pPr>
            <w:r>
              <w:t xml:space="preserve">Entire chain as single entity</w:t>
            </w:r>
          </w:p>
        </w:tc>
        <w:tc>
          <w:tcPr/>
          <w:p>
            <w:pPr>
              <w:pStyle w:val="Compact"/>
              <w:jc w:val="left"/>
            </w:pPr>
            <w:r>
              <w:t xml:space="preserve">Aggregate scoring</w:t>
            </w:r>
          </w:p>
        </w:tc>
      </w:tr>
      <w:tr>
        <w:tc>
          <w:tcPr/>
          <w:p>
            <w:pPr>
              <w:pStyle w:val="Compact"/>
              <w:jc w:val="left"/>
            </w:pPr>
            <w:r>
              <w:rPr>
                <w:b/>
                <w:bCs/>
              </w:rPr>
              <w:t xml:space="preserve">System-level</w:t>
            </w:r>
          </w:p>
        </w:tc>
        <w:tc>
          <w:tcPr/>
          <w:p>
            <w:pPr>
              <w:pStyle w:val="Compact"/>
              <w:jc w:val="left"/>
            </w:pPr>
            <w:r>
              <w:t xml:space="preserve">Centralized EHR platform</w:t>
            </w:r>
          </w:p>
        </w:tc>
        <w:tc>
          <w:tcPr/>
          <w:p>
            <w:pPr>
              <w:pStyle w:val="Compact"/>
              <w:jc w:val="left"/>
            </w:pPr>
            <w:r>
              <w:t xml:space="preserve">System criticality assessment</w:t>
            </w:r>
          </w:p>
        </w:tc>
      </w:tr>
      <w:tr>
        <w:tc>
          <w:tcPr/>
          <w:p>
            <w:pPr>
              <w:pStyle w:val="Compact"/>
              <w:jc w:val="left"/>
            </w:pPr>
            <w:r>
              <w:rPr>
                <w:b/>
                <w:bCs/>
              </w:rPr>
              <w:t xml:space="preserve">Facility-level</w:t>
            </w:r>
          </w:p>
        </w:tc>
        <w:tc>
          <w:tcPr/>
          <w:p>
            <w:pPr>
              <w:pStyle w:val="Compact"/>
              <w:jc w:val="left"/>
            </w:pPr>
            <w:r>
              <w:t xml:space="preserve">Each hospital individually</w:t>
            </w:r>
          </w:p>
        </w:tc>
        <w:tc>
          <w:tcPr/>
          <w:p>
            <w:pPr>
              <w:pStyle w:val="Compact"/>
              <w:jc w:val="left"/>
            </w:pPr>
            <w:r>
              <w:t xml:space="preserve">Facility-by-facility scoring</w:t>
            </w:r>
          </w:p>
        </w:tc>
      </w:tr>
    </w:tbl>
    <w:bookmarkEnd w:id="428"/>
    <w:bookmarkStart w:id="429" w:name="network-level-scoring-developing-country"/>
    <w:p>
      <w:pPr>
        <w:pStyle w:val="Heading4"/>
      </w:pPr>
      <w:r>
        <w:t xml:space="preserve">Network-Level Scoring (Developing Country)</w:t>
      </w:r>
    </w:p>
    <w:tbl>
      <w:tblPr>
        <w:tblStyle w:val="Table"/>
        <w:tblW w:type="pct" w:w="5000"/>
        <w:tblLayout w:type="fixed"/>
        <w:tblLook w:firstRow="1" w:lastRow="0" w:firstColumn="0" w:lastColumn="0" w:noHBand="0" w:noVBand="0" w:val="0020"/>
      </w:tblPr>
      <w:tblGrid>
        <w:gridCol w:w="1863"/>
        <w:gridCol w:w="2562"/>
        <w:gridCol w:w="3494"/>
      </w:tblGrid>
      <w:tr>
        <w:trPr>
          <w:tblHeader w:val="on"/>
        </w:trPr>
        <w:tc>
          <w:tcPr/>
          <w:p>
            <w:pPr>
              <w:pStyle w:val="Compact"/>
              <w:jc w:val="left"/>
            </w:pPr>
            <w:r>
              <w:t xml:space="preserve">Domain</w:t>
            </w:r>
          </w:p>
        </w:tc>
        <w:tc>
          <w:tcPr/>
          <w:p>
            <w:pPr>
              <w:pStyle w:val="Compact"/>
              <w:jc w:val="left"/>
            </w:pPr>
            <w:r>
              <w:t xml:space="preserve">Criterion</w:t>
            </w:r>
          </w:p>
        </w:tc>
        <w:tc>
          <w:tcPr/>
          <w:p>
            <w:pPr>
              <w:pStyle w:val="Compact"/>
              <w:jc w:val="center"/>
            </w:pPr>
            <w:r>
              <w:t xml:space="preserve">Points Scored</w:t>
            </w:r>
          </w:p>
        </w:tc>
      </w:tr>
      <w:tr>
        <w:tc>
          <w:tcPr/>
          <w:p>
            <w:pPr>
              <w:pStyle w:val="Compact"/>
              <w:jc w:val="left"/>
            </w:pPr>
            <w:r>
              <w:rPr>
                <w:b/>
                <w:bCs/>
              </w:rPr>
              <w:t xml:space="preserve">A. Scale</w:t>
            </w:r>
          </w:p>
        </w:tc>
        <w:tc>
          <w:tcPr/>
          <w:p>
            <w:pPr>
              <w:pStyle w:val="Compact"/>
              <w:jc w:val="left"/>
            </w:pPr>
            <w:r>
              <w:t xml:space="preserve">≥10,000 cases/year (network: 180,000)</w:t>
            </w:r>
          </w:p>
        </w:tc>
        <w:tc>
          <w:tcPr/>
          <w:p>
            <w:pPr>
              <w:pStyle w:val="Compact"/>
              <w:jc w:val="center"/>
            </w:pPr>
            <w:r>
              <w:t xml:space="preserve">30</w:t>
            </w:r>
          </w:p>
        </w:tc>
      </w:tr>
      <w:tr>
        <w:tc>
          <w:tcPr/>
          <w:p>
            <w:pPr>
              <w:pStyle w:val="Compact"/>
              <w:jc w:val="left"/>
            </w:pPr>
            <w:r>
              <w:rPr>
                <w:b/>
                <w:bCs/>
              </w:rPr>
              <w:t xml:space="preserve">B. Capability</w:t>
            </w:r>
          </w:p>
        </w:tc>
        <w:tc>
          <w:tcPr/>
          <w:p>
            <w:pPr>
              <w:pStyle w:val="Compact"/>
              <w:jc w:val="left"/>
            </w:pPr>
            <w:r>
              <w:t xml:space="preserve">ICU present in all facilities</w:t>
            </w:r>
          </w:p>
        </w:tc>
        <w:tc>
          <w:tcPr/>
          <w:p>
            <w:pPr>
              <w:pStyle w:val="Compact"/>
              <w:jc w:val="center"/>
            </w:pPr>
            <w:r>
              <w:t xml:space="preserve">25</w:t>
            </w:r>
          </w:p>
        </w:tc>
      </w:tr>
      <w:tr>
        <w:tc>
          <w:tcPr/>
          <w:p>
            <w:pPr>
              <w:pStyle w:val="Compact"/>
              <w:jc w:val="left"/>
            </w:pPr>
            <w:r>
              <w:rPr>
                <w:b/>
                <w:bCs/>
              </w:rPr>
              <w:t xml:space="preserve">C. Geographic Criticality</w:t>
            </w:r>
          </w:p>
        </w:tc>
        <w:tc>
          <w:tcPr/>
          <w:p>
            <w:pPr>
              <w:pStyle w:val="Compact"/>
              <w:jc w:val="left"/>
            </w:pPr>
            <w:r>
              <w:t xml:space="preserve">Multi-state presence; alternative providers in most locations</w:t>
            </w:r>
          </w:p>
        </w:tc>
        <w:tc>
          <w:tcPr/>
          <w:p>
            <w:pPr>
              <w:pStyle w:val="Compact"/>
              <w:jc w:val="center"/>
            </w:pPr>
            <w:r>
              <w:t xml:space="preserve">5</w:t>
            </w:r>
          </w:p>
        </w:tc>
      </w:tr>
      <w:tr>
        <w:tc>
          <w:tcPr/>
          <w:p>
            <w:pPr>
              <w:pStyle w:val="Compact"/>
              <w:jc w:val="left"/>
            </w:pPr>
            <w:r>
              <w:rPr>
                <w:b/>
                <w:bCs/>
              </w:rPr>
              <w:t xml:space="preserve">D. National Program Integration</w:t>
            </w:r>
          </w:p>
        </w:tc>
        <w:tc>
          <w:tcPr/>
          <w:p>
            <w:pPr>
              <w:pStyle w:val="Compact"/>
              <w:jc w:val="left"/>
            </w:pPr>
            <w:r>
              <w:t xml:space="preserve">PM-JAY empaneled; national HIE connected</w:t>
            </w:r>
          </w:p>
        </w:tc>
        <w:tc>
          <w:tcPr/>
          <w:p>
            <w:pPr>
              <w:pStyle w:val="Compact"/>
              <w:jc w:val="center"/>
            </w:pPr>
            <w:r>
              <w:t xml:space="preserve">20</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80</w:t>
            </w:r>
          </w:p>
        </w:tc>
      </w:tr>
    </w:tbl>
    <w:bookmarkEnd w:id="429"/>
    <w:bookmarkStart w:id="430" w:name="Xdfe244c1f93ceac1c8d404606069507aee55b41"/>
    <w:p>
      <w:pPr>
        <w:pStyle w:val="Heading4"/>
      </w:pPr>
      <w:r>
        <w:t xml:space="preserve">System-Level Assessment: Centralized EHR Platform</w:t>
      </w:r>
    </w:p>
    <w:tbl>
      <w:tblPr>
        <w:tblStyle w:val="Table"/>
        <w:tblW w:type="pct" w:w="5000"/>
        <w:tblLayout w:type="fixed"/>
        <w:tblLook w:firstRow="1" w:lastRow="0" w:firstColumn="0" w:lastColumn="0" w:noHBand="0" w:noVBand="0" w:val="0020"/>
      </w:tblPr>
      <w:tblGrid>
        <w:gridCol w:w="2346"/>
        <w:gridCol w:w="3520"/>
        <w:gridCol w:w="2053"/>
      </w:tblGrid>
      <w:tr>
        <w:trPr>
          <w:tblHeader w:val="on"/>
        </w:trPr>
        <w:tc>
          <w:tcPr/>
          <w:p>
            <w:pPr>
              <w:pStyle w:val="Compact"/>
              <w:jc w:val="left"/>
            </w:pPr>
            <w:r>
              <w:t xml:space="preserve">Factor</w:t>
            </w:r>
          </w:p>
        </w:tc>
        <w:tc>
          <w:tcPr/>
          <w:p>
            <w:pPr>
              <w:pStyle w:val="Compact"/>
              <w:jc w:val="left"/>
            </w:pPr>
            <w:r>
              <w:t xml:space="preserve">Assessment</w:t>
            </w:r>
          </w:p>
        </w:tc>
        <w:tc>
          <w:tcPr/>
          <w:p>
            <w:pPr>
              <w:pStyle w:val="Compact"/>
              <w:jc w:val="center"/>
            </w:pPr>
            <w:r>
              <w:t xml:space="preserve">Score</w:t>
            </w:r>
          </w:p>
        </w:tc>
      </w:tr>
      <w:tr>
        <w:tc>
          <w:tcPr/>
          <w:p>
            <w:pPr>
              <w:pStyle w:val="Compact"/>
              <w:jc w:val="left"/>
            </w:pPr>
            <w:r>
              <w:rPr>
                <w:b/>
                <w:bCs/>
              </w:rPr>
              <w:t xml:space="preserve">Availability Impact</w:t>
            </w:r>
          </w:p>
        </w:tc>
        <w:tc>
          <w:tcPr/>
          <w:p>
            <w:pPr>
              <w:pStyle w:val="Compact"/>
              <w:jc w:val="left"/>
            </w:pPr>
            <w:r>
              <w:t xml:space="preserve">Outage affects 180,000 patients/year across 15 hospitals</w:t>
            </w:r>
          </w:p>
        </w:tc>
        <w:tc>
          <w:tcPr/>
          <w:p>
            <w:pPr>
              <w:pStyle w:val="Compact"/>
              <w:jc w:val="center"/>
            </w:pPr>
            <w:r>
              <w:t xml:space="preserve">10</w:t>
            </w:r>
          </w:p>
        </w:tc>
      </w:tr>
      <w:tr>
        <w:tc>
          <w:tcPr/>
          <w:p>
            <w:pPr>
              <w:pStyle w:val="Compact"/>
              <w:jc w:val="left"/>
            </w:pPr>
            <w:r>
              <w:rPr>
                <w:b/>
                <w:bCs/>
              </w:rPr>
              <w:t xml:space="preserve">Integrity Impact</w:t>
            </w:r>
          </w:p>
        </w:tc>
        <w:tc>
          <w:tcPr/>
          <w:p>
            <w:pPr>
              <w:pStyle w:val="Compact"/>
              <w:jc w:val="left"/>
            </w:pPr>
            <w:r>
              <w:t xml:space="preserve">Data corruption could affect treatment decisions</w:t>
            </w:r>
          </w:p>
        </w:tc>
        <w:tc>
          <w:tcPr/>
          <w:p>
            <w:pPr>
              <w:pStyle w:val="Compact"/>
              <w:jc w:val="center"/>
            </w:pPr>
            <w:r>
              <w:t xml:space="preserve">9</w:t>
            </w:r>
          </w:p>
        </w:tc>
      </w:tr>
      <w:tr>
        <w:tc>
          <w:tcPr/>
          <w:p>
            <w:pPr>
              <w:pStyle w:val="Compact"/>
              <w:jc w:val="left"/>
            </w:pPr>
            <w:r>
              <w:rPr>
                <w:b/>
                <w:bCs/>
              </w:rPr>
              <w:t xml:space="preserve">Confidentiality Impact</w:t>
            </w:r>
          </w:p>
        </w:tc>
        <w:tc>
          <w:tcPr/>
          <w:p>
            <w:pPr>
              <w:pStyle w:val="Compact"/>
              <w:jc w:val="left"/>
            </w:pPr>
            <w:r>
              <w:t xml:space="preserve">Millions of patient records at risk</w:t>
            </w:r>
          </w:p>
        </w:tc>
        <w:tc>
          <w:tcPr/>
          <w:p>
            <w:pPr>
              <w:pStyle w:val="Compact"/>
              <w:jc w:val="center"/>
            </w:pPr>
            <w:r>
              <w:t xml:space="preserve">9</w:t>
            </w:r>
          </w:p>
        </w:tc>
      </w:tr>
      <w:tr>
        <w:tc>
          <w:tcPr/>
          <w:p>
            <w:pPr>
              <w:pStyle w:val="Compact"/>
              <w:jc w:val="left"/>
            </w:pPr>
            <w:r>
              <w:rPr>
                <w:b/>
                <w:bCs/>
              </w:rPr>
              <w:t xml:space="preserve">Substitutability</w:t>
            </w:r>
          </w:p>
        </w:tc>
        <w:tc>
          <w:tcPr/>
          <w:p>
            <w:pPr>
              <w:pStyle w:val="Compact"/>
              <w:jc w:val="left"/>
            </w:pPr>
            <w:r>
              <w:t xml:space="preserve">Paper fallback possible but severely impacts operations</w:t>
            </w:r>
          </w:p>
        </w:tc>
        <w:tc>
          <w:tcPr/>
          <w:p>
            <w:pPr>
              <w:pStyle w:val="Compact"/>
              <w:jc w:val="center"/>
            </w:pPr>
            <w:r>
              <w:t xml:space="preserve">7</w:t>
            </w:r>
          </w:p>
        </w:tc>
      </w:tr>
      <w:tr>
        <w:tc>
          <w:tcPr/>
          <w:p>
            <w:pPr>
              <w:pStyle w:val="Compact"/>
              <w:jc w:val="left"/>
            </w:pPr>
            <w:r>
              <w:rPr>
                <w:b/>
                <w:bCs/>
              </w:rPr>
              <w:t xml:space="preserve">Recovery Time</w:t>
            </w:r>
          </w:p>
        </w:tc>
        <w:tc>
          <w:tcPr/>
          <w:p>
            <w:pPr>
              <w:pStyle w:val="Compact"/>
              <w:jc w:val="left"/>
            </w:pPr>
            <w:r>
              <w:t xml:space="preserve">RTO estimated 48+ hours for full restoration</w:t>
            </w:r>
          </w:p>
        </w:tc>
        <w:tc>
          <w:tcPr/>
          <w:p>
            <w:pPr>
              <w:pStyle w:val="Compact"/>
              <w:jc w:val="center"/>
            </w:pPr>
            <w:r>
              <w:t xml:space="preserve">9</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44</w:t>
            </w:r>
          </w:p>
        </w:tc>
      </w:tr>
    </w:tbl>
    <w:bookmarkEnd w:id="430"/>
    <w:bookmarkEnd w:id="431"/>
    <w:bookmarkStart w:id="432" w:name="classification-result-2"/>
    <w:p>
      <w:pPr>
        <w:pStyle w:val="Heading3"/>
      </w:pPr>
      <w:r>
        <w:t xml:space="preserve">Classification Result</w:t>
      </w:r>
    </w:p>
    <w:tbl>
      <w:tblPr>
        <w:tblStyle w:val="Table"/>
        <w:tblW w:type="pct" w:w="5000"/>
        <w:tblLayout w:type="fixed"/>
        <w:tblLook w:firstRow="1" w:lastRow="0" w:firstColumn="0" w:lastColumn="0" w:noHBand="0" w:noVBand="0" w:val="0020"/>
      </w:tblPr>
      <w:tblGrid>
        <w:gridCol w:w="1788"/>
        <w:gridCol w:w="1788"/>
        <w:gridCol w:w="1532"/>
        <w:gridCol w:w="2810"/>
      </w:tblGrid>
      <w:tr>
        <w:trPr>
          <w:tblHeader w:val="on"/>
        </w:trPr>
        <w:tc>
          <w:tcPr/>
          <w:p>
            <w:pPr>
              <w:pStyle w:val="Compact"/>
              <w:jc w:val="left"/>
            </w:pPr>
            <w:r>
              <w:t xml:space="preserve">Level</w:t>
            </w:r>
          </w:p>
        </w:tc>
        <w:tc>
          <w:tcPr/>
          <w:p>
            <w:pPr>
              <w:pStyle w:val="Compact"/>
              <w:jc w:val="left"/>
            </w:pPr>
            <w:r>
              <w:t xml:space="preserve">Score</w:t>
            </w:r>
          </w:p>
        </w:tc>
        <w:tc>
          <w:tcPr/>
          <w:p>
            <w:pPr>
              <w:pStyle w:val="Compact"/>
              <w:jc w:val="left"/>
            </w:pPr>
            <w:r>
              <w:t xml:space="preserve">Tier</w:t>
            </w:r>
          </w:p>
        </w:tc>
        <w:tc>
          <w:tcPr/>
          <w:p>
            <w:pPr>
              <w:pStyle w:val="Compact"/>
              <w:jc w:val="left"/>
            </w:pPr>
            <w:r>
              <w:t xml:space="preserve">Rationale</w:t>
            </w:r>
          </w:p>
        </w:tc>
      </w:tr>
      <w:tr>
        <w:tc>
          <w:tcPr/>
          <w:p>
            <w:pPr>
              <w:pStyle w:val="Compact"/>
              <w:jc w:val="left"/>
            </w:pPr>
            <w:r>
              <w:rPr>
                <w:b/>
                <w:bCs/>
              </w:rPr>
              <w:t xml:space="preserve">Network (entity)</w:t>
            </w:r>
          </w:p>
        </w:tc>
        <w:tc>
          <w:tcPr/>
          <w:p>
            <w:pPr>
              <w:pStyle w:val="Compact"/>
              <w:jc w:val="left"/>
            </w:pPr>
            <w:r>
              <w:t xml:space="preserve">80</w:t>
            </w:r>
          </w:p>
        </w:tc>
        <w:tc>
          <w:tcPr/>
          <w:p>
            <w:pPr>
              <w:pStyle w:val="Compact"/>
              <w:jc w:val="left"/>
            </w:pPr>
            <w:r>
              <w:rPr>
                <w:b/>
                <w:bCs/>
              </w:rPr>
              <w:t xml:space="preserve">Tier 1</w:t>
            </w:r>
          </w:p>
        </w:tc>
        <w:tc>
          <w:tcPr/>
          <w:p>
            <w:pPr>
              <w:pStyle w:val="Compact"/>
              <w:jc w:val="left"/>
            </w:pPr>
            <w:r>
              <w:t xml:space="preserve">Scale + capability + national program integration</w:t>
            </w:r>
          </w:p>
        </w:tc>
      </w:tr>
      <w:tr>
        <w:tc>
          <w:tcPr/>
          <w:p>
            <w:pPr>
              <w:pStyle w:val="Compact"/>
              <w:jc w:val="left"/>
            </w:pPr>
            <w:r>
              <w:rPr>
                <w:b/>
                <w:bCs/>
              </w:rPr>
              <w:t xml:space="preserve">Centralized EHR (system)</w:t>
            </w:r>
          </w:p>
        </w:tc>
        <w:tc>
          <w:tcPr/>
          <w:p>
            <w:pPr>
              <w:pStyle w:val="Compact"/>
              <w:jc w:val="left"/>
            </w:pPr>
            <w:r>
              <w:t xml:space="preserve">44</w:t>
            </w:r>
          </w:p>
        </w:tc>
        <w:tc>
          <w:tcPr/>
          <w:p>
            <w:pPr>
              <w:pStyle w:val="Compact"/>
              <w:jc w:val="left"/>
            </w:pPr>
            <w:r>
              <w:rPr>
                <w:b/>
                <w:bCs/>
              </w:rPr>
              <w:t xml:space="preserve">Tier 1 System</w:t>
            </w:r>
          </w:p>
        </w:tc>
        <w:tc>
          <w:tcPr/>
          <w:p>
            <w:pPr>
              <w:pStyle w:val="Compact"/>
              <w:jc w:val="left"/>
            </w:pPr>
            <w:r>
              <w:t xml:space="preserve">High criticality across all factors</w:t>
            </w:r>
          </w:p>
        </w:tc>
      </w:tr>
      <w:tr>
        <w:tc>
          <w:tcPr/>
          <w:p>
            <w:pPr>
              <w:pStyle w:val="Compact"/>
              <w:jc w:val="left"/>
            </w:pPr>
            <w:r>
              <w:rPr>
                <w:b/>
                <w:bCs/>
              </w:rPr>
              <w:t xml:space="preserve">Individual hospitals</w:t>
            </w:r>
          </w:p>
        </w:tc>
        <w:tc>
          <w:tcPr/>
          <w:p>
            <w:pPr>
              <w:pStyle w:val="Compact"/>
              <w:jc w:val="left"/>
            </w:pPr>
            <w:r>
              <w:t xml:space="preserve">Varies</w:t>
            </w:r>
          </w:p>
        </w:tc>
        <w:tc>
          <w:tcPr/>
          <w:p>
            <w:pPr>
              <w:pStyle w:val="Compact"/>
              <w:jc w:val="left"/>
            </w:pPr>
            <w:r>
              <w:rPr>
                <w:b/>
                <w:bCs/>
              </w:rPr>
              <w:t xml:space="preserve">Tier 1 or 2</w:t>
            </w:r>
          </w:p>
        </w:tc>
        <w:tc>
          <w:tcPr/>
          <w:p>
            <w:pPr>
              <w:pStyle w:val="Compact"/>
              <w:jc w:val="left"/>
            </w:pPr>
            <w:r>
              <w:t xml:space="preserve">Based on local sole-provider status</w:t>
            </w:r>
          </w:p>
        </w:tc>
      </w:tr>
    </w:tbl>
    <w:bookmarkEnd w:id="432"/>
    <w:bookmarkStart w:id="433" w:name="applicable-obligations-1"/>
    <w:p>
      <w:pPr>
        <w:pStyle w:val="Heading3"/>
      </w:pPr>
      <w:r>
        <w:t xml:space="preserve">Applicable Obligations</w:t>
      </w:r>
    </w:p>
    <w:p>
      <w:pPr>
        <w:pStyle w:val="FirstParagraph"/>
      </w:pPr>
      <w:r>
        <w:rPr>
          <w:b/>
          <w:bCs/>
        </w:rPr>
        <w:t xml:space="preserve">Network-level:</w:t>
      </w:r>
      <w:r>
        <w:t xml:space="preserve"> </w:t>
      </w:r>
      <w:r>
        <w:t xml:space="preserve">- Dedicated Group CISO required</w:t>
      </w:r>
      <w:r>
        <w:t xml:space="preserve"> </w:t>
      </w:r>
      <w:r>
        <w:t xml:space="preserve">- Annual third-party audit of centralized systems</w:t>
      </w:r>
      <w:r>
        <w:t xml:space="preserve"> </w:t>
      </w:r>
      <w:r>
        <w:t xml:space="preserve">- 24-hour incident reporting for centralized platform incidents</w:t>
      </w:r>
      <w:r>
        <w:t xml:space="preserve"> </w:t>
      </w:r>
      <w:r>
        <w:t xml:space="preserve">- Participation in national cyber drills</w:t>
      </w:r>
      <w:r>
        <w:t xml:space="preserve"> </w:t>
      </w:r>
      <w:r>
        <w:t xml:space="preserve">- Supply chain security assessment for cloud vendors</w:t>
      </w:r>
    </w:p>
    <w:p>
      <w:pPr>
        <w:pStyle w:val="BodyText"/>
      </w:pPr>
      <w:r>
        <w:rPr>
          <w:b/>
          <w:bCs/>
        </w:rPr>
        <w:t xml:space="preserve">Facility-level:</w:t>
      </w:r>
      <w:r>
        <w:t xml:space="preserve"> </w:t>
      </w:r>
      <w:r>
        <w:t xml:space="preserve">- Site-level security focal points</w:t>
      </w:r>
      <w:r>
        <w:t xml:space="preserve"> </w:t>
      </w:r>
      <w:r>
        <w:t xml:space="preserve">- Local business continuity plans</w:t>
      </w:r>
      <w:r>
        <w:t xml:space="preserve"> </w:t>
      </w:r>
      <w:r>
        <w:t xml:space="preserve">- Integration with network SOC</w:t>
      </w:r>
    </w:p>
    <w:p>
      <w:r>
        <w:pict>
          <v:rect style="width:0;height:1.5pt" o:hralign="center" o:hrstd="t" o:hr="t"/>
        </w:pict>
      </w:r>
    </w:p>
    <w:bookmarkEnd w:id="433"/>
    <w:bookmarkEnd w:id="434"/>
    <w:bookmarkStart w:id="440" w:name="X48ca1a13c00875565cd8a5aa071cca6843c00ca"/>
    <w:p>
      <w:pPr>
        <w:pStyle w:val="Heading2"/>
      </w:pPr>
      <w:r>
        <w:t xml:space="preserve">Case Study 4: Community Health Centre - Riverside CHC</w:t>
      </w:r>
    </w:p>
    <w:bookmarkStart w:id="435" w:name="entity-profile-3"/>
    <w:p>
      <w:pPr>
        <w:pStyle w:val="Heading3"/>
      </w:pPr>
      <w:r>
        <w:t xml:space="preserve">Entity Profile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Attribute</w:t>
            </w:r>
          </w:p>
        </w:tc>
        <w:tc>
          <w:tcPr/>
          <w:p>
            <w:pPr>
              <w:pStyle w:val="Compact"/>
              <w:jc w:val="left"/>
            </w:pPr>
            <w:r>
              <w:t xml:space="preserve">Details</w:t>
            </w:r>
          </w:p>
        </w:tc>
      </w:tr>
      <w:tr>
        <w:tc>
          <w:tcPr/>
          <w:p>
            <w:pPr>
              <w:pStyle w:val="Compact"/>
              <w:jc w:val="left"/>
            </w:pPr>
            <w:r>
              <w:rPr>
                <w:b/>
                <w:bCs/>
              </w:rPr>
              <w:t xml:space="preserve">Name</w:t>
            </w:r>
          </w:p>
        </w:tc>
        <w:tc>
          <w:tcPr/>
          <w:p>
            <w:pPr>
              <w:pStyle w:val="Compact"/>
              <w:jc w:val="left"/>
            </w:pPr>
            <w:r>
              <w:t xml:space="preserve">Riverside Community Health Centre</w:t>
            </w:r>
          </w:p>
        </w:tc>
      </w:tr>
      <w:tr>
        <w:tc>
          <w:tcPr/>
          <w:p>
            <w:pPr>
              <w:pStyle w:val="Compact"/>
              <w:jc w:val="left"/>
            </w:pPr>
            <w:r>
              <w:rPr>
                <w:b/>
                <w:bCs/>
              </w:rPr>
              <w:t xml:space="preserve">Type</w:t>
            </w:r>
          </w:p>
        </w:tc>
        <w:tc>
          <w:tcPr/>
          <w:p>
            <w:pPr>
              <w:pStyle w:val="Compact"/>
              <w:jc w:val="left"/>
            </w:pPr>
            <w:r>
              <w:t xml:space="preserve">Government block-level CHC</w:t>
            </w:r>
          </w:p>
        </w:tc>
      </w:tr>
      <w:tr>
        <w:tc>
          <w:tcPr/>
          <w:p>
            <w:pPr>
              <w:pStyle w:val="Compact"/>
              <w:jc w:val="left"/>
            </w:pPr>
            <w:r>
              <w:rPr>
                <w:b/>
                <w:bCs/>
              </w:rPr>
              <w:t xml:space="preserve">Location</w:t>
            </w:r>
          </w:p>
        </w:tc>
        <w:tc>
          <w:tcPr/>
          <w:p>
            <w:pPr>
              <w:pStyle w:val="Compact"/>
              <w:jc w:val="left"/>
            </w:pPr>
            <w:r>
              <w:t xml:space="preserve">Rural block (block population 120,000)</w:t>
            </w:r>
          </w:p>
        </w:tc>
      </w:tr>
      <w:tr>
        <w:tc>
          <w:tcPr/>
          <w:p>
            <w:pPr>
              <w:pStyle w:val="Compact"/>
              <w:jc w:val="left"/>
            </w:pPr>
            <w:r>
              <w:rPr>
                <w:b/>
                <w:bCs/>
              </w:rPr>
              <w:t xml:space="preserve">Beds</w:t>
            </w:r>
          </w:p>
        </w:tc>
        <w:tc>
          <w:tcPr/>
          <w:p>
            <w:pPr>
              <w:pStyle w:val="Compact"/>
              <w:jc w:val="left"/>
            </w:pPr>
            <w:r>
              <w:t xml:space="preserve">30</w:t>
            </w:r>
          </w:p>
        </w:tc>
      </w:tr>
      <w:tr>
        <w:tc>
          <w:tcPr/>
          <w:p>
            <w:pPr>
              <w:pStyle w:val="Compact"/>
              <w:jc w:val="left"/>
            </w:pPr>
            <w:r>
              <w:rPr>
                <w:b/>
                <w:bCs/>
              </w:rPr>
              <w:t xml:space="preserve">Annual inpatient cases</w:t>
            </w:r>
          </w:p>
        </w:tc>
        <w:tc>
          <w:tcPr/>
          <w:p>
            <w:pPr>
              <w:pStyle w:val="Compact"/>
              <w:jc w:val="left"/>
            </w:pPr>
            <w:r>
              <w:t xml:space="preserve">1,200</w:t>
            </w:r>
          </w:p>
        </w:tc>
      </w:tr>
      <w:tr>
        <w:tc>
          <w:tcPr/>
          <w:p>
            <w:pPr>
              <w:pStyle w:val="Compact"/>
              <w:jc w:val="left"/>
            </w:pPr>
            <w:r>
              <w:rPr>
                <w:b/>
                <w:bCs/>
              </w:rPr>
              <w:t xml:space="preserve">Employees</w:t>
            </w:r>
          </w:p>
        </w:tc>
        <w:tc>
          <w:tcPr/>
          <w:p>
            <w:pPr>
              <w:pStyle w:val="Compact"/>
              <w:jc w:val="left"/>
            </w:pPr>
            <w:r>
              <w:t xml:space="preserve">45</w:t>
            </w:r>
          </w:p>
        </w:tc>
      </w:tr>
      <w:tr>
        <w:tc>
          <w:tcPr/>
          <w:p>
            <w:pPr>
              <w:pStyle w:val="Compact"/>
              <w:jc w:val="left"/>
            </w:pPr>
            <w:r>
              <w:rPr>
                <w:b/>
                <w:bCs/>
              </w:rPr>
              <w:t xml:space="preserve">Key departments</w:t>
            </w:r>
          </w:p>
        </w:tc>
        <w:tc>
          <w:tcPr/>
          <w:p>
            <w:pPr>
              <w:pStyle w:val="Compact"/>
              <w:jc w:val="left"/>
            </w:pPr>
            <w:r>
              <w:t xml:space="preserve">General OPD, Labor room, No surgery, No ICU</w:t>
            </w:r>
          </w:p>
        </w:tc>
      </w:tr>
      <w:tr>
        <w:tc>
          <w:tcPr/>
          <w:p>
            <w:pPr>
              <w:pStyle w:val="Compact"/>
              <w:jc w:val="left"/>
            </w:pPr>
            <w:r>
              <w:rPr>
                <w:b/>
                <w:bCs/>
              </w:rPr>
              <w:t xml:space="preserve">Digital systems</w:t>
            </w:r>
          </w:p>
        </w:tc>
        <w:tc>
          <w:tcPr/>
          <w:p>
            <w:pPr>
              <w:pStyle w:val="Compact"/>
              <w:jc w:val="left"/>
            </w:pPr>
            <w:r>
              <w:t xml:space="preserve">RCH portal access; immunization tracking</w:t>
            </w:r>
          </w:p>
        </w:tc>
      </w:tr>
      <w:tr>
        <w:tc>
          <w:tcPr/>
          <w:p>
            <w:pPr>
              <w:pStyle w:val="Compact"/>
              <w:jc w:val="left"/>
            </w:pPr>
            <w:r>
              <w:rPr>
                <w:b/>
                <w:bCs/>
              </w:rPr>
              <w:t xml:space="preserve">Connectivity</w:t>
            </w:r>
          </w:p>
        </w:tc>
        <w:tc>
          <w:tcPr/>
          <w:p>
            <w:pPr>
              <w:pStyle w:val="Compact"/>
              <w:jc w:val="left"/>
            </w:pPr>
            <w:r>
              <w:t xml:space="preserve">Mobile data; intermittent connectivity</w:t>
            </w:r>
          </w:p>
        </w:tc>
      </w:tr>
      <w:tr>
        <w:tc>
          <w:tcPr/>
          <w:p>
            <w:pPr>
              <w:pStyle w:val="Compact"/>
              <w:jc w:val="left"/>
            </w:pPr>
            <w:r>
              <w:rPr>
                <w:b/>
                <w:bCs/>
              </w:rPr>
              <w:t xml:space="preserve">Special status</w:t>
            </w:r>
          </w:p>
        </w:tc>
        <w:tc>
          <w:tcPr/>
          <w:p>
            <w:pPr>
              <w:pStyle w:val="Compact"/>
              <w:jc w:val="left"/>
            </w:pPr>
            <w:r>
              <w:t xml:space="preserve">Not designated as First Referral Unit (FRU)</w:t>
            </w:r>
          </w:p>
        </w:tc>
      </w:tr>
    </w:tbl>
    <w:bookmarkEnd w:id="435"/>
    <w:bookmarkStart w:id="437" w:name="cii-classification-assessment-3"/>
    <w:p>
      <w:pPr>
        <w:pStyle w:val="Heading3"/>
      </w:pPr>
      <w:r>
        <w:t xml:space="preserve">CII Classification Assessment</w:t>
      </w:r>
    </w:p>
    <w:bookmarkStart w:id="436" w:name="scoring-developing-country-framework"/>
    <w:p>
      <w:pPr>
        <w:pStyle w:val="Heading4"/>
      </w:pPr>
      <w:r>
        <w:t xml:space="preserve">Scoring (Developing Country Framework)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Criterion</w:t>
            </w:r>
          </w:p>
        </w:tc>
        <w:tc>
          <w:tcPr/>
          <w:p>
            <w:pPr>
              <w:pStyle w:val="Compact"/>
              <w:jc w:val="center"/>
            </w:pPr>
            <w:r>
              <w:t xml:space="preserve">Points Scored</w:t>
            </w:r>
          </w:p>
        </w:tc>
      </w:tr>
      <w:tr>
        <w:tc>
          <w:tcPr/>
          <w:p>
            <w:pPr>
              <w:pStyle w:val="Compact"/>
              <w:jc w:val="left"/>
            </w:pPr>
            <w:r>
              <w:rPr>
                <w:b/>
                <w:bCs/>
              </w:rPr>
              <w:t xml:space="preserve">A. Scale</w:t>
            </w:r>
          </w:p>
        </w:tc>
        <w:tc>
          <w:tcPr/>
          <w:p>
            <w:pPr>
              <w:pStyle w:val="Compact"/>
              <w:jc w:val="left"/>
            </w:pPr>
            <w:r>
              <w:t xml:space="preserve">&lt;2,000 cases/year</w:t>
            </w:r>
          </w:p>
        </w:tc>
        <w:tc>
          <w:tcPr/>
          <w:p>
            <w:pPr>
              <w:pStyle w:val="Compact"/>
              <w:jc w:val="center"/>
            </w:pPr>
            <w:r>
              <w:t xml:space="preserve">5</w:t>
            </w:r>
          </w:p>
        </w:tc>
      </w:tr>
      <w:tr>
        <w:tc>
          <w:tcPr/>
          <w:p>
            <w:pPr>
              <w:pStyle w:val="Compact"/>
              <w:jc w:val="left"/>
            </w:pPr>
            <w:r>
              <w:rPr>
                <w:b/>
                <w:bCs/>
              </w:rPr>
              <w:t xml:space="preserve">B. Public System Role</w:t>
            </w:r>
          </w:p>
        </w:tc>
        <w:tc>
          <w:tcPr/>
          <w:p>
            <w:pPr>
              <w:pStyle w:val="Compact"/>
              <w:jc w:val="left"/>
            </w:pPr>
            <w:r>
              <w:t xml:space="preserve">CHC (not FRU, not sole in block)</w:t>
            </w:r>
          </w:p>
        </w:tc>
        <w:tc>
          <w:tcPr/>
          <w:p>
            <w:pPr>
              <w:pStyle w:val="Compact"/>
              <w:jc w:val="center"/>
            </w:pPr>
            <w:r>
              <w:t xml:space="preserve">5</w:t>
            </w:r>
          </w:p>
        </w:tc>
      </w:tr>
      <w:tr>
        <w:tc>
          <w:tcPr/>
          <w:p>
            <w:pPr>
              <w:pStyle w:val="Compact"/>
              <w:jc w:val="left"/>
            </w:pPr>
            <w:r>
              <w:rPr>
                <w:b/>
                <w:bCs/>
              </w:rPr>
              <w:t xml:space="preserve">C. Geographic Criticality</w:t>
            </w:r>
          </w:p>
        </w:tc>
        <w:tc>
          <w:tcPr/>
          <w:p>
            <w:pPr>
              <w:pStyle w:val="Compact"/>
              <w:jc w:val="left"/>
            </w:pPr>
            <w:r>
              <w:t xml:space="preserve">District hospital 35km away</w:t>
            </w:r>
          </w:p>
        </w:tc>
        <w:tc>
          <w:tcPr/>
          <w:p>
            <w:pPr>
              <w:pStyle w:val="Compact"/>
              <w:jc w:val="center"/>
            </w:pPr>
            <w:r>
              <w:t xml:space="preserve">5</w:t>
            </w:r>
          </w:p>
        </w:tc>
      </w:tr>
      <w:tr>
        <w:tc>
          <w:tcPr/>
          <w:p>
            <w:pPr>
              <w:pStyle w:val="Compact"/>
              <w:jc w:val="left"/>
            </w:pPr>
            <w:r>
              <w:rPr>
                <w:b/>
                <w:bCs/>
              </w:rPr>
              <w:t xml:space="preserve">D. National Program Integration</w:t>
            </w:r>
          </w:p>
        </w:tc>
        <w:tc>
          <w:tcPr/>
          <w:p>
            <w:pPr>
              <w:pStyle w:val="Compact"/>
              <w:jc w:val="left"/>
            </w:pPr>
            <w:r>
              <w:t xml:space="preserve">RCH portal access</w:t>
            </w:r>
          </w:p>
        </w:tc>
        <w:tc>
          <w:tcPr/>
          <w:p>
            <w:pPr>
              <w:pStyle w:val="Compact"/>
              <w:jc w:val="center"/>
            </w:pPr>
            <w:r>
              <w:t xml:space="preserve">5</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20</w:t>
            </w:r>
          </w:p>
        </w:tc>
      </w:tr>
    </w:tbl>
    <w:bookmarkEnd w:id="436"/>
    <w:bookmarkEnd w:id="437"/>
    <w:bookmarkStart w:id="438" w:name="classification-result-3"/>
    <w:p>
      <w:pPr>
        <w:pStyle w:val="Heading3"/>
      </w:pPr>
      <w:r>
        <w:t xml:space="preserve">Classification Result</w:t>
      </w:r>
    </w:p>
    <w:tbl>
      <w:tblPr>
        <w:tblStyle w:val="Table"/>
        <w:tblW w:type="pct" w:w="5000"/>
        <w:tblLayout w:type="fixed"/>
        <w:tblLook w:firstRow="1" w:lastRow="0" w:firstColumn="0" w:lastColumn="0" w:noHBand="0" w:noVBand="0" w:val="0020"/>
      </w:tblPr>
      <w:tblGrid>
        <w:gridCol w:w="2489"/>
        <w:gridCol w:w="1584"/>
        <w:gridCol w:w="1357"/>
        <w:gridCol w:w="2489"/>
      </w:tblGrid>
      <w:tr>
        <w:trPr>
          <w:tblHeader w:val="on"/>
        </w:trPr>
        <w:tc>
          <w:tcPr/>
          <w:p>
            <w:pPr>
              <w:pStyle w:val="Compact"/>
              <w:jc w:val="left"/>
            </w:pPr>
            <w:r>
              <w:t xml:space="preserve">Framework</w:t>
            </w:r>
          </w:p>
        </w:tc>
        <w:tc>
          <w:tcPr/>
          <w:p>
            <w:pPr>
              <w:pStyle w:val="Compact"/>
              <w:jc w:val="left"/>
            </w:pPr>
            <w:r>
              <w:t xml:space="preserve">Score</w:t>
            </w:r>
          </w:p>
        </w:tc>
        <w:tc>
          <w:tcPr/>
          <w:p>
            <w:pPr>
              <w:pStyle w:val="Compact"/>
              <w:jc w:val="left"/>
            </w:pPr>
            <w:r>
              <w:t xml:space="preserve">Tier</w:t>
            </w:r>
          </w:p>
        </w:tc>
        <w:tc>
          <w:tcPr/>
          <w:p>
            <w:pPr>
              <w:pStyle w:val="Compact"/>
              <w:jc w:val="left"/>
            </w:pPr>
            <w:r>
              <w:t xml:space="preserve">Rationale</w:t>
            </w:r>
          </w:p>
        </w:tc>
      </w:tr>
      <w:tr>
        <w:tc>
          <w:tcPr/>
          <w:p>
            <w:pPr>
              <w:pStyle w:val="Compact"/>
              <w:jc w:val="left"/>
            </w:pPr>
            <w:r>
              <w:rPr>
                <w:b/>
                <w:bCs/>
              </w:rPr>
              <w:t xml:space="preserve">Developing Country</w:t>
            </w:r>
          </w:p>
        </w:tc>
        <w:tc>
          <w:tcPr/>
          <w:p>
            <w:pPr>
              <w:pStyle w:val="Compact"/>
              <w:jc w:val="left"/>
            </w:pPr>
            <w:r>
              <w:t xml:space="preserve">20</w:t>
            </w:r>
          </w:p>
        </w:tc>
        <w:tc>
          <w:tcPr/>
          <w:p>
            <w:pPr>
              <w:pStyle w:val="Compact"/>
              <w:jc w:val="left"/>
            </w:pPr>
            <w:r>
              <w:rPr>
                <w:b/>
                <w:bCs/>
              </w:rPr>
              <w:t xml:space="preserve">Tier 3 (Baseline)</w:t>
            </w:r>
          </w:p>
        </w:tc>
        <w:tc>
          <w:tcPr/>
          <w:p>
            <w:pPr>
              <w:pStyle w:val="Compact"/>
              <w:jc w:val="left"/>
            </w:pPr>
            <w:r>
              <w:t xml:space="preserve">Small scale; not sole provider; limited digital footprint</w:t>
            </w:r>
          </w:p>
        </w:tc>
      </w:tr>
    </w:tbl>
    <w:bookmarkEnd w:id="438"/>
    <w:bookmarkStart w:id="439" w:name="applicable-obligations-tier-3"/>
    <w:p>
      <w:pPr>
        <w:pStyle w:val="Heading3"/>
      </w:pPr>
      <w:r>
        <w:t xml:space="preserve">Applicable Obligations (Tier 3)</w:t>
      </w:r>
    </w:p>
    <w:p>
      <w:pPr>
        <w:pStyle w:val="Compact"/>
        <w:numPr>
          <w:ilvl w:val="0"/>
          <w:numId w:val="1328"/>
        </w:numPr>
      </w:pPr>
      <w:r>
        <w:t xml:space="preserve">Self-assessment recommended</w:t>
      </w:r>
    </w:p>
    <w:p>
      <w:pPr>
        <w:pStyle w:val="Compact"/>
        <w:numPr>
          <w:ilvl w:val="0"/>
          <w:numId w:val="1328"/>
        </w:numPr>
      </w:pPr>
      <w:r>
        <w:t xml:space="preserve">Voluntary incident reporting</w:t>
      </w:r>
    </w:p>
    <w:p>
      <w:pPr>
        <w:pStyle w:val="Compact"/>
        <w:numPr>
          <w:ilvl w:val="0"/>
          <w:numId w:val="1328"/>
        </w:numPr>
      </w:pPr>
      <w:r>
        <w:t xml:space="preserve">Basic cyber hygiene guidance</w:t>
      </w:r>
    </w:p>
    <w:p>
      <w:pPr>
        <w:pStyle w:val="Compact"/>
        <w:numPr>
          <w:ilvl w:val="0"/>
          <w:numId w:val="1328"/>
        </w:numPr>
      </w:pPr>
      <w:r>
        <w:t xml:space="preserve">May benefit from state-level shared services (SOC, backup)</w:t>
      </w:r>
    </w:p>
    <w:p>
      <w:pPr>
        <w:pStyle w:val="Compact"/>
        <w:numPr>
          <w:ilvl w:val="0"/>
          <w:numId w:val="1328"/>
        </w:numPr>
      </w:pPr>
      <w:r>
        <w:t xml:space="preserve">Not subject to mandatory audits or reporting timelines</w:t>
      </w:r>
    </w:p>
    <w:p>
      <w:r>
        <w:pict>
          <v:rect style="width:0;height:1.5pt" o:hralign="center" o:hrstd="t" o:hr="t"/>
        </w:pict>
      </w:r>
    </w:p>
    <w:bookmarkEnd w:id="439"/>
    <w:bookmarkEnd w:id="440"/>
    <w:bookmarkStart w:id="446" w:name="Xc00b3e2f34a4011907c01638f80c4facc1c8d6f"/>
    <w:p>
      <w:pPr>
        <w:pStyle w:val="Heading2"/>
      </w:pPr>
      <w:r>
        <w:t xml:space="preserve">Case Study 5: Telemedicine Hub -</w:t>
      </w:r>
      <w:r>
        <w:t xml:space="preserve"> </w:t>
      </w:r>
      <w:r>
        <w:t xml:space="preserve">“Sehat Setu”</w:t>
      </w:r>
    </w:p>
    <w:bookmarkStart w:id="441" w:name="entity-profile-4"/>
    <w:p>
      <w:pPr>
        <w:pStyle w:val="Heading3"/>
      </w:pPr>
      <w:r>
        <w:t xml:space="preserve">Entity Profile</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jc w:val="left"/>
            </w:pPr>
            <w:r>
              <w:t xml:space="preserve">Attribute</w:t>
            </w:r>
          </w:p>
        </w:tc>
        <w:tc>
          <w:tcPr/>
          <w:p>
            <w:pPr>
              <w:pStyle w:val="Compact"/>
              <w:jc w:val="left"/>
            </w:pPr>
            <w:r>
              <w:t xml:space="preserve">Details</w:t>
            </w:r>
          </w:p>
        </w:tc>
      </w:tr>
      <w:tr>
        <w:tc>
          <w:tcPr/>
          <w:p>
            <w:pPr>
              <w:pStyle w:val="Compact"/>
              <w:jc w:val="left"/>
            </w:pPr>
            <w:r>
              <w:rPr>
                <w:b/>
                <w:bCs/>
              </w:rPr>
              <w:t xml:space="preserve">Name</w:t>
            </w:r>
          </w:p>
        </w:tc>
        <w:tc>
          <w:tcPr/>
          <w:p>
            <w:pPr>
              <w:pStyle w:val="Compact"/>
              <w:jc w:val="left"/>
            </w:pPr>
            <w:r>
              <w:t xml:space="preserve">Sehat Setu Regional Telemedicine Hub</w:t>
            </w:r>
          </w:p>
        </w:tc>
      </w:tr>
      <w:tr>
        <w:tc>
          <w:tcPr/>
          <w:p>
            <w:pPr>
              <w:pStyle w:val="Compact"/>
              <w:jc w:val="left"/>
            </w:pPr>
            <w:r>
              <w:rPr>
                <w:b/>
                <w:bCs/>
              </w:rPr>
              <w:t xml:space="preserve">Type</w:t>
            </w:r>
          </w:p>
        </w:tc>
        <w:tc>
          <w:tcPr/>
          <w:p>
            <w:pPr>
              <w:pStyle w:val="Compact"/>
              <w:jc w:val="left"/>
            </w:pPr>
            <w:r>
              <w:t xml:space="preserve">Government telemedicine hub serving remote/tribal areas</w:t>
            </w:r>
          </w:p>
        </w:tc>
      </w:tr>
      <w:tr>
        <w:tc>
          <w:tcPr/>
          <w:p>
            <w:pPr>
              <w:pStyle w:val="Compact"/>
              <w:jc w:val="left"/>
            </w:pPr>
            <w:r>
              <w:rPr>
                <w:b/>
                <w:bCs/>
              </w:rPr>
              <w:t xml:space="preserve">Coverage</w:t>
            </w:r>
          </w:p>
        </w:tc>
        <w:tc>
          <w:tcPr/>
          <w:p>
            <w:pPr>
              <w:pStyle w:val="Compact"/>
              <w:jc w:val="left"/>
            </w:pPr>
            <w:r>
              <w:t xml:space="preserve">3 remote districts; 200 spoke locations</w:t>
            </w:r>
          </w:p>
        </w:tc>
      </w:tr>
      <w:tr>
        <w:tc>
          <w:tcPr/>
          <w:p>
            <w:pPr>
              <w:pStyle w:val="Compact"/>
              <w:jc w:val="left"/>
            </w:pPr>
            <w:r>
              <w:rPr>
                <w:b/>
                <w:bCs/>
              </w:rPr>
              <w:t xml:space="preserve">Functions</w:t>
            </w:r>
          </w:p>
        </w:tc>
        <w:tc>
          <w:tcPr/>
          <w:p>
            <w:pPr>
              <w:pStyle w:val="Compact"/>
              <w:jc w:val="left"/>
            </w:pPr>
            <w:r>
              <w:t xml:space="preserve">Video consultations; specialist referrals; prescription support</w:t>
            </w:r>
          </w:p>
        </w:tc>
      </w:tr>
      <w:tr>
        <w:tc>
          <w:tcPr/>
          <w:p>
            <w:pPr>
              <w:pStyle w:val="Compact"/>
              <w:jc w:val="left"/>
            </w:pPr>
            <w:r>
              <w:rPr>
                <w:b/>
                <w:bCs/>
              </w:rPr>
              <w:t xml:space="preserve">Consultations</w:t>
            </w:r>
          </w:p>
        </w:tc>
        <w:tc>
          <w:tcPr/>
          <w:p>
            <w:pPr>
              <w:pStyle w:val="Compact"/>
              <w:jc w:val="left"/>
            </w:pPr>
            <w:r>
              <w:t xml:space="preserve">150,000 per year</w:t>
            </w:r>
          </w:p>
        </w:tc>
      </w:tr>
      <w:tr>
        <w:tc>
          <w:tcPr/>
          <w:p>
            <w:pPr>
              <w:pStyle w:val="Compact"/>
              <w:jc w:val="left"/>
            </w:pPr>
            <w:r>
              <w:rPr>
                <w:b/>
                <w:bCs/>
              </w:rPr>
              <w:t xml:space="preserve">Employees</w:t>
            </w:r>
          </w:p>
        </w:tc>
        <w:tc>
          <w:tcPr/>
          <w:p>
            <w:pPr>
              <w:pStyle w:val="Compact"/>
              <w:jc w:val="left"/>
            </w:pPr>
            <w:r>
              <w:t xml:space="preserve">35</w:t>
            </w:r>
          </w:p>
        </w:tc>
      </w:tr>
      <w:tr>
        <w:tc>
          <w:tcPr/>
          <w:p>
            <w:pPr>
              <w:pStyle w:val="Compact"/>
              <w:jc w:val="left"/>
            </w:pPr>
            <w:r>
              <w:rPr>
                <w:b/>
                <w:bCs/>
              </w:rPr>
              <w:t xml:space="preserve">Population served</w:t>
            </w:r>
          </w:p>
        </w:tc>
        <w:tc>
          <w:tcPr/>
          <w:p>
            <w:pPr>
              <w:pStyle w:val="Compact"/>
              <w:jc w:val="left"/>
            </w:pPr>
            <w:r>
              <w:t xml:space="preserve">2.5 million (primarily tribal, remote)</w:t>
            </w:r>
          </w:p>
        </w:tc>
      </w:tr>
      <w:tr>
        <w:tc>
          <w:tcPr/>
          <w:p>
            <w:pPr>
              <w:pStyle w:val="Compact"/>
              <w:jc w:val="left"/>
            </w:pPr>
            <w:r>
              <w:rPr>
                <w:b/>
                <w:bCs/>
              </w:rPr>
              <w:t xml:space="preserve">Special status</w:t>
            </w:r>
          </w:p>
        </w:tc>
        <w:tc>
          <w:tcPr/>
          <w:p>
            <w:pPr>
              <w:pStyle w:val="Compact"/>
              <w:jc w:val="left"/>
            </w:pPr>
            <w:r>
              <w:t xml:space="preserve">Only specialist access for tribal blocks</w:t>
            </w:r>
          </w:p>
        </w:tc>
      </w:tr>
    </w:tbl>
    <w:bookmarkEnd w:id="441"/>
    <w:bookmarkStart w:id="443" w:name="cii-classification-assessment-4"/>
    <w:p>
      <w:pPr>
        <w:pStyle w:val="Heading3"/>
      </w:pPr>
      <w:r>
        <w:t xml:space="preserve">CII Classification Assessment</w:t>
      </w:r>
    </w:p>
    <w:bookmarkStart w:id="442" w:name="scoring-developing-country-framework-1"/>
    <w:p>
      <w:pPr>
        <w:pStyle w:val="Heading4"/>
      </w:pPr>
      <w:r>
        <w:t xml:space="preserve">Scoring (Developing Country Framework)</w:t>
      </w:r>
    </w:p>
    <w:tbl>
      <w:tblPr>
        <w:tblStyle w:val="Table"/>
        <w:tblW w:type="pct" w:w="5000"/>
        <w:tblLayout w:type="fixed"/>
        <w:tblLook w:firstRow="1" w:lastRow="0" w:firstColumn="0" w:lastColumn="0" w:noHBand="0" w:noVBand="0" w:val="0020"/>
      </w:tblPr>
      <w:tblGrid>
        <w:gridCol w:w="1863"/>
        <w:gridCol w:w="2562"/>
        <w:gridCol w:w="3494"/>
      </w:tblGrid>
      <w:tr>
        <w:trPr>
          <w:tblHeader w:val="on"/>
        </w:trPr>
        <w:tc>
          <w:tcPr/>
          <w:p>
            <w:pPr>
              <w:pStyle w:val="Compact"/>
              <w:jc w:val="left"/>
            </w:pPr>
            <w:r>
              <w:t xml:space="preserve">Domain</w:t>
            </w:r>
          </w:p>
        </w:tc>
        <w:tc>
          <w:tcPr/>
          <w:p>
            <w:pPr>
              <w:pStyle w:val="Compact"/>
              <w:jc w:val="left"/>
            </w:pPr>
            <w:r>
              <w:t xml:space="preserve">Criterion</w:t>
            </w:r>
          </w:p>
        </w:tc>
        <w:tc>
          <w:tcPr/>
          <w:p>
            <w:pPr>
              <w:pStyle w:val="Compact"/>
              <w:jc w:val="center"/>
            </w:pPr>
            <w:r>
              <w:t xml:space="preserve">Points Scored</w:t>
            </w:r>
          </w:p>
        </w:tc>
      </w:tr>
      <w:tr>
        <w:tc>
          <w:tcPr/>
          <w:p>
            <w:pPr>
              <w:pStyle w:val="Compact"/>
              <w:jc w:val="left"/>
            </w:pPr>
            <w:r>
              <w:rPr>
                <w:b/>
                <w:bCs/>
              </w:rPr>
              <w:t xml:space="preserve">A. Scale</w:t>
            </w:r>
          </w:p>
        </w:tc>
        <w:tc>
          <w:tcPr/>
          <w:p>
            <w:pPr>
              <w:pStyle w:val="Compact"/>
              <w:jc w:val="left"/>
            </w:pPr>
            <w:r>
              <w:t xml:space="preserve">Not a hospital (consultations-based)</w:t>
            </w:r>
          </w:p>
        </w:tc>
        <w:tc>
          <w:tcPr/>
          <w:p>
            <w:pPr>
              <w:pStyle w:val="Compact"/>
              <w:jc w:val="center"/>
            </w:pPr>
            <w:r>
              <w:t xml:space="preserve">10</w:t>
            </w:r>
          </w:p>
        </w:tc>
      </w:tr>
      <w:tr>
        <w:tc>
          <w:tcPr/>
          <w:p>
            <w:pPr>
              <w:pStyle w:val="Compact"/>
              <w:jc w:val="left"/>
            </w:pPr>
            <w:r>
              <w:rPr>
                <w:b/>
                <w:bCs/>
              </w:rPr>
              <w:t xml:space="preserve">B. Public System Role</w:t>
            </w:r>
          </w:p>
        </w:tc>
        <w:tc>
          <w:tcPr/>
          <w:p>
            <w:pPr>
              <w:pStyle w:val="Compact"/>
              <w:jc w:val="left"/>
            </w:pPr>
            <w:r>
              <w:t xml:space="preserve">Government telemedicine hub</w:t>
            </w:r>
          </w:p>
        </w:tc>
        <w:tc>
          <w:tcPr/>
          <w:p>
            <w:pPr>
              <w:pStyle w:val="Compact"/>
              <w:jc w:val="center"/>
            </w:pPr>
            <w:r>
              <w:t xml:space="preserve">15</w:t>
            </w:r>
          </w:p>
        </w:tc>
      </w:tr>
      <w:tr>
        <w:tc>
          <w:tcPr/>
          <w:p>
            <w:pPr>
              <w:pStyle w:val="Compact"/>
              <w:jc w:val="left"/>
            </w:pPr>
            <w:r>
              <w:rPr>
                <w:b/>
                <w:bCs/>
              </w:rPr>
              <w:t xml:space="preserve">C. Geographic Criticality</w:t>
            </w:r>
          </w:p>
        </w:tc>
        <w:tc>
          <w:tcPr/>
          <w:p>
            <w:pPr>
              <w:pStyle w:val="Compact"/>
              <w:jc w:val="left"/>
            </w:pPr>
            <w:r>
              <w:t xml:space="preserve">Sole specialist access for remote population</w:t>
            </w:r>
          </w:p>
        </w:tc>
        <w:tc>
          <w:tcPr/>
          <w:p>
            <w:pPr>
              <w:pStyle w:val="Compact"/>
              <w:jc w:val="center"/>
            </w:pPr>
            <w:r>
              <w:t xml:space="preserve">20</w:t>
            </w:r>
          </w:p>
        </w:tc>
      </w:tr>
      <w:tr>
        <w:tc>
          <w:tcPr/>
          <w:p>
            <w:pPr>
              <w:pStyle w:val="Compact"/>
              <w:jc w:val="left"/>
            </w:pPr>
            <w:r>
              <w:rPr>
                <w:b/>
                <w:bCs/>
              </w:rPr>
              <w:t xml:space="preserve">D. Functions</w:t>
            </w:r>
          </w:p>
        </w:tc>
        <w:tc>
          <w:tcPr/>
          <w:p>
            <w:pPr>
              <w:pStyle w:val="Compact"/>
              <w:jc w:val="left"/>
            </w:pPr>
            <w:r>
              <w:t xml:space="preserve">Telemedicine hub for tribal/remote areas</w:t>
            </w:r>
          </w:p>
        </w:tc>
        <w:tc>
          <w:tcPr/>
          <w:p>
            <w:pPr>
              <w:pStyle w:val="Compact"/>
              <w:jc w:val="center"/>
            </w:pPr>
            <w:r>
              <w:t xml:space="preserve">15</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60</w:t>
            </w:r>
          </w:p>
        </w:tc>
      </w:tr>
    </w:tbl>
    <w:bookmarkEnd w:id="442"/>
    <w:bookmarkEnd w:id="443"/>
    <w:bookmarkStart w:id="444" w:name="classification-result-4"/>
    <w:p>
      <w:pPr>
        <w:pStyle w:val="Heading3"/>
      </w:pPr>
      <w:r>
        <w:t xml:space="preserve">Classification Result</w:t>
      </w:r>
    </w:p>
    <w:tbl>
      <w:tblPr>
        <w:tblStyle w:val="Table"/>
        <w:tblW w:type="pct" w:w="5000"/>
        <w:tblLayout w:type="fixed"/>
        <w:tblLook w:firstRow="1" w:lastRow="0" w:firstColumn="0" w:lastColumn="0" w:noHBand="0" w:noVBand="0" w:val="0020"/>
      </w:tblPr>
      <w:tblGrid>
        <w:gridCol w:w="2489"/>
        <w:gridCol w:w="1584"/>
        <w:gridCol w:w="1357"/>
        <w:gridCol w:w="2489"/>
      </w:tblGrid>
      <w:tr>
        <w:trPr>
          <w:tblHeader w:val="on"/>
        </w:trPr>
        <w:tc>
          <w:tcPr/>
          <w:p>
            <w:pPr>
              <w:pStyle w:val="Compact"/>
              <w:jc w:val="left"/>
            </w:pPr>
            <w:r>
              <w:t xml:space="preserve">Framework</w:t>
            </w:r>
          </w:p>
        </w:tc>
        <w:tc>
          <w:tcPr/>
          <w:p>
            <w:pPr>
              <w:pStyle w:val="Compact"/>
              <w:jc w:val="left"/>
            </w:pPr>
            <w:r>
              <w:t xml:space="preserve">Score</w:t>
            </w:r>
          </w:p>
        </w:tc>
        <w:tc>
          <w:tcPr/>
          <w:p>
            <w:pPr>
              <w:pStyle w:val="Compact"/>
              <w:jc w:val="left"/>
            </w:pPr>
            <w:r>
              <w:t xml:space="preserve">Tier</w:t>
            </w:r>
          </w:p>
        </w:tc>
        <w:tc>
          <w:tcPr/>
          <w:p>
            <w:pPr>
              <w:pStyle w:val="Compact"/>
              <w:jc w:val="left"/>
            </w:pPr>
            <w:r>
              <w:t xml:space="preserve">Rationale</w:t>
            </w:r>
          </w:p>
        </w:tc>
      </w:tr>
      <w:tr>
        <w:tc>
          <w:tcPr/>
          <w:p>
            <w:pPr>
              <w:pStyle w:val="Compact"/>
              <w:jc w:val="left"/>
            </w:pPr>
            <w:r>
              <w:rPr>
                <w:b/>
                <w:bCs/>
              </w:rPr>
              <w:t xml:space="preserve">Developing Country</w:t>
            </w:r>
          </w:p>
        </w:tc>
        <w:tc>
          <w:tcPr/>
          <w:p>
            <w:pPr>
              <w:pStyle w:val="Compact"/>
              <w:jc w:val="left"/>
            </w:pPr>
            <w:r>
              <w:t xml:space="preserve">60</w:t>
            </w:r>
          </w:p>
        </w:tc>
        <w:tc>
          <w:tcPr/>
          <w:p>
            <w:pPr>
              <w:pStyle w:val="Compact"/>
              <w:jc w:val="left"/>
            </w:pPr>
            <w:r>
              <w:rPr>
                <w:b/>
                <w:bCs/>
              </w:rPr>
              <w:t xml:space="preserve">Tier 1 (Essential)</w:t>
            </w:r>
          </w:p>
        </w:tc>
        <w:tc>
          <w:tcPr/>
          <w:p>
            <w:pPr>
              <w:pStyle w:val="Compact"/>
              <w:jc w:val="left"/>
            </w:pPr>
            <w:r>
              <w:t xml:space="preserve">Threshold met; sole specialist access for underserved population</w:t>
            </w:r>
          </w:p>
        </w:tc>
      </w:tr>
    </w:tbl>
    <w:p>
      <w:pPr>
        <w:pStyle w:val="BlockText"/>
      </w:pPr>
      <w:r>
        <w:t xml:space="preserve">[!NOTE]</w:t>
      </w:r>
      <w:r>
        <w:t xml:space="preserve"> </w:t>
      </w:r>
      <w:r>
        <w:t xml:space="preserve">This case demonstrates how</w:t>
      </w:r>
      <w:r>
        <w:t xml:space="preserve"> </w:t>
      </w:r>
      <w:r>
        <w:rPr>
          <w:b/>
          <w:bCs/>
        </w:rPr>
        <w:t xml:space="preserve">telemedicine hubs serving remote populations</w:t>
      </w:r>
      <w:r>
        <w:t xml:space="preserve"> </w:t>
      </w:r>
      <w:r>
        <w:t xml:space="preserve">can qualify as Tier 1 despite modest scale, because they represent the</w:t>
      </w:r>
      <w:r>
        <w:t xml:space="preserve"> </w:t>
      </w:r>
      <w:r>
        <w:rPr>
          <w:b/>
          <w:bCs/>
        </w:rPr>
        <w:t xml:space="preserve">only access point</w:t>
      </w:r>
      <w:r>
        <w:t xml:space="preserve"> </w:t>
      </w:r>
      <w:r>
        <w:t xml:space="preserve">for specialist care.</w:t>
      </w:r>
    </w:p>
    <w:bookmarkEnd w:id="444"/>
    <w:bookmarkStart w:id="445" w:name="applicable-obligations-2"/>
    <w:p>
      <w:pPr>
        <w:pStyle w:val="Heading3"/>
      </w:pPr>
      <w:r>
        <w:t xml:space="preserve">Applicable Obligations</w:t>
      </w:r>
    </w:p>
    <w:p>
      <w:pPr>
        <w:pStyle w:val="Compact"/>
        <w:numPr>
          <w:ilvl w:val="0"/>
          <w:numId w:val="1329"/>
        </w:numPr>
      </w:pPr>
      <w:r>
        <w:t xml:space="preserve">Security focal point</w:t>
      </w:r>
    </w:p>
    <w:p>
      <w:pPr>
        <w:pStyle w:val="Compact"/>
        <w:numPr>
          <w:ilvl w:val="0"/>
          <w:numId w:val="1329"/>
        </w:numPr>
      </w:pPr>
      <w:r>
        <w:t xml:space="preserve">24-48 hour incident reporting</w:t>
      </w:r>
    </w:p>
    <w:p>
      <w:pPr>
        <w:pStyle w:val="Compact"/>
        <w:numPr>
          <w:ilvl w:val="0"/>
          <w:numId w:val="1329"/>
        </w:numPr>
      </w:pPr>
      <w:r>
        <w:t xml:space="preserve">Business continuity: Backup connectivity; manual referral protocols</w:t>
      </w:r>
    </w:p>
    <w:p>
      <w:pPr>
        <w:pStyle w:val="Compact"/>
        <w:numPr>
          <w:ilvl w:val="0"/>
          <w:numId w:val="1329"/>
        </w:numPr>
      </w:pPr>
      <w:r>
        <w:t xml:space="preserve">Annual audit (may be combined with state ICT audit)</w:t>
      </w:r>
    </w:p>
    <w:p>
      <w:pPr>
        <w:pStyle w:val="Compact"/>
        <w:numPr>
          <w:ilvl w:val="0"/>
          <w:numId w:val="1329"/>
        </w:numPr>
      </w:pPr>
      <w:r>
        <w:t xml:space="preserve">Data protection: Patient consultation confidentiality</w:t>
      </w:r>
    </w:p>
    <w:p>
      <w:r>
        <w:pict>
          <v:rect style="width:0;height:1.5pt" o:hralign="center" o:hrstd="t" o:hr="t"/>
        </w:pict>
      </w:r>
    </w:p>
    <w:bookmarkEnd w:id="445"/>
    <w:bookmarkEnd w:id="446"/>
    <w:bookmarkStart w:id="453" w:name="X17e429f7fb7f94662fed0c9ac6050ae73db8b7e"/>
    <w:p>
      <w:pPr>
        <w:pStyle w:val="Heading2"/>
      </w:pPr>
      <w:r>
        <w:t xml:space="preserve">Case Study 6: Medical College Research Institution -</w:t>
      </w:r>
      <w:r>
        <w:t xml:space="preserve"> </w:t>
      </w:r>
      <w:r>
        <w:t xml:space="preserve">“Lakshmi Devi Medical College”</w:t>
      </w:r>
    </w:p>
    <w:bookmarkStart w:id="447" w:name="entity-profile-5"/>
    <w:p>
      <w:pPr>
        <w:pStyle w:val="Heading3"/>
      </w:pPr>
      <w:r>
        <w:t xml:space="preserve">Entity Profile</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jc w:val="left"/>
            </w:pPr>
            <w:r>
              <w:t xml:space="preserve">Attribute</w:t>
            </w:r>
          </w:p>
        </w:tc>
        <w:tc>
          <w:tcPr/>
          <w:p>
            <w:pPr>
              <w:pStyle w:val="Compact"/>
              <w:jc w:val="left"/>
            </w:pPr>
            <w:r>
              <w:t xml:space="preserve">Details</w:t>
            </w:r>
          </w:p>
        </w:tc>
      </w:tr>
      <w:tr>
        <w:tc>
          <w:tcPr/>
          <w:p>
            <w:pPr>
              <w:pStyle w:val="Compact"/>
              <w:jc w:val="left"/>
            </w:pPr>
            <w:r>
              <w:rPr>
                <w:b/>
                <w:bCs/>
              </w:rPr>
              <w:t xml:space="preserve">Name</w:t>
            </w:r>
          </w:p>
        </w:tc>
        <w:tc>
          <w:tcPr/>
          <w:p>
            <w:pPr>
              <w:pStyle w:val="Compact"/>
              <w:jc w:val="left"/>
            </w:pPr>
            <w:r>
              <w:t xml:space="preserve">Lakshmi Devi Medical College &amp; Research Institute</w:t>
            </w:r>
          </w:p>
        </w:tc>
      </w:tr>
      <w:tr>
        <w:tc>
          <w:tcPr/>
          <w:p>
            <w:pPr>
              <w:pStyle w:val="Compact"/>
              <w:jc w:val="left"/>
            </w:pPr>
            <w:r>
              <w:rPr>
                <w:b/>
                <w:bCs/>
              </w:rPr>
              <w:t xml:space="preserve">Type</w:t>
            </w:r>
          </w:p>
        </w:tc>
        <w:tc>
          <w:tcPr/>
          <w:p>
            <w:pPr>
              <w:pStyle w:val="Compact"/>
              <w:jc w:val="left"/>
            </w:pPr>
            <w:r>
              <w:t xml:space="preserve">Government medical college with attached teaching hospital</w:t>
            </w:r>
          </w:p>
        </w:tc>
      </w:tr>
      <w:tr>
        <w:tc>
          <w:tcPr/>
          <w:p>
            <w:pPr>
              <w:pStyle w:val="Compact"/>
              <w:jc w:val="left"/>
            </w:pPr>
            <w:r>
              <w:rPr>
                <w:b/>
                <w:bCs/>
              </w:rPr>
              <w:t xml:space="preserve">Location</w:t>
            </w:r>
          </w:p>
        </w:tc>
        <w:tc>
          <w:tcPr/>
          <w:p>
            <w:pPr>
              <w:pStyle w:val="Compact"/>
              <w:jc w:val="left"/>
            </w:pPr>
            <w:r>
              <w:t xml:space="preserve">State capital city</w:t>
            </w:r>
          </w:p>
        </w:tc>
      </w:tr>
      <w:tr>
        <w:tc>
          <w:tcPr/>
          <w:p>
            <w:pPr>
              <w:pStyle w:val="Compact"/>
              <w:jc w:val="left"/>
            </w:pPr>
            <w:r>
              <w:rPr>
                <w:b/>
                <w:bCs/>
              </w:rPr>
              <w:t xml:space="preserve">Beds</w:t>
            </w:r>
          </w:p>
        </w:tc>
        <w:tc>
          <w:tcPr/>
          <w:p>
            <w:pPr>
              <w:pStyle w:val="Compact"/>
              <w:jc w:val="left"/>
            </w:pPr>
            <w:r>
              <w:t xml:space="preserve">1,500 (attached hospital)</w:t>
            </w:r>
          </w:p>
        </w:tc>
      </w:tr>
      <w:tr>
        <w:tc>
          <w:tcPr/>
          <w:p>
            <w:pPr>
              <w:pStyle w:val="Compact"/>
              <w:jc w:val="left"/>
            </w:pPr>
            <w:r>
              <w:rPr>
                <w:b/>
                <w:bCs/>
              </w:rPr>
              <w:t xml:space="preserve">Annual admissions</w:t>
            </w:r>
          </w:p>
        </w:tc>
        <w:tc>
          <w:tcPr/>
          <w:p>
            <w:pPr>
              <w:pStyle w:val="Compact"/>
              <w:jc w:val="left"/>
            </w:pPr>
            <w:r>
              <w:t xml:space="preserve">MBBS: 250; PG: 150; Super-specialty: 50</w:t>
            </w:r>
          </w:p>
        </w:tc>
      </w:tr>
      <w:tr>
        <w:tc>
          <w:tcPr/>
          <w:p>
            <w:pPr>
              <w:pStyle w:val="Compact"/>
              <w:jc w:val="left"/>
            </w:pPr>
            <w:r>
              <w:rPr>
                <w:b/>
                <w:bCs/>
              </w:rPr>
              <w:t xml:space="preserve">Research programs</w:t>
            </w:r>
          </w:p>
        </w:tc>
        <w:tc>
          <w:tcPr/>
          <w:p>
            <w:pPr>
              <w:pStyle w:val="Compact"/>
              <w:jc w:val="left"/>
            </w:pPr>
            <w:r>
              <w:t xml:space="preserve">45 active research projects; 12 clinical trials</w:t>
            </w:r>
          </w:p>
        </w:tc>
      </w:tr>
      <w:tr>
        <w:tc>
          <w:tcPr/>
          <w:p>
            <w:pPr>
              <w:pStyle w:val="Compact"/>
              <w:jc w:val="left"/>
            </w:pPr>
            <w:r>
              <w:rPr>
                <w:b/>
                <w:bCs/>
              </w:rPr>
              <w:t xml:space="preserve">Research funding</w:t>
            </w:r>
          </w:p>
        </w:tc>
        <w:tc>
          <w:tcPr/>
          <w:p>
            <w:pPr>
              <w:pStyle w:val="Compact"/>
              <w:jc w:val="left"/>
            </w:pPr>
            <w:r>
              <w:t xml:space="preserve">₹50 crore active grants (national and international)</w:t>
            </w:r>
          </w:p>
        </w:tc>
      </w:tr>
      <w:tr>
        <w:tc>
          <w:tcPr/>
          <w:p>
            <w:pPr>
              <w:pStyle w:val="Compact"/>
              <w:jc w:val="left"/>
            </w:pPr>
            <w:r>
              <w:rPr>
                <w:b/>
                <w:bCs/>
              </w:rPr>
              <w:t xml:space="preserve">Key systems</w:t>
            </w:r>
          </w:p>
        </w:tc>
        <w:tc>
          <w:tcPr/>
          <w:p>
            <w:pPr>
              <w:pStyle w:val="Compact"/>
              <w:jc w:val="left"/>
            </w:pPr>
            <w:r>
              <w:t xml:space="preserve">Hospital Information System (HIS), Clinical Trial Management System (CTMS), Electronic Lab Notebook (ELN), Research Data Repository, Student Information System</w:t>
            </w:r>
          </w:p>
        </w:tc>
      </w:tr>
      <w:tr>
        <w:tc>
          <w:tcPr/>
          <w:p>
            <w:pPr>
              <w:pStyle w:val="Compact"/>
              <w:jc w:val="left"/>
            </w:pPr>
            <w:r>
              <w:rPr>
                <w:b/>
                <w:bCs/>
              </w:rPr>
              <w:t xml:space="preserve">Data holdings</w:t>
            </w:r>
          </w:p>
        </w:tc>
        <w:tc>
          <w:tcPr/>
          <w:p>
            <w:pPr>
              <w:pStyle w:val="Compact"/>
              <w:jc w:val="left"/>
            </w:pPr>
            <w:r>
              <w:t xml:space="preserve">25 years of patient records; 200,000+ research subjects data</w:t>
            </w:r>
          </w:p>
        </w:tc>
      </w:tr>
      <w:tr>
        <w:tc>
          <w:tcPr/>
          <w:p>
            <w:pPr>
              <w:pStyle w:val="Compact"/>
              <w:jc w:val="left"/>
            </w:pPr>
            <w:r>
              <w:rPr>
                <w:b/>
                <w:bCs/>
              </w:rPr>
              <w:t xml:space="preserve">Integrations</w:t>
            </w:r>
          </w:p>
        </w:tc>
        <w:tc>
          <w:tcPr/>
          <w:p>
            <w:pPr>
              <w:pStyle w:val="Compact"/>
              <w:jc w:val="left"/>
            </w:pPr>
            <w:r>
              <w:t xml:space="preserve">Connected to national clinical trial registry; multiple international research collaborations</w:t>
            </w:r>
          </w:p>
        </w:tc>
      </w:tr>
      <w:tr>
        <w:tc>
          <w:tcPr/>
          <w:p>
            <w:pPr>
              <w:pStyle w:val="Compact"/>
              <w:jc w:val="left"/>
            </w:pPr>
            <w:r>
              <w:rPr>
                <w:b/>
                <w:bCs/>
              </w:rPr>
              <w:t xml:space="preserve">Special consideration</w:t>
            </w:r>
          </w:p>
        </w:tc>
        <w:tc>
          <w:tcPr/>
          <w:p>
            <w:pPr>
              <w:pStyle w:val="Compact"/>
              <w:jc w:val="left"/>
            </w:pPr>
            <w:r>
              <w:rPr>
                <w:b/>
                <w:bCs/>
              </w:rPr>
              <w:t xml:space="preserve">Dual role: clinical care + research training pipeline</w:t>
            </w:r>
          </w:p>
        </w:tc>
      </w:tr>
    </w:tbl>
    <w:bookmarkEnd w:id="447"/>
    <w:bookmarkStart w:id="450" w:name="cii-classification-assessment-5"/>
    <w:p>
      <w:pPr>
        <w:pStyle w:val="Heading3"/>
      </w:pPr>
      <w:r>
        <w:t xml:space="preserve">CII Classification Assessment</w:t>
      </w:r>
    </w:p>
    <w:bookmarkStart w:id="448" w:name="X08538163123c7063a637cb49d0e48c2d655dca8"/>
    <w:p>
      <w:pPr>
        <w:pStyle w:val="Heading4"/>
      </w:pPr>
      <w:r>
        <w:t xml:space="preserve">Dual Assessment: Clinical vs Research Functions</w:t>
      </w:r>
    </w:p>
    <w:tbl>
      <w:tblPr>
        <w:tblStyle w:val="Table"/>
        <w:tblW w:type="pct" w:w="5000"/>
        <w:tblLayout w:type="fixed"/>
        <w:tblLook w:firstRow="1" w:lastRow="0" w:firstColumn="0" w:lastColumn="0" w:noHBand="0" w:noVBand="0" w:val="0020"/>
      </w:tblPr>
      <w:tblGrid>
        <w:gridCol w:w="2731"/>
        <w:gridCol w:w="5188"/>
      </w:tblGrid>
      <w:tr>
        <w:trPr>
          <w:tblHeader w:val="on"/>
        </w:trPr>
        <w:tc>
          <w:tcPr/>
          <w:p>
            <w:pPr>
              <w:pStyle w:val="Compact"/>
              <w:jc w:val="left"/>
            </w:pPr>
            <w:r>
              <w:t xml:space="preserve">Function</w:t>
            </w:r>
          </w:p>
        </w:tc>
        <w:tc>
          <w:tcPr/>
          <w:p>
            <w:pPr>
              <w:pStyle w:val="Compact"/>
              <w:jc w:val="left"/>
            </w:pPr>
            <w:r>
              <w:t xml:space="preserve">Criticality Basis</w:t>
            </w:r>
          </w:p>
        </w:tc>
      </w:tr>
      <w:tr>
        <w:tc>
          <w:tcPr/>
          <w:p>
            <w:pPr>
              <w:pStyle w:val="Compact"/>
              <w:jc w:val="left"/>
            </w:pPr>
            <w:r>
              <w:rPr>
                <w:b/>
                <w:bCs/>
              </w:rPr>
              <w:t xml:space="preserve">Clinical care</w:t>
            </w:r>
          </w:p>
        </w:tc>
        <w:tc>
          <w:tcPr/>
          <w:p>
            <w:pPr>
              <w:pStyle w:val="Compact"/>
              <w:jc w:val="left"/>
            </w:pPr>
            <w:r>
              <w:t xml:space="preserve">Major tertiary hospital with ICU, trauma, specialty services</w:t>
            </w:r>
          </w:p>
        </w:tc>
      </w:tr>
      <w:tr>
        <w:tc>
          <w:tcPr/>
          <w:p>
            <w:pPr>
              <w:pStyle w:val="Compact"/>
              <w:jc w:val="left"/>
            </w:pPr>
            <w:r>
              <w:rPr>
                <w:b/>
                <w:bCs/>
              </w:rPr>
              <w:t xml:space="preserve">Medical education</w:t>
            </w:r>
          </w:p>
        </w:tc>
        <w:tc>
          <w:tcPr/>
          <w:p>
            <w:pPr>
              <w:pStyle w:val="Compact"/>
              <w:jc w:val="left"/>
            </w:pPr>
            <w:r>
              <w:t xml:space="preserve">Trains future healthcare workforce; pipeline criticality</w:t>
            </w:r>
          </w:p>
        </w:tc>
      </w:tr>
      <w:tr>
        <w:tc>
          <w:tcPr/>
          <w:p>
            <w:pPr>
              <w:pStyle w:val="Compact"/>
              <w:jc w:val="left"/>
            </w:pPr>
            <w:r>
              <w:rPr>
                <w:b/>
                <w:bCs/>
              </w:rPr>
              <w:t xml:space="preserve">Research</w:t>
            </w:r>
          </w:p>
        </w:tc>
        <w:tc>
          <w:tcPr/>
          <w:p>
            <w:pPr>
              <w:pStyle w:val="Compact"/>
              <w:jc w:val="left"/>
            </w:pPr>
            <w:r>
              <w:t xml:space="preserve">Clinical trials, longitudinal studies, collaborative research data</w:t>
            </w:r>
          </w:p>
        </w:tc>
      </w:tr>
      <w:tr>
        <w:tc>
          <w:tcPr/>
          <w:p>
            <w:pPr>
              <w:pStyle w:val="Compact"/>
              <w:jc w:val="left"/>
            </w:pPr>
            <w:r>
              <w:rPr>
                <w:b/>
                <w:bCs/>
              </w:rPr>
              <w:t xml:space="preserve">Research IP</w:t>
            </w:r>
          </w:p>
        </w:tc>
        <w:tc>
          <w:tcPr/>
          <w:p>
            <w:pPr>
              <w:pStyle w:val="Compact"/>
              <w:jc w:val="left"/>
            </w:pPr>
            <w:r>
              <w:t xml:space="preserve">Proprietary research findings, unpublished data</w:t>
            </w:r>
          </w:p>
        </w:tc>
      </w:tr>
    </w:tbl>
    <w:bookmarkEnd w:id="448"/>
    <w:bookmarkStart w:id="449" w:name="scoring-developing-country-framework-2"/>
    <w:p>
      <w:pPr>
        <w:pStyle w:val="Heading4"/>
      </w:pPr>
      <w:r>
        <w:t xml:space="preserve">Scoring (Developing Country Framework)</w:t>
      </w:r>
    </w:p>
    <w:tbl>
      <w:tblPr>
        <w:tblStyle w:val="Table"/>
        <w:tblW w:type="pct" w:w="5000"/>
        <w:tblLayout w:type="fixed"/>
        <w:tblLook w:firstRow="1" w:lastRow="0" w:firstColumn="0" w:lastColumn="0" w:noHBand="0" w:noVBand="0" w:val="0020"/>
      </w:tblPr>
      <w:tblGrid>
        <w:gridCol w:w="1863"/>
        <w:gridCol w:w="2562"/>
        <w:gridCol w:w="3494"/>
      </w:tblGrid>
      <w:tr>
        <w:trPr>
          <w:tblHeader w:val="on"/>
        </w:trPr>
        <w:tc>
          <w:tcPr/>
          <w:p>
            <w:pPr>
              <w:pStyle w:val="Compact"/>
              <w:jc w:val="left"/>
            </w:pPr>
            <w:r>
              <w:t xml:space="preserve">Domain</w:t>
            </w:r>
          </w:p>
        </w:tc>
        <w:tc>
          <w:tcPr/>
          <w:p>
            <w:pPr>
              <w:pStyle w:val="Compact"/>
              <w:jc w:val="left"/>
            </w:pPr>
            <w:r>
              <w:t xml:space="preserve">Criterion</w:t>
            </w:r>
          </w:p>
        </w:tc>
        <w:tc>
          <w:tcPr/>
          <w:p>
            <w:pPr>
              <w:pStyle w:val="Compact"/>
              <w:jc w:val="center"/>
            </w:pPr>
            <w:r>
              <w:t xml:space="preserve">Points Scored</w:t>
            </w:r>
          </w:p>
        </w:tc>
      </w:tr>
      <w:tr>
        <w:tc>
          <w:tcPr/>
          <w:p>
            <w:pPr>
              <w:pStyle w:val="Compact"/>
              <w:jc w:val="left"/>
            </w:pPr>
            <w:r>
              <w:rPr>
                <w:b/>
                <w:bCs/>
              </w:rPr>
              <w:t xml:space="preserve">A. Clinical Scale</w:t>
            </w:r>
          </w:p>
        </w:tc>
        <w:tc>
          <w:tcPr/>
          <w:p>
            <w:pPr>
              <w:pStyle w:val="Compact"/>
              <w:jc w:val="left"/>
            </w:pPr>
            <w:r>
              <w:t xml:space="preserve">1,500 beds; major tertiary hospital</w:t>
            </w:r>
          </w:p>
        </w:tc>
        <w:tc>
          <w:tcPr/>
          <w:p>
            <w:pPr>
              <w:pStyle w:val="Compact"/>
              <w:jc w:val="center"/>
            </w:pPr>
            <w:r>
              <w:t xml:space="preserve">30</w:t>
            </w:r>
          </w:p>
        </w:tc>
      </w:tr>
      <w:tr>
        <w:tc>
          <w:tcPr/>
          <w:p>
            <w:pPr>
              <w:pStyle w:val="Compact"/>
              <w:jc w:val="left"/>
            </w:pPr>
            <w:r>
              <w:rPr>
                <w:b/>
                <w:bCs/>
              </w:rPr>
              <w:t xml:space="preserve">B. Capability</w:t>
            </w:r>
          </w:p>
        </w:tc>
        <w:tc>
          <w:tcPr/>
          <w:p>
            <w:pPr>
              <w:pStyle w:val="Compact"/>
              <w:jc w:val="left"/>
            </w:pPr>
            <w:r>
              <w:t xml:space="preserve">ICU, emergency, tertiary specialty services</w:t>
            </w:r>
          </w:p>
        </w:tc>
        <w:tc>
          <w:tcPr/>
          <w:p>
            <w:pPr>
              <w:pStyle w:val="Compact"/>
              <w:jc w:val="center"/>
            </w:pPr>
            <w:r>
              <w:t xml:space="preserve">25</w:t>
            </w:r>
          </w:p>
        </w:tc>
      </w:tr>
      <w:tr>
        <w:tc>
          <w:tcPr/>
          <w:p>
            <w:pPr>
              <w:pStyle w:val="Compact"/>
              <w:jc w:val="left"/>
            </w:pPr>
            <w:r>
              <w:rPr>
                <w:b/>
                <w:bCs/>
              </w:rPr>
              <w:t xml:space="preserve">C. Research Function</w:t>
            </w:r>
          </w:p>
        </w:tc>
        <w:tc>
          <w:tcPr/>
          <w:p>
            <w:pPr>
              <w:pStyle w:val="Compact"/>
              <w:jc w:val="left"/>
            </w:pPr>
            <w:r>
              <w:t xml:space="preserve">45 active projects; clinical trial data</w:t>
            </w:r>
          </w:p>
        </w:tc>
        <w:tc>
          <w:tcPr/>
          <w:p>
            <w:pPr>
              <w:pStyle w:val="Compact"/>
              <w:jc w:val="center"/>
            </w:pPr>
            <w:r>
              <w:t xml:space="preserve">15</w:t>
            </w:r>
          </w:p>
        </w:tc>
      </w:tr>
      <w:tr>
        <w:tc>
          <w:tcPr/>
          <w:p>
            <w:pPr>
              <w:pStyle w:val="Compact"/>
              <w:jc w:val="left"/>
            </w:pPr>
            <w:r>
              <w:rPr>
                <w:b/>
                <w:bCs/>
              </w:rPr>
              <w:t xml:space="preserve">D. Training Pipeline</w:t>
            </w:r>
          </w:p>
        </w:tc>
        <w:tc>
          <w:tcPr/>
          <w:p>
            <w:pPr>
              <w:pStyle w:val="Compact"/>
              <w:jc w:val="left"/>
            </w:pPr>
            <w:r>
              <w:t xml:space="preserve">450 trainees/year; workforce development</w:t>
            </w:r>
          </w:p>
        </w:tc>
        <w:tc>
          <w:tcPr/>
          <w:p>
            <w:pPr>
              <w:pStyle w:val="Compact"/>
              <w:jc w:val="center"/>
            </w:pPr>
            <w:r>
              <w:t xml:space="preserve">10</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80</w:t>
            </w:r>
          </w:p>
        </w:tc>
      </w:tr>
    </w:tbl>
    <w:bookmarkEnd w:id="449"/>
    <w:bookmarkEnd w:id="450"/>
    <w:bookmarkStart w:id="451" w:name="classification-result-5"/>
    <w:p>
      <w:pPr>
        <w:pStyle w:val="Heading3"/>
      </w:pPr>
      <w:r>
        <w:t xml:space="preserve">Classification Result</w:t>
      </w:r>
    </w:p>
    <w:tbl>
      <w:tblPr>
        <w:tblStyle w:val="Table"/>
        <w:tblW w:type="pct" w:w="5000"/>
        <w:tblLayout w:type="fixed"/>
        <w:tblLook w:firstRow="1" w:lastRow="0" w:firstColumn="0" w:lastColumn="0" w:noHBand="0" w:noVBand="0" w:val="0020"/>
      </w:tblPr>
      <w:tblGrid>
        <w:gridCol w:w="2489"/>
        <w:gridCol w:w="1584"/>
        <w:gridCol w:w="1357"/>
        <w:gridCol w:w="2489"/>
      </w:tblGrid>
      <w:tr>
        <w:trPr>
          <w:tblHeader w:val="on"/>
        </w:trPr>
        <w:tc>
          <w:tcPr/>
          <w:p>
            <w:pPr>
              <w:pStyle w:val="Compact"/>
              <w:jc w:val="left"/>
            </w:pPr>
            <w:r>
              <w:t xml:space="preserve">Framework</w:t>
            </w:r>
          </w:p>
        </w:tc>
        <w:tc>
          <w:tcPr/>
          <w:p>
            <w:pPr>
              <w:pStyle w:val="Compact"/>
              <w:jc w:val="left"/>
            </w:pPr>
            <w:r>
              <w:t xml:space="preserve">Score</w:t>
            </w:r>
          </w:p>
        </w:tc>
        <w:tc>
          <w:tcPr/>
          <w:p>
            <w:pPr>
              <w:pStyle w:val="Compact"/>
              <w:jc w:val="left"/>
            </w:pPr>
            <w:r>
              <w:t xml:space="preserve">Tier</w:t>
            </w:r>
          </w:p>
        </w:tc>
        <w:tc>
          <w:tcPr/>
          <w:p>
            <w:pPr>
              <w:pStyle w:val="Compact"/>
              <w:jc w:val="left"/>
            </w:pPr>
            <w:r>
              <w:t xml:space="preserve">Rationale</w:t>
            </w:r>
          </w:p>
        </w:tc>
      </w:tr>
      <w:tr>
        <w:tc>
          <w:tcPr/>
          <w:p>
            <w:pPr>
              <w:pStyle w:val="Compact"/>
              <w:jc w:val="left"/>
            </w:pPr>
            <w:r>
              <w:rPr>
                <w:b/>
                <w:bCs/>
              </w:rPr>
              <w:t xml:space="preserve">Developing Country</w:t>
            </w:r>
          </w:p>
        </w:tc>
        <w:tc>
          <w:tcPr/>
          <w:p>
            <w:pPr>
              <w:pStyle w:val="Compact"/>
              <w:jc w:val="left"/>
            </w:pPr>
            <w:r>
              <w:t xml:space="preserve">80</w:t>
            </w:r>
          </w:p>
        </w:tc>
        <w:tc>
          <w:tcPr/>
          <w:p>
            <w:pPr>
              <w:pStyle w:val="Compact"/>
              <w:jc w:val="left"/>
            </w:pPr>
            <w:r>
              <w:rPr>
                <w:b/>
                <w:bCs/>
              </w:rPr>
              <w:t xml:space="preserve">Tier 1 (Essential)</w:t>
            </w:r>
          </w:p>
        </w:tc>
        <w:tc>
          <w:tcPr/>
          <w:p>
            <w:pPr>
              <w:pStyle w:val="Compact"/>
              <w:jc w:val="left"/>
            </w:pPr>
            <w:r>
              <w:t xml:space="preserve">Major tertiary hospital + research institution + training function</w:t>
            </w:r>
          </w:p>
        </w:tc>
      </w:tr>
    </w:tbl>
    <w:p>
      <w:pPr>
        <w:pStyle w:val="BlockText"/>
      </w:pPr>
      <w:r>
        <w:t xml:space="preserve">[!NOTE]</w:t>
      </w:r>
      <w:r>
        <w:t xml:space="preserve"> </w:t>
      </w:r>
      <w:r>
        <w:t xml:space="preserve">Medical colleges have</w:t>
      </w:r>
      <w:r>
        <w:t xml:space="preserve"> </w:t>
      </w:r>
      <w:r>
        <w:rPr>
          <w:b/>
          <w:bCs/>
        </w:rPr>
        <w:t xml:space="preserve">triple criticality</w:t>
      </w:r>
      <w:r>
        <w:t xml:space="preserve">: clinical care, research data, and workforce training. A cyber incident affecting a medical college simultaneously impacts patient care, ongoing research, and future healthcare capacity.</w:t>
      </w:r>
    </w:p>
    <w:bookmarkEnd w:id="451"/>
    <w:bookmarkStart w:id="452" w:name="applicable-obligations-3"/>
    <w:p>
      <w:pPr>
        <w:pStyle w:val="Heading3"/>
      </w:pPr>
      <w:r>
        <w:t xml:space="preserve">Applicable Obligations</w:t>
      </w:r>
    </w:p>
    <w:p>
      <w:pPr>
        <w:pStyle w:val="FirstParagraph"/>
      </w:pPr>
      <w:r>
        <w:rPr>
          <w:b/>
          <w:bCs/>
        </w:rPr>
        <w:t xml:space="preserve">Clinical side:</w:t>
      </w:r>
      <w:r>
        <w:t xml:space="preserve"> </w:t>
      </w:r>
      <w:r>
        <w:t xml:space="preserve">- All Tier 1 hospital obligations (CISO, audit, incident reporting, BCP)</w:t>
      </w:r>
    </w:p>
    <w:p>
      <w:pPr>
        <w:pStyle w:val="BodyText"/>
      </w:pPr>
      <w:r>
        <w:rPr>
          <w:b/>
          <w:bCs/>
        </w:rPr>
        <w:t xml:space="preserve">Research side:</w:t>
      </w:r>
      <w:r>
        <w:t xml:space="preserve"> </w:t>
      </w:r>
      <w:r>
        <w:t xml:space="preserve">- Research data protection controls (ELN, CTMS, repositories)</w:t>
      </w:r>
      <w:r>
        <w:t xml:space="preserve"> </w:t>
      </w:r>
      <w:r>
        <w:t xml:space="preserve">- Clinical trial data integrity monitoring</w:t>
      </w:r>
      <w:r>
        <w:t xml:space="preserve"> </w:t>
      </w:r>
      <w:r>
        <w:t xml:space="preserve">- International collaboration data transfer controls</w:t>
      </w:r>
      <w:r>
        <w:t xml:space="preserve"> </w:t>
      </w:r>
      <w:r>
        <w:t xml:space="preserve">- Research ethics committee security awareness</w:t>
      </w:r>
    </w:p>
    <w:p>
      <w:pPr>
        <w:pStyle w:val="BodyText"/>
      </w:pPr>
      <w:r>
        <w:rPr>
          <w:b/>
          <w:bCs/>
        </w:rPr>
        <w:t xml:space="preserve">Education side:</w:t>
      </w:r>
      <w:r>
        <w:t xml:space="preserve"> </w:t>
      </w:r>
      <w:r>
        <w:t xml:space="preserve">- Student data protection</w:t>
      </w:r>
      <w:r>
        <w:t xml:space="preserve"> </w:t>
      </w:r>
      <w:r>
        <w:t xml:space="preserve">- Examination system security</w:t>
      </w:r>
      <w:r>
        <w:t xml:space="preserve"> </w:t>
      </w:r>
      <w:r>
        <w:t xml:space="preserve">- Training continuity planning</w:t>
      </w:r>
    </w:p>
    <w:p>
      <w:r>
        <w:pict>
          <v:rect style="width:0;height:1.5pt" o:hralign="center" o:hrstd="t" o:hr="t"/>
        </w:pict>
      </w:r>
    </w:p>
    <w:bookmarkEnd w:id="452"/>
    <w:bookmarkEnd w:id="453"/>
    <w:bookmarkStart w:id="455" w:name="X692804684143a33ee7e1a24b5080f04c7b304fb"/>
    <w:p>
      <w:pPr>
        <w:pStyle w:val="Heading2"/>
      </w:pPr>
      <w:r>
        <w:t xml:space="preserve">Summary: Healthcare Delivery Classification</w:t>
      </w:r>
    </w:p>
    <w:tbl>
      <w:tblPr>
        <w:tblStyle w:val="Table"/>
        <w:tblW w:type="pct" w:w="5000"/>
        <w:tblLayout w:type="fixed"/>
        <w:tblLook w:firstRow="1" w:lastRow="0" w:firstColumn="0" w:lastColumn="0" w:noHBand="0" w:noVBand="0" w:val="0020"/>
      </w:tblPr>
      <w:tblGrid>
        <w:gridCol w:w="2501"/>
        <w:gridCol w:w="2709"/>
        <w:gridCol w:w="1458"/>
        <w:gridCol w:w="1250"/>
      </w:tblGrid>
      <w:tr>
        <w:trPr>
          <w:tblHeader w:val="on"/>
        </w:trPr>
        <w:tc>
          <w:tcPr/>
          <w:p>
            <w:pPr>
              <w:pStyle w:val="Compact"/>
              <w:jc w:val="left"/>
            </w:pPr>
            <w:r>
              <w:t xml:space="preserve">Case Study</w:t>
            </w:r>
          </w:p>
        </w:tc>
        <w:tc>
          <w:tcPr/>
          <w:p>
            <w:pPr>
              <w:pStyle w:val="Compact"/>
              <w:jc w:val="left"/>
            </w:pPr>
            <w:r>
              <w:t xml:space="preserve">Entity Type</w:t>
            </w:r>
          </w:p>
        </w:tc>
        <w:tc>
          <w:tcPr/>
          <w:p>
            <w:pPr>
              <w:pStyle w:val="Compact"/>
              <w:jc w:val="center"/>
            </w:pPr>
            <w:r>
              <w:t xml:space="preserve">Score</w:t>
            </w:r>
          </w:p>
        </w:tc>
        <w:tc>
          <w:tcPr/>
          <w:p>
            <w:pPr>
              <w:pStyle w:val="Compact"/>
              <w:jc w:val="center"/>
            </w:pPr>
            <w:r>
              <w:t xml:space="preserve">Tier</w:t>
            </w:r>
          </w:p>
        </w:tc>
      </w:tr>
      <w:tr>
        <w:tc>
          <w:tcPr/>
          <w:p>
            <w:pPr>
              <w:pStyle w:val="Compact"/>
              <w:jc w:val="left"/>
            </w:pPr>
            <w:r>
              <w:t xml:space="preserve">Metro General Hospital</w:t>
            </w:r>
          </w:p>
        </w:tc>
        <w:tc>
          <w:tcPr/>
          <w:p>
            <w:pPr>
              <w:pStyle w:val="Compact"/>
              <w:jc w:val="left"/>
            </w:pPr>
            <w:r>
              <w:t xml:space="preserve">Tertiary teaching</w:t>
            </w:r>
          </w:p>
        </w:tc>
        <w:tc>
          <w:tcPr/>
          <w:p>
            <w:pPr>
              <w:pStyle w:val="Compact"/>
              <w:jc w:val="center"/>
            </w:pPr>
            <w:r>
              <w:t xml:space="preserve">70</w:t>
            </w:r>
          </w:p>
        </w:tc>
        <w:tc>
          <w:tcPr/>
          <w:p>
            <w:pPr>
              <w:pStyle w:val="Compact"/>
              <w:jc w:val="center"/>
            </w:pPr>
            <w:r>
              <w:rPr>
                <w:b/>
                <w:bCs/>
              </w:rPr>
              <w:t xml:space="preserve">Tier 1</w:t>
            </w:r>
          </w:p>
        </w:tc>
      </w:tr>
      <w:tr>
        <w:tc>
          <w:tcPr/>
          <w:p>
            <w:pPr>
              <w:pStyle w:val="Compact"/>
              <w:jc w:val="left"/>
            </w:pPr>
            <w:r>
              <w:t xml:space="preserve">Greenfield District Hospital</w:t>
            </w:r>
          </w:p>
        </w:tc>
        <w:tc>
          <w:tcPr/>
          <w:p>
            <w:pPr>
              <w:pStyle w:val="Compact"/>
              <w:jc w:val="left"/>
            </w:pPr>
            <w:r>
              <w:t xml:space="preserve">District hospital (sole)</w:t>
            </w:r>
          </w:p>
        </w:tc>
        <w:tc>
          <w:tcPr/>
          <w:p>
            <w:pPr>
              <w:pStyle w:val="Compact"/>
              <w:jc w:val="center"/>
            </w:pPr>
            <w:r>
              <w:t xml:space="preserve">75</w:t>
            </w:r>
          </w:p>
        </w:tc>
        <w:tc>
          <w:tcPr/>
          <w:p>
            <w:pPr>
              <w:pStyle w:val="Compact"/>
              <w:jc w:val="center"/>
            </w:pPr>
            <w:r>
              <w:rPr>
                <w:b/>
                <w:bCs/>
              </w:rPr>
              <w:t xml:space="preserve">Tier 1</w:t>
            </w:r>
            <w:r>
              <w:t xml:space="preserve"> </w:t>
            </w:r>
            <w:r>
              <w:t xml:space="preserve">(auto)</w:t>
            </w:r>
          </w:p>
        </w:tc>
      </w:tr>
      <w:tr>
        <w:tc>
          <w:tcPr/>
          <w:p>
            <w:pPr>
              <w:pStyle w:val="Compact"/>
              <w:jc w:val="left"/>
            </w:pPr>
            <w:r>
              <w:t xml:space="preserve">HealthFirst Network</w:t>
            </w:r>
          </w:p>
        </w:tc>
        <w:tc>
          <w:tcPr/>
          <w:p>
            <w:pPr>
              <w:pStyle w:val="Compact"/>
              <w:jc w:val="left"/>
            </w:pPr>
            <w:r>
              <w:t xml:space="preserve">Private chain</w:t>
            </w:r>
          </w:p>
        </w:tc>
        <w:tc>
          <w:tcPr/>
          <w:p>
            <w:pPr>
              <w:pStyle w:val="Compact"/>
              <w:jc w:val="center"/>
            </w:pPr>
            <w:r>
              <w:t xml:space="preserve">80</w:t>
            </w:r>
          </w:p>
        </w:tc>
        <w:tc>
          <w:tcPr/>
          <w:p>
            <w:pPr>
              <w:pStyle w:val="Compact"/>
              <w:jc w:val="center"/>
            </w:pPr>
            <w:r>
              <w:rPr>
                <w:b/>
                <w:bCs/>
              </w:rPr>
              <w:t xml:space="preserve">Tier 1</w:t>
            </w:r>
          </w:p>
        </w:tc>
      </w:tr>
      <w:tr>
        <w:tc>
          <w:tcPr/>
          <w:p>
            <w:pPr>
              <w:pStyle w:val="Compact"/>
              <w:jc w:val="left"/>
            </w:pPr>
            <w:r>
              <w:t xml:space="preserve">Riverside CHC</w:t>
            </w:r>
          </w:p>
        </w:tc>
        <w:tc>
          <w:tcPr/>
          <w:p>
            <w:pPr>
              <w:pStyle w:val="Compact"/>
              <w:jc w:val="left"/>
            </w:pPr>
            <w:r>
              <w:t xml:space="preserve">Community health centre</w:t>
            </w:r>
          </w:p>
        </w:tc>
        <w:tc>
          <w:tcPr/>
          <w:p>
            <w:pPr>
              <w:pStyle w:val="Compact"/>
              <w:jc w:val="center"/>
            </w:pPr>
            <w:r>
              <w:t xml:space="preserve">20</w:t>
            </w:r>
          </w:p>
        </w:tc>
        <w:tc>
          <w:tcPr/>
          <w:p>
            <w:pPr>
              <w:pStyle w:val="Compact"/>
              <w:jc w:val="center"/>
            </w:pPr>
            <w:r>
              <w:rPr>
                <w:b/>
                <w:bCs/>
              </w:rPr>
              <w:t xml:space="preserve">Tier 3</w:t>
            </w:r>
          </w:p>
        </w:tc>
      </w:tr>
      <w:tr>
        <w:tc>
          <w:tcPr/>
          <w:p>
            <w:pPr>
              <w:pStyle w:val="Compact"/>
              <w:jc w:val="left"/>
            </w:pPr>
            <w:r>
              <w:t xml:space="preserve">Sehat Setu Telemedicine</w:t>
            </w:r>
          </w:p>
        </w:tc>
        <w:tc>
          <w:tcPr/>
          <w:p>
            <w:pPr>
              <w:pStyle w:val="Compact"/>
              <w:jc w:val="left"/>
            </w:pPr>
            <w:r>
              <w:t xml:space="preserve">Remote telemedicine hub</w:t>
            </w:r>
          </w:p>
        </w:tc>
        <w:tc>
          <w:tcPr/>
          <w:p>
            <w:pPr>
              <w:pStyle w:val="Compact"/>
              <w:jc w:val="center"/>
            </w:pPr>
            <w:r>
              <w:t xml:space="preserve">60</w:t>
            </w:r>
          </w:p>
        </w:tc>
        <w:tc>
          <w:tcPr/>
          <w:p>
            <w:pPr>
              <w:pStyle w:val="Compact"/>
              <w:jc w:val="center"/>
            </w:pPr>
            <w:r>
              <w:rPr>
                <w:b/>
                <w:bCs/>
              </w:rPr>
              <w:t xml:space="preserve">Tier 1</w:t>
            </w:r>
          </w:p>
        </w:tc>
      </w:tr>
      <w:tr>
        <w:tc>
          <w:tcPr/>
          <w:p>
            <w:pPr>
              <w:pStyle w:val="Compact"/>
              <w:jc w:val="left"/>
            </w:pPr>
            <w:r>
              <w:t xml:space="preserve">Lakshmi Devi Medical College</w:t>
            </w:r>
          </w:p>
        </w:tc>
        <w:tc>
          <w:tcPr/>
          <w:p>
            <w:pPr>
              <w:pStyle w:val="Compact"/>
              <w:jc w:val="left"/>
            </w:pPr>
            <w:r>
              <w:t xml:space="preserve">Medical college + research</w:t>
            </w:r>
          </w:p>
        </w:tc>
        <w:tc>
          <w:tcPr/>
          <w:p>
            <w:pPr>
              <w:pStyle w:val="Compact"/>
              <w:jc w:val="center"/>
            </w:pPr>
            <w:r>
              <w:t xml:space="preserve">80</w:t>
            </w:r>
          </w:p>
        </w:tc>
        <w:tc>
          <w:tcPr/>
          <w:p>
            <w:pPr>
              <w:pStyle w:val="Compact"/>
              <w:jc w:val="center"/>
            </w:pPr>
            <w:r>
              <w:rPr>
                <w:b/>
                <w:bCs/>
              </w:rPr>
              <w:t xml:space="preserve">Tier 1</w:t>
            </w:r>
          </w:p>
        </w:tc>
      </w:tr>
    </w:tbl>
    <w:bookmarkStart w:id="454" w:name="key-insights"/>
    <w:p>
      <w:pPr>
        <w:pStyle w:val="Heading3"/>
      </w:pPr>
      <w:r>
        <w:t xml:space="preserve">Key Insights</w:t>
      </w:r>
    </w:p>
    <w:p>
      <w:pPr>
        <w:pStyle w:val="Compact"/>
        <w:numPr>
          <w:ilvl w:val="0"/>
          <w:numId w:val="1330"/>
        </w:numPr>
      </w:pPr>
      <w:r>
        <w:rPr>
          <w:b/>
          <w:bCs/>
        </w:rPr>
        <w:t xml:space="preserve">Geographic factors outweigh scale</w:t>
      </w:r>
      <w:r>
        <w:t xml:space="preserve">: Sole district hospitals are Tier 1 regardless of size</w:t>
      </w:r>
    </w:p>
    <w:p>
      <w:pPr>
        <w:pStyle w:val="Compact"/>
        <w:numPr>
          <w:ilvl w:val="0"/>
          <w:numId w:val="1330"/>
        </w:numPr>
      </w:pPr>
      <w:r>
        <w:rPr>
          <w:b/>
          <w:bCs/>
        </w:rPr>
        <w:t xml:space="preserve">Private chains can be CII</w:t>
      </w:r>
      <w:r>
        <w:t xml:space="preserve">: Large networks with centralized systems warrant high classification</w:t>
      </w:r>
    </w:p>
    <w:p>
      <w:pPr>
        <w:pStyle w:val="Compact"/>
        <w:numPr>
          <w:ilvl w:val="0"/>
          <w:numId w:val="1330"/>
        </w:numPr>
      </w:pPr>
      <w:r>
        <w:rPr>
          <w:b/>
          <w:bCs/>
        </w:rPr>
        <w:t xml:space="preserve">Telemedicine criticality</w:t>
      </w:r>
      <w:r>
        <w:t xml:space="preserve">: Access-based criticality applies to underserved population hubs</w:t>
      </w:r>
    </w:p>
    <w:p>
      <w:pPr>
        <w:pStyle w:val="Compact"/>
        <w:numPr>
          <w:ilvl w:val="0"/>
          <w:numId w:val="1330"/>
        </w:numPr>
      </w:pPr>
      <w:r>
        <w:rPr>
          <w:b/>
          <w:bCs/>
        </w:rPr>
        <w:t xml:space="preserve">Medical colleges have compound criticality</w:t>
      </w:r>
      <w:r>
        <w:t xml:space="preserve">: Clinical + research + training functions multiply risk</w:t>
      </w:r>
    </w:p>
    <w:p>
      <w:pPr>
        <w:pStyle w:val="Compact"/>
        <w:numPr>
          <w:ilvl w:val="0"/>
          <w:numId w:val="1330"/>
        </w:numPr>
      </w:pPr>
      <w:r>
        <w:rPr>
          <w:b/>
          <w:bCs/>
        </w:rPr>
        <w:t xml:space="preserve">Tier 3 facilities benefit from shared services</w:t>
      </w:r>
      <w:r>
        <w:t xml:space="preserve">: Even unclassified facilities need security resources</w:t>
      </w:r>
    </w:p>
    <w:p>
      <w:pPr>
        <w:sectPr>
          <w:footerReference w:type="first" r:id="rId13"/>
          <w:footerReference w:type="default" r:id="rId11"/>
          <w:footerReference w:type="even" r:id="rId10"/>
          <w:type w:val="nextPage"/>
        </w:sectPr>
      </w:pPr>
    </w:p>
    <w:bookmarkEnd w:id="454"/>
    <w:bookmarkEnd w:id="455"/>
    <w:bookmarkEnd w:id="456"/>
    <w:bookmarkStart w:id="481" w:name="X22b087d345c4b97f552a9e2eb3b1c90df2ba018"/>
    <w:p>
      <w:pPr>
        <w:pStyle w:val="Heading1"/>
      </w:pPr>
      <w:r>
        <w:t xml:space="preserve">CII Classification Case Studies: Overview and Index</w:t>
      </w:r>
    </w:p>
    <w:p>
      <w:pPr>
        <w:pStyle w:val="FirstParagraph"/>
      </w:pPr>
      <w:r>
        <w:t xml:space="preserve">This document provides an</w:t>
      </w:r>
      <w:r>
        <w:t xml:space="preserve"> </w:t>
      </w:r>
      <w:r>
        <w:rPr>
          <w:b/>
          <w:bCs/>
        </w:rPr>
        <w:t xml:space="preserve">overview and index</w:t>
      </w:r>
      <w:r>
        <w:t xml:space="preserve"> </w:t>
      </w:r>
      <w:r>
        <w:t xml:space="preserve">for the illustrative case studies demonstrating how to apply the CII Metrics and Grading Framework to health sector entities. All names, locations, and specific details are</w:t>
      </w:r>
      <w:r>
        <w:t xml:space="preserve"> </w:t>
      </w:r>
      <w:r>
        <w:rPr>
          <w:b/>
          <w:bCs/>
        </w:rPr>
        <w:t xml:space="preserve">fictional placeholders</w:t>
      </w:r>
      <w:r>
        <w:t xml:space="preserve"> </w:t>
      </w:r>
      <w:r>
        <w:t xml:space="preserve">designed to represent realistic scenarios.</w:t>
      </w:r>
    </w:p>
    <w:p>
      <w:r>
        <w:pict>
          <v:rect style="width:0;height:1.5pt" o:hralign="center" o:hrstd="t" o:hr="t"/>
        </w:pict>
      </w:r>
    </w:p>
    <w:bookmarkStart w:id="462" w:name="case-study-chapters"/>
    <w:p>
      <w:pPr>
        <w:pStyle w:val="Heading2"/>
      </w:pPr>
      <w:r>
        <w:t xml:space="preserve">Case Study Chapters</w:t>
      </w:r>
    </w:p>
    <w:p>
      <w:pPr>
        <w:pStyle w:val="FirstParagraph"/>
      </w:pPr>
      <w:r>
        <w:t xml:space="preserve">The case studies are organized into domain-specific chapters:</w:t>
      </w:r>
    </w:p>
    <w:tbl>
      <w:tblPr>
        <w:tblStyle w:val="Table"/>
        <w:tblW w:type="pct" w:w="5000"/>
        <w:tblLayout w:type="fixed"/>
        <w:tblLook w:firstRow="1" w:lastRow="0" w:firstColumn="0" w:lastColumn="0" w:noHBand="0" w:noVBand="0" w:val="0020"/>
      </w:tblPr>
      <w:tblGrid>
        <w:gridCol w:w="1926"/>
        <w:gridCol w:w="1712"/>
        <w:gridCol w:w="2996"/>
        <w:gridCol w:w="1284"/>
      </w:tblGrid>
      <w:tr>
        <w:trPr>
          <w:tblHeader w:val="on"/>
        </w:trPr>
        <w:tc>
          <w:tcPr/>
          <w:p>
            <w:pPr>
              <w:pStyle w:val="Compact"/>
              <w:jc w:val="left"/>
            </w:pPr>
            <w:r>
              <w:t xml:space="preserve">Chapter</w:t>
            </w:r>
          </w:p>
        </w:tc>
        <w:tc>
          <w:tcPr/>
          <w:p>
            <w:pPr>
              <w:pStyle w:val="Compact"/>
              <w:jc w:val="left"/>
            </w:pPr>
            <w:r>
              <w:t xml:space="preserve">Domain</w:t>
            </w:r>
          </w:p>
        </w:tc>
        <w:tc>
          <w:tcPr/>
          <w:p>
            <w:pPr>
              <w:pStyle w:val="Compact"/>
              <w:jc w:val="center"/>
            </w:pPr>
            <w:r>
              <w:t xml:space="preserve">Case Studies</w:t>
            </w:r>
          </w:p>
        </w:tc>
        <w:tc>
          <w:tcPr/>
          <w:p>
            <w:pPr>
              <w:pStyle w:val="Compact"/>
              <w:jc w:val="left"/>
            </w:pPr>
            <w:r>
              <w:t xml:space="preserve">File</w:t>
            </w:r>
          </w:p>
        </w:tc>
      </w:tr>
      <w:tr>
        <w:tc>
          <w:tcPr/>
          <w:p>
            <w:pPr>
              <w:pStyle w:val="Compact"/>
              <w:jc w:val="left"/>
            </w:pPr>
            <w:r>
              <w:rPr>
                <w:b/>
                <w:bCs/>
              </w:rPr>
              <w:t xml:space="preserve">61</w:t>
            </w:r>
          </w:p>
        </w:tc>
        <w:tc>
          <w:tcPr/>
          <w:p>
            <w:pPr>
              <w:pStyle w:val="Compact"/>
              <w:jc w:val="left"/>
            </w:pPr>
            <w:r>
              <w:t xml:space="preserve">Healthcare Delivery Facilities</w:t>
            </w:r>
          </w:p>
        </w:tc>
        <w:tc>
          <w:tcPr/>
          <w:p>
            <w:pPr>
              <w:pStyle w:val="Compact"/>
              <w:jc w:val="center"/>
            </w:pPr>
            <w:r>
              <w:t xml:space="preserve">6</w:t>
            </w:r>
          </w:p>
        </w:tc>
        <w:tc>
          <w:tcPr/>
          <w:p>
            <w:pPr>
              <w:pStyle w:val="Compact"/>
              <w:jc w:val="left"/>
            </w:pPr>
            <w:hyperlink r:id="rId457">
              <w:r>
                <w:rPr>
                  <w:rStyle w:val="Hyperlink"/>
                </w:rPr>
                <w:t xml:space="preserve">61 - Case Studies - Healthcare Delivery.md</w:t>
              </w:r>
            </w:hyperlink>
          </w:p>
        </w:tc>
      </w:tr>
      <w:tr>
        <w:tc>
          <w:tcPr/>
          <w:p>
            <w:pPr>
              <w:pStyle w:val="Compact"/>
              <w:jc w:val="left"/>
            </w:pPr>
            <w:r>
              <w:rPr>
                <w:b/>
                <w:bCs/>
              </w:rPr>
              <w:t xml:space="preserve">62</w:t>
            </w:r>
          </w:p>
        </w:tc>
        <w:tc>
          <w:tcPr/>
          <w:p>
            <w:pPr>
              <w:pStyle w:val="Compact"/>
              <w:jc w:val="left"/>
            </w:pPr>
            <w:r>
              <w:t xml:space="preserve">Digital Health Platforms</w:t>
            </w:r>
          </w:p>
        </w:tc>
        <w:tc>
          <w:tcPr/>
          <w:p>
            <w:pPr>
              <w:pStyle w:val="Compact"/>
              <w:jc w:val="center"/>
            </w:pPr>
            <w:r>
              <w:t xml:space="preserve">4</w:t>
            </w:r>
          </w:p>
        </w:tc>
        <w:tc>
          <w:tcPr/>
          <w:p>
            <w:pPr>
              <w:pStyle w:val="Compact"/>
              <w:jc w:val="left"/>
            </w:pPr>
            <w:hyperlink r:id="rId458">
              <w:r>
                <w:rPr>
                  <w:rStyle w:val="Hyperlink"/>
                </w:rPr>
                <w:t xml:space="preserve">62 - Case Studies - Digital Health Platforms.md</w:t>
              </w:r>
            </w:hyperlink>
          </w:p>
        </w:tc>
      </w:tr>
      <w:tr>
        <w:tc>
          <w:tcPr/>
          <w:p>
            <w:pPr>
              <w:pStyle w:val="Compact"/>
              <w:jc w:val="left"/>
            </w:pPr>
            <w:r>
              <w:rPr>
                <w:b/>
                <w:bCs/>
              </w:rPr>
              <w:t xml:space="preserve">63</w:t>
            </w:r>
          </w:p>
        </w:tc>
        <w:tc>
          <w:tcPr/>
          <w:p>
            <w:pPr>
              <w:pStyle w:val="Compact"/>
              <w:jc w:val="left"/>
            </w:pPr>
            <w:r>
              <w:t xml:space="preserve">Diagnostics, Pharma &amp; Biotech</w:t>
            </w:r>
          </w:p>
        </w:tc>
        <w:tc>
          <w:tcPr/>
          <w:p>
            <w:pPr>
              <w:pStyle w:val="Compact"/>
              <w:jc w:val="center"/>
            </w:pPr>
            <w:r>
              <w:t xml:space="preserve">4</w:t>
            </w:r>
          </w:p>
        </w:tc>
        <w:tc>
          <w:tcPr/>
          <w:p>
            <w:pPr>
              <w:pStyle w:val="Compact"/>
              <w:jc w:val="left"/>
            </w:pPr>
            <w:hyperlink r:id="rId459">
              <w:r>
                <w:rPr>
                  <w:rStyle w:val="Hyperlink"/>
                </w:rPr>
                <w:t xml:space="preserve">63 - Case Studies - Diagnostics Pharma Biotech.md</w:t>
              </w:r>
            </w:hyperlink>
          </w:p>
        </w:tc>
      </w:tr>
      <w:tr>
        <w:tc>
          <w:tcPr/>
          <w:p>
            <w:pPr>
              <w:pStyle w:val="Compact"/>
              <w:jc w:val="left"/>
            </w:pPr>
            <w:r>
              <w:rPr>
                <w:b/>
                <w:bCs/>
              </w:rPr>
              <w:t xml:space="preserve">64</w:t>
            </w:r>
          </w:p>
        </w:tc>
        <w:tc>
          <w:tcPr/>
          <w:p>
            <w:pPr>
              <w:pStyle w:val="Compact"/>
              <w:jc w:val="left"/>
            </w:pPr>
            <w:r>
              <w:t xml:space="preserve">Public Health Programs &amp; Surveillance</w:t>
            </w:r>
          </w:p>
        </w:tc>
        <w:tc>
          <w:tcPr/>
          <w:p>
            <w:pPr>
              <w:pStyle w:val="Compact"/>
              <w:jc w:val="center"/>
            </w:pPr>
            <w:r>
              <w:t xml:space="preserve">5</w:t>
            </w:r>
          </w:p>
        </w:tc>
        <w:tc>
          <w:tcPr/>
          <w:p>
            <w:pPr>
              <w:pStyle w:val="Compact"/>
              <w:jc w:val="left"/>
            </w:pPr>
            <w:hyperlink r:id="rId460">
              <w:r>
                <w:rPr>
                  <w:rStyle w:val="Hyperlink"/>
                </w:rPr>
                <w:t xml:space="preserve">64 - Case Studies - Public Health Programs.md</w:t>
              </w:r>
            </w:hyperlink>
          </w:p>
        </w:tc>
      </w:tr>
      <w:tr>
        <w:tc>
          <w:tcPr/>
          <w:p>
            <w:pPr>
              <w:pStyle w:val="Compact"/>
              <w:jc w:val="left"/>
            </w:pPr>
            <w:r>
              <w:rPr>
                <w:b/>
                <w:bCs/>
              </w:rPr>
              <w:t xml:space="preserve">65</w:t>
            </w:r>
          </w:p>
        </w:tc>
        <w:tc>
          <w:tcPr/>
          <w:p>
            <w:pPr>
              <w:pStyle w:val="Compact"/>
              <w:jc w:val="left"/>
            </w:pPr>
            <w:r>
              <w:t xml:space="preserve">Registries, Biobanks &amp; Blood Services</w:t>
            </w:r>
          </w:p>
        </w:tc>
        <w:tc>
          <w:tcPr/>
          <w:p>
            <w:pPr>
              <w:pStyle w:val="Compact"/>
              <w:jc w:val="center"/>
            </w:pPr>
            <w:r>
              <w:t xml:space="preserve">3</w:t>
            </w:r>
          </w:p>
        </w:tc>
        <w:tc>
          <w:tcPr/>
          <w:p>
            <w:pPr>
              <w:pStyle w:val="Compact"/>
              <w:jc w:val="left"/>
            </w:pPr>
            <w:hyperlink r:id="rId461">
              <w:r>
                <w:rPr>
                  <w:rStyle w:val="Hyperlink"/>
                </w:rPr>
                <w:t xml:space="preserve">65 - Case Studies - Registries Biobanks Blood.md</w:t>
              </w:r>
            </w:hyperlink>
          </w:p>
        </w:tc>
      </w:tr>
      <w:tr>
        <w:tc>
          <w:tcPr/>
          <w:p>
            <w:pPr>
              <w:pStyle w:val="Compact"/>
              <w:jc w:val="left"/>
            </w:pPr>
            <w:r>
              <w:rPr>
                <w:b/>
                <w:bCs/>
              </w:rPr>
              <w:t xml:space="preserve">Total</w:t>
            </w:r>
          </w:p>
        </w:tc>
        <w:tc>
          <w:tcPr/>
          <w:p>
            <w:pPr>
              <w:pStyle w:val="Compact"/>
            </w:pPr>
          </w:p>
        </w:tc>
        <w:tc>
          <w:tcPr/>
          <w:p>
            <w:pPr>
              <w:pStyle w:val="Compact"/>
              <w:jc w:val="center"/>
            </w:pPr>
            <w:r>
              <w:rPr>
                <w:b/>
                <w:bCs/>
              </w:rPr>
              <w:t xml:space="preserve">22</w:t>
            </w:r>
          </w:p>
        </w:tc>
        <w:tc>
          <w:tcPr/>
          <w:p>
            <w:pPr>
              <w:pStyle w:val="Compact"/>
            </w:pPr>
          </w:p>
        </w:tc>
      </w:tr>
    </w:tbl>
    <w:p>
      <w:r>
        <w:pict>
          <v:rect style="width:0;height:1.5pt" o:hralign="center" o:hrstd="t" o:hr="t"/>
        </w:pict>
      </w:r>
    </w:p>
    <w:bookmarkEnd w:id="462"/>
    <w:bookmarkStart w:id="468" w:name="complete-case-study-index"/>
    <w:p>
      <w:pPr>
        <w:pStyle w:val="Heading2"/>
      </w:pPr>
      <w:r>
        <w:t xml:space="preserve">Complete Case Study Index</w:t>
      </w:r>
    </w:p>
    <w:bookmarkStart w:id="463" w:name="X48deb9e45de190ed39a7d89f5bb7b2da4768d10"/>
    <w:p>
      <w:pPr>
        <w:pStyle w:val="Heading3"/>
      </w:pPr>
      <w:r>
        <w:t xml:space="preserve">Healthcare Delivery Facilities (Chapter 61)</w:t>
      </w:r>
    </w:p>
    <w:tbl>
      <w:tblPr>
        <w:tblStyle w:val="Table"/>
        <w:tblW w:type="pct" w:w="5000"/>
        <w:tblLayout w:type="fixed"/>
        <w:tblLook w:firstRow="1" w:lastRow="0" w:firstColumn="0" w:lastColumn="0" w:noHBand="0" w:noVBand="0" w:val="0020"/>
      </w:tblPr>
      <w:tblGrid>
        <w:gridCol w:w="516"/>
        <w:gridCol w:w="2926"/>
        <w:gridCol w:w="2238"/>
        <w:gridCol w:w="1205"/>
        <w:gridCol w:w="1033"/>
      </w:tblGrid>
      <w:tr>
        <w:trPr>
          <w:tblHeader w:val="on"/>
        </w:trPr>
        <w:tc>
          <w:tcPr/>
          <w:p>
            <w:pPr>
              <w:pStyle w:val="Compact"/>
              <w:jc w:val="center"/>
            </w:pPr>
            <w:r>
              <w:t xml:space="preserve">#</w:t>
            </w:r>
          </w:p>
        </w:tc>
        <w:tc>
          <w:tcPr/>
          <w:p>
            <w:pPr>
              <w:pStyle w:val="Compact"/>
              <w:jc w:val="left"/>
            </w:pPr>
            <w:r>
              <w:t xml:space="preserve">Case Study Name</w:t>
            </w:r>
          </w:p>
        </w:tc>
        <w:tc>
          <w:tcPr/>
          <w:p>
            <w:pPr>
              <w:pStyle w:val="Compact"/>
              <w:jc w:val="left"/>
            </w:pPr>
            <w:r>
              <w:t xml:space="preserve">Entity Type</w:t>
            </w:r>
          </w:p>
        </w:tc>
        <w:tc>
          <w:tcPr/>
          <w:p>
            <w:pPr>
              <w:pStyle w:val="Compact"/>
              <w:jc w:val="center"/>
            </w:pPr>
            <w:r>
              <w:t xml:space="preserve">Score</w:t>
            </w:r>
          </w:p>
        </w:tc>
        <w:tc>
          <w:tcPr/>
          <w:p>
            <w:pPr>
              <w:pStyle w:val="Compact"/>
              <w:jc w:val="center"/>
            </w:pPr>
            <w:r>
              <w:t xml:space="preserve">Tier</w:t>
            </w:r>
          </w:p>
        </w:tc>
      </w:tr>
      <w:tr>
        <w:tc>
          <w:tcPr/>
          <w:p>
            <w:pPr>
              <w:pStyle w:val="Compact"/>
              <w:jc w:val="center"/>
            </w:pPr>
            <w:r>
              <w:t xml:space="preserve">1</w:t>
            </w:r>
          </w:p>
        </w:tc>
        <w:tc>
          <w:tcPr/>
          <w:p>
            <w:pPr>
              <w:pStyle w:val="Compact"/>
              <w:jc w:val="left"/>
            </w:pPr>
            <w:r>
              <w:t xml:space="preserve">Metro General Hospital</w:t>
            </w:r>
          </w:p>
        </w:tc>
        <w:tc>
          <w:tcPr/>
          <w:p>
            <w:pPr>
              <w:pStyle w:val="Compact"/>
              <w:jc w:val="left"/>
            </w:pPr>
            <w:r>
              <w:t xml:space="preserve">Tertiary teaching hospital</w:t>
            </w:r>
          </w:p>
        </w:tc>
        <w:tc>
          <w:tcPr/>
          <w:p>
            <w:pPr>
              <w:pStyle w:val="Compact"/>
              <w:jc w:val="center"/>
            </w:pPr>
            <w:r>
              <w:t xml:space="preserve">70</w:t>
            </w:r>
          </w:p>
        </w:tc>
        <w:tc>
          <w:tcPr/>
          <w:p>
            <w:pPr>
              <w:pStyle w:val="Compact"/>
              <w:jc w:val="center"/>
            </w:pPr>
            <w:r>
              <w:rPr>
                <w:b/>
                <w:bCs/>
              </w:rPr>
              <w:t xml:space="preserve">Tier 1</w:t>
            </w:r>
          </w:p>
        </w:tc>
      </w:tr>
      <w:tr>
        <w:tc>
          <w:tcPr/>
          <w:p>
            <w:pPr>
              <w:pStyle w:val="Compact"/>
              <w:jc w:val="center"/>
            </w:pPr>
            <w:r>
              <w:t xml:space="preserve">2</w:t>
            </w:r>
          </w:p>
        </w:tc>
        <w:tc>
          <w:tcPr/>
          <w:p>
            <w:pPr>
              <w:pStyle w:val="Compact"/>
              <w:jc w:val="left"/>
            </w:pPr>
            <w:r>
              <w:t xml:space="preserve">Greenfield District Hospital</w:t>
            </w:r>
          </w:p>
        </w:tc>
        <w:tc>
          <w:tcPr/>
          <w:p>
            <w:pPr>
              <w:pStyle w:val="Compact"/>
              <w:jc w:val="left"/>
            </w:pPr>
            <w:r>
              <w:t xml:space="preserve">District hospital (sole provider)</w:t>
            </w:r>
          </w:p>
        </w:tc>
        <w:tc>
          <w:tcPr/>
          <w:p>
            <w:pPr>
              <w:pStyle w:val="Compact"/>
              <w:jc w:val="center"/>
            </w:pPr>
            <w:r>
              <w:t xml:space="preserve">75</w:t>
            </w:r>
          </w:p>
        </w:tc>
        <w:tc>
          <w:tcPr/>
          <w:p>
            <w:pPr>
              <w:pStyle w:val="Compact"/>
              <w:jc w:val="center"/>
            </w:pPr>
            <w:r>
              <w:rPr>
                <w:b/>
                <w:bCs/>
              </w:rPr>
              <w:t xml:space="preserve">Tier 1</w:t>
            </w:r>
            <w:r>
              <w:t xml:space="preserve"> </w:t>
            </w:r>
            <w:r>
              <w:t xml:space="preserve">(auto)</w:t>
            </w:r>
          </w:p>
        </w:tc>
      </w:tr>
      <w:tr>
        <w:tc>
          <w:tcPr/>
          <w:p>
            <w:pPr>
              <w:pStyle w:val="Compact"/>
              <w:jc w:val="center"/>
            </w:pPr>
            <w:r>
              <w:t xml:space="preserve">3</w:t>
            </w:r>
          </w:p>
        </w:tc>
        <w:tc>
          <w:tcPr/>
          <w:p>
            <w:pPr>
              <w:pStyle w:val="Compact"/>
              <w:jc w:val="left"/>
            </w:pPr>
            <w:r>
              <w:t xml:space="preserve">HealthFirst Network</w:t>
            </w:r>
          </w:p>
        </w:tc>
        <w:tc>
          <w:tcPr/>
          <w:p>
            <w:pPr>
              <w:pStyle w:val="Compact"/>
              <w:jc w:val="left"/>
            </w:pPr>
            <w:r>
              <w:t xml:space="preserve">Private hospital chain (15 hospitals)</w:t>
            </w:r>
          </w:p>
        </w:tc>
        <w:tc>
          <w:tcPr/>
          <w:p>
            <w:pPr>
              <w:pStyle w:val="Compact"/>
              <w:jc w:val="center"/>
            </w:pPr>
            <w:r>
              <w:t xml:space="preserve">80</w:t>
            </w:r>
          </w:p>
        </w:tc>
        <w:tc>
          <w:tcPr/>
          <w:p>
            <w:pPr>
              <w:pStyle w:val="Compact"/>
              <w:jc w:val="center"/>
            </w:pPr>
            <w:r>
              <w:rPr>
                <w:b/>
                <w:bCs/>
              </w:rPr>
              <w:t xml:space="preserve">Tier 1</w:t>
            </w:r>
          </w:p>
        </w:tc>
      </w:tr>
      <w:tr>
        <w:tc>
          <w:tcPr/>
          <w:p>
            <w:pPr>
              <w:pStyle w:val="Compact"/>
              <w:jc w:val="center"/>
            </w:pPr>
            <w:r>
              <w:t xml:space="preserve">4</w:t>
            </w:r>
          </w:p>
        </w:tc>
        <w:tc>
          <w:tcPr/>
          <w:p>
            <w:pPr>
              <w:pStyle w:val="Compact"/>
              <w:jc w:val="left"/>
            </w:pPr>
            <w:r>
              <w:t xml:space="preserve">Riverside CHC</w:t>
            </w:r>
          </w:p>
        </w:tc>
        <w:tc>
          <w:tcPr/>
          <w:p>
            <w:pPr>
              <w:pStyle w:val="Compact"/>
              <w:jc w:val="left"/>
            </w:pPr>
            <w:r>
              <w:t xml:space="preserve">Community health centre</w:t>
            </w:r>
          </w:p>
        </w:tc>
        <w:tc>
          <w:tcPr/>
          <w:p>
            <w:pPr>
              <w:pStyle w:val="Compact"/>
              <w:jc w:val="center"/>
            </w:pPr>
            <w:r>
              <w:t xml:space="preserve">20</w:t>
            </w:r>
          </w:p>
        </w:tc>
        <w:tc>
          <w:tcPr/>
          <w:p>
            <w:pPr>
              <w:pStyle w:val="Compact"/>
              <w:jc w:val="center"/>
            </w:pPr>
            <w:r>
              <w:rPr>
                <w:b/>
                <w:bCs/>
              </w:rPr>
              <w:t xml:space="preserve">Tier 3</w:t>
            </w:r>
          </w:p>
        </w:tc>
      </w:tr>
      <w:tr>
        <w:tc>
          <w:tcPr/>
          <w:p>
            <w:pPr>
              <w:pStyle w:val="Compact"/>
              <w:jc w:val="center"/>
            </w:pPr>
            <w:r>
              <w:t xml:space="preserve">5</w:t>
            </w:r>
          </w:p>
        </w:tc>
        <w:tc>
          <w:tcPr/>
          <w:p>
            <w:pPr>
              <w:pStyle w:val="Compact"/>
              <w:jc w:val="left"/>
            </w:pPr>
            <w:r>
              <w:t xml:space="preserve">Sehat Setu</w:t>
            </w:r>
          </w:p>
        </w:tc>
        <w:tc>
          <w:tcPr/>
          <w:p>
            <w:pPr>
              <w:pStyle w:val="Compact"/>
              <w:jc w:val="left"/>
            </w:pPr>
            <w:r>
              <w:t xml:space="preserve">Telemedicine hub (remote areas)</w:t>
            </w:r>
          </w:p>
        </w:tc>
        <w:tc>
          <w:tcPr/>
          <w:p>
            <w:pPr>
              <w:pStyle w:val="Compact"/>
              <w:jc w:val="center"/>
            </w:pPr>
            <w:r>
              <w:t xml:space="preserve">60</w:t>
            </w:r>
          </w:p>
        </w:tc>
        <w:tc>
          <w:tcPr/>
          <w:p>
            <w:pPr>
              <w:pStyle w:val="Compact"/>
              <w:jc w:val="center"/>
            </w:pPr>
            <w:r>
              <w:rPr>
                <w:b/>
                <w:bCs/>
              </w:rPr>
              <w:t xml:space="preserve">Tier 1</w:t>
            </w:r>
          </w:p>
        </w:tc>
      </w:tr>
      <w:tr>
        <w:tc>
          <w:tcPr/>
          <w:p>
            <w:pPr>
              <w:pStyle w:val="Compact"/>
              <w:jc w:val="center"/>
            </w:pPr>
            <w:r>
              <w:t xml:space="preserve">6</w:t>
            </w:r>
          </w:p>
        </w:tc>
        <w:tc>
          <w:tcPr/>
          <w:p>
            <w:pPr>
              <w:pStyle w:val="Compact"/>
              <w:jc w:val="left"/>
            </w:pPr>
            <w:r>
              <w:t xml:space="preserve">Lakshmi Devi Medical College</w:t>
            </w:r>
          </w:p>
        </w:tc>
        <w:tc>
          <w:tcPr/>
          <w:p>
            <w:pPr>
              <w:pStyle w:val="Compact"/>
              <w:jc w:val="left"/>
            </w:pPr>
            <w:r>
              <w:t xml:space="preserve">Medical college + research</w:t>
            </w:r>
          </w:p>
        </w:tc>
        <w:tc>
          <w:tcPr/>
          <w:p>
            <w:pPr>
              <w:pStyle w:val="Compact"/>
              <w:jc w:val="center"/>
            </w:pPr>
            <w:r>
              <w:t xml:space="preserve">80</w:t>
            </w:r>
          </w:p>
        </w:tc>
        <w:tc>
          <w:tcPr/>
          <w:p>
            <w:pPr>
              <w:pStyle w:val="Compact"/>
              <w:jc w:val="center"/>
            </w:pPr>
            <w:r>
              <w:rPr>
                <w:b/>
                <w:bCs/>
              </w:rPr>
              <w:t xml:space="preserve">Tier 1</w:t>
            </w:r>
          </w:p>
        </w:tc>
      </w:tr>
    </w:tbl>
    <w:p>
      <w:r>
        <w:pict>
          <v:rect style="width:0;height:1.5pt" o:hralign="center" o:hrstd="t" o:hr="t"/>
        </w:pict>
      </w:r>
    </w:p>
    <w:bookmarkEnd w:id="463"/>
    <w:bookmarkStart w:id="464" w:name="digital-health-platforms-chapter-62"/>
    <w:p>
      <w:pPr>
        <w:pStyle w:val="Heading3"/>
      </w:pPr>
      <w:r>
        <w:t xml:space="preserve">Digital Health Platforms (Chapter 62)</w:t>
      </w:r>
    </w:p>
    <w:tbl>
      <w:tblPr>
        <w:tblStyle w:val="Table"/>
        <w:tblW w:type="pct" w:w="5000"/>
        <w:tblLayout w:type="fixed"/>
        <w:tblLook w:firstRow="1" w:lastRow="0" w:firstColumn="0" w:lastColumn="0" w:noHBand="0" w:noVBand="0" w:val="0020"/>
      </w:tblPr>
      <w:tblGrid>
        <w:gridCol w:w="516"/>
        <w:gridCol w:w="2926"/>
        <w:gridCol w:w="2238"/>
        <w:gridCol w:w="1205"/>
        <w:gridCol w:w="1033"/>
      </w:tblGrid>
      <w:tr>
        <w:trPr>
          <w:tblHeader w:val="on"/>
        </w:trPr>
        <w:tc>
          <w:tcPr/>
          <w:p>
            <w:pPr>
              <w:pStyle w:val="Compact"/>
              <w:jc w:val="center"/>
            </w:pPr>
            <w:r>
              <w:t xml:space="preserve">#</w:t>
            </w:r>
          </w:p>
        </w:tc>
        <w:tc>
          <w:tcPr/>
          <w:p>
            <w:pPr>
              <w:pStyle w:val="Compact"/>
              <w:jc w:val="left"/>
            </w:pPr>
            <w:r>
              <w:t xml:space="preserve">Case Study Name</w:t>
            </w:r>
          </w:p>
        </w:tc>
        <w:tc>
          <w:tcPr/>
          <w:p>
            <w:pPr>
              <w:pStyle w:val="Compact"/>
              <w:jc w:val="left"/>
            </w:pPr>
            <w:r>
              <w:t xml:space="preserve">Entity Type</w:t>
            </w:r>
          </w:p>
        </w:tc>
        <w:tc>
          <w:tcPr/>
          <w:p>
            <w:pPr>
              <w:pStyle w:val="Compact"/>
              <w:jc w:val="center"/>
            </w:pPr>
            <w:r>
              <w:t xml:space="preserve">Score</w:t>
            </w:r>
          </w:p>
        </w:tc>
        <w:tc>
          <w:tcPr/>
          <w:p>
            <w:pPr>
              <w:pStyle w:val="Compact"/>
              <w:jc w:val="center"/>
            </w:pPr>
            <w:r>
              <w:t xml:space="preserve">Tier</w:t>
            </w:r>
          </w:p>
        </w:tc>
      </w:tr>
      <w:tr>
        <w:tc>
          <w:tcPr/>
          <w:p>
            <w:pPr>
              <w:pStyle w:val="Compact"/>
              <w:jc w:val="center"/>
            </w:pPr>
            <w:r>
              <w:t xml:space="preserve">7</w:t>
            </w:r>
          </w:p>
        </w:tc>
        <w:tc>
          <w:tcPr/>
          <w:p>
            <w:pPr>
              <w:pStyle w:val="Compact"/>
              <w:jc w:val="left"/>
            </w:pPr>
            <w:r>
              <w:t xml:space="preserve">SwasthyaSetu</w:t>
            </w:r>
          </w:p>
        </w:tc>
        <w:tc>
          <w:tcPr/>
          <w:p>
            <w:pPr>
              <w:pStyle w:val="Compact"/>
              <w:jc w:val="left"/>
            </w:pPr>
            <w:r>
              <w:t xml:space="preserve">National digital health platform</w:t>
            </w:r>
          </w:p>
        </w:tc>
        <w:tc>
          <w:tcPr/>
          <w:p>
            <w:pPr>
              <w:pStyle w:val="Compact"/>
              <w:jc w:val="center"/>
            </w:pPr>
            <w:r>
              <w:t xml:space="preserve">Auto</w:t>
            </w:r>
          </w:p>
        </w:tc>
        <w:tc>
          <w:tcPr/>
          <w:p>
            <w:pPr>
              <w:pStyle w:val="Compact"/>
              <w:jc w:val="center"/>
            </w:pPr>
            <w:r>
              <w:rPr>
                <w:b/>
                <w:bCs/>
              </w:rPr>
              <w:t xml:space="preserve">Tier 1</w:t>
            </w:r>
            <w:r>
              <w:t xml:space="preserve"> </w:t>
            </w:r>
            <w:r>
              <w:t xml:space="preserve">(auto)</w:t>
            </w:r>
          </w:p>
        </w:tc>
      </w:tr>
      <w:tr>
        <w:tc>
          <w:tcPr/>
          <w:p>
            <w:pPr>
              <w:pStyle w:val="Compact"/>
              <w:jc w:val="center"/>
            </w:pPr>
            <w:r>
              <w:t xml:space="preserve">8</w:t>
            </w:r>
          </w:p>
        </w:tc>
        <w:tc>
          <w:tcPr/>
          <w:p>
            <w:pPr>
              <w:pStyle w:val="Compact"/>
              <w:jc w:val="left"/>
            </w:pPr>
            <w:r>
              <w:t xml:space="preserve">MyHealthVault</w:t>
            </w:r>
          </w:p>
        </w:tc>
        <w:tc>
          <w:tcPr/>
          <w:p>
            <w:pPr>
              <w:pStyle w:val="Compact"/>
              <w:jc w:val="left"/>
            </w:pPr>
            <w:r>
              <w:t xml:space="preserve">PHR/health data aggregator</w:t>
            </w:r>
          </w:p>
        </w:tc>
        <w:tc>
          <w:tcPr/>
          <w:p>
            <w:pPr>
              <w:pStyle w:val="Compact"/>
              <w:jc w:val="center"/>
            </w:pPr>
            <w:r>
              <w:t xml:space="preserve">70</w:t>
            </w:r>
          </w:p>
        </w:tc>
        <w:tc>
          <w:tcPr/>
          <w:p>
            <w:pPr>
              <w:pStyle w:val="Compact"/>
              <w:jc w:val="center"/>
            </w:pPr>
            <w:r>
              <w:rPr>
                <w:b/>
                <w:bCs/>
              </w:rPr>
              <w:t xml:space="preserve">Tier 1</w:t>
            </w:r>
          </w:p>
        </w:tc>
      </w:tr>
      <w:tr>
        <w:tc>
          <w:tcPr/>
          <w:p>
            <w:pPr>
              <w:pStyle w:val="Compact"/>
              <w:jc w:val="center"/>
            </w:pPr>
            <w:r>
              <w:t xml:space="preserve">9</w:t>
            </w:r>
          </w:p>
        </w:tc>
        <w:tc>
          <w:tcPr/>
          <w:p>
            <w:pPr>
              <w:pStyle w:val="Compact"/>
              <w:jc w:val="left"/>
            </w:pPr>
            <w:r>
              <w:t xml:space="preserve">SwasthyaMitra</w:t>
            </w:r>
          </w:p>
        </w:tc>
        <w:tc>
          <w:tcPr/>
          <w:p>
            <w:pPr>
              <w:pStyle w:val="Compact"/>
              <w:jc w:val="left"/>
            </w:pPr>
            <w:r>
              <w:t xml:space="preserve">State HMIS (500+ hospitals)</w:t>
            </w:r>
          </w:p>
        </w:tc>
        <w:tc>
          <w:tcPr/>
          <w:p>
            <w:pPr>
              <w:pStyle w:val="Compact"/>
              <w:jc w:val="center"/>
            </w:pPr>
            <w:r>
              <w:t xml:space="preserve">80</w:t>
            </w:r>
          </w:p>
        </w:tc>
        <w:tc>
          <w:tcPr/>
          <w:p>
            <w:pPr>
              <w:pStyle w:val="Compact"/>
              <w:jc w:val="center"/>
            </w:pPr>
            <w:r>
              <w:rPr>
                <w:b/>
                <w:bCs/>
              </w:rPr>
              <w:t xml:space="preserve">Tier 1</w:t>
            </w:r>
          </w:p>
        </w:tc>
      </w:tr>
      <w:tr>
        <w:tc>
          <w:tcPr/>
          <w:p>
            <w:pPr>
              <w:pStyle w:val="Compact"/>
              <w:jc w:val="center"/>
            </w:pPr>
            <w:r>
              <w:t xml:space="preserve">10</w:t>
            </w:r>
          </w:p>
        </w:tc>
        <w:tc>
          <w:tcPr/>
          <w:p>
            <w:pPr>
              <w:pStyle w:val="Compact"/>
              <w:jc w:val="left"/>
            </w:pPr>
            <w:r>
              <w:t xml:space="preserve">CareSync Enterprise</w:t>
            </w:r>
          </w:p>
        </w:tc>
        <w:tc>
          <w:tcPr/>
          <w:p>
            <w:pPr>
              <w:pStyle w:val="Compact"/>
              <w:jc w:val="left"/>
            </w:pPr>
            <w:r>
              <w:t xml:space="preserve">Multi-hospital HMIS (5 hospitals)</w:t>
            </w:r>
          </w:p>
        </w:tc>
        <w:tc>
          <w:tcPr/>
          <w:p>
            <w:pPr>
              <w:pStyle w:val="Compact"/>
              <w:jc w:val="center"/>
            </w:pPr>
            <w:r>
              <w:t xml:space="preserve">45</w:t>
            </w:r>
          </w:p>
        </w:tc>
        <w:tc>
          <w:tcPr/>
          <w:p>
            <w:pPr>
              <w:pStyle w:val="Compact"/>
              <w:jc w:val="center"/>
            </w:pPr>
            <w:r>
              <w:rPr>
                <w:b/>
                <w:bCs/>
              </w:rPr>
              <w:t xml:space="preserve">Tier 2</w:t>
            </w:r>
          </w:p>
        </w:tc>
      </w:tr>
    </w:tbl>
    <w:p>
      <w:r>
        <w:pict>
          <v:rect style="width:0;height:1.5pt" o:hralign="center" o:hrstd="t" o:hr="t"/>
        </w:pict>
      </w:r>
    </w:p>
    <w:bookmarkEnd w:id="464"/>
    <w:bookmarkStart w:id="465" w:name="diagnostics-pharma-biotech-chapter-63"/>
    <w:p>
      <w:pPr>
        <w:pStyle w:val="Heading3"/>
      </w:pPr>
      <w:r>
        <w:t xml:space="preserve">Diagnostics, Pharma &amp; Biotech (Chapter 63)</w:t>
      </w:r>
    </w:p>
    <w:tbl>
      <w:tblPr>
        <w:tblStyle w:val="Table"/>
        <w:tblW w:type="pct" w:w="5000"/>
        <w:tblLayout w:type="fixed"/>
        <w:tblLook w:firstRow="1" w:lastRow="0" w:firstColumn="0" w:lastColumn="0" w:noHBand="0" w:noVBand="0" w:val="0020"/>
      </w:tblPr>
      <w:tblGrid>
        <w:gridCol w:w="516"/>
        <w:gridCol w:w="2926"/>
        <w:gridCol w:w="2238"/>
        <w:gridCol w:w="1205"/>
        <w:gridCol w:w="1033"/>
      </w:tblGrid>
      <w:tr>
        <w:trPr>
          <w:tblHeader w:val="on"/>
        </w:trPr>
        <w:tc>
          <w:tcPr/>
          <w:p>
            <w:pPr>
              <w:pStyle w:val="Compact"/>
              <w:jc w:val="center"/>
            </w:pPr>
            <w:r>
              <w:t xml:space="preserve">#</w:t>
            </w:r>
          </w:p>
        </w:tc>
        <w:tc>
          <w:tcPr/>
          <w:p>
            <w:pPr>
              <w:pStyle w:val="Compact"/>
              <w:jc w:val="left"/>
            </w:pPr>
            <w:r>
              <w:t xml:space="preserve">Case Study Name</w:t>
            </w:r>
          </w:p>
        </w:tc>
        <w:tc>
          <w:tcPr/>
          <w:p>
            <w:pPr>
              <w:pStyle w:val="Compact"/>
              <w:jc w:val="left"/>
            </w:pPr>
            <w:r>
              <w:t xml:space="preserve">Entity Type</w:t>
            </w:r>
          </w:p>
        </w:tc>
        <w:tc>
          <w:tcPr/>
          <w:p>
            <w:pPr>
              <w:pStyle w:val="Compact"/>
              <w:jc w:val="center"/>
            </w:pPr>
            <w:r>
              <w:t xml:space="preserve">Score</w:t>
            </w:r>
          </w:p>
        </w:tc>
        <w:tc>
          <w:tcPr/>
          <w:p>
            <w:pPr>
              <w:pStyle w:val="Compact"/>
              <w:jc w:val="center"/>
            </w:pPr>
            <w:r>
              <w:t xml:space="preserve">Tier</w:t>
            </w:r>
          </w:p>
        </w:tc>
      </w:tr>
      <w:tr>
        <w:tc>
          <w:tcPr/>
          <w:p>
            <w:pPr>
              <w:pStyle w:val="Compact"/>
              <w:jc w:val="center"/>
            </w:pPr>
            <w:r>
              <w:t xml:space="preserve">11</w:t>
            </w:r>
          </w:p>
        </w:tc>
        <w:tc>
          <w:tcPr/>
          <w:p>
            <w:pPr>
              <w:pStyle w:val="Compact"/>
              <w:jc w:val="left"/>
            </w:pPr>
            <w:r>
              <w:t xml:space="preserve">DiagnoFirst Labs</w:t>
            </w:r>
          </w:p>
        </w:tc>
        <w:tc>
          <w:tcPr/>
          <w:p>
            <w:pPr>
              <w:pStyle w:val="Compact"/>
              <w:jc w:val="left"/>
            </w:pPr>
            <w:r>
              <w:t xml:space="preserve">Private diagnostic lab chain</w:t>
            </w:r>
          </w:p>
        </w:tc>
        <w:tc>
          <w:tcPr/>
          <w:p>
            <w:pPr>
              <w:pStyle w:val="Compact"/>
              <w:jc w:val="center"/>
            </w:pPr>
            <w:r>
              <w:t xml:space="preserve">60</w:t>
            </w:r>
          </w:p>
        </w:tc>
        <w:tc>
          <w:tcPr/>
          <w:p>
            <w:pPr>
              <w:pStyle w:val="Compact"/>
              <w:jc w:val="center"/>
            </w:pPr>
            <w:r>
              <w:rPr>
                <w:b/>
                <w:bCs/>
              </w:rPr>
              <w:t xml:space="preserve">Tier 1</w:t>
            </w:r>
          </w:p>
        </w:tc>
      </w:tr>
      <w:tr>
        <w:tc>
          <w:tcPr/>
          <w:p>
            <w:pPr>
              <w:pStyle w:val="Compact"/>
              <w:jc w:val="center"/>
            </w:pPr>
            <w:r>
              <w:t xml:space="preserve">12</w:t>
            </w:r>
          </w:p>
        </w:tc>
        <w:tc>
          <w:tcPr/>
          <w:p>
            <w:pPr>
              <w:pStyle w:val="Compact"/>
              <w:jc w:val="left"/>
            </w:pPr>
            <w:r>
              <w:t xml:space="preserve">GenomeIndia Labs</w:t>
            </w:r>
          </w:p>
        </w:tc>
        <w:tc>
          <w:tcPr/>
          <w:p>
            <w:pPr>
              <w:pStyle w:val="Compact"/>
              <w:jc w:val="left"/>
            </w:pPr>
            <w:r>
              <w:t xml:space="preserve">Genomic sequencing laboratory</w:t>
            </w:r>
          </w:p>
        </w:tc>
        <w:tc>
          <w:tcPr/>
          <w:p>
            <w:pPr>
              <w:pStyle w:val="Compact"/>
              <w:jc w:val="center"/>
            </w:pPr>
            <w:r>
              <w:t xml:space="preserve">85</w:t>
            </w:r>
          </w:p>
        </w:tc>
        <w:tc>
          <w:tcPr/>
          <w:p>
            <w:pPr>
              <w:pStyle w:val="Compact"/>
              <w:jc w:val="center"/>
            </w:pPr>
            <w:r>
              <w:rPr>
                <w:b/>
                <w:bCs/>
              </w:rPr>
              <w:t xml:space="preserve">Tier 1</w:t>
            </w:r>
          </w:p>
        </w:tc>
      </w:tr>
      <w:tr>
        <w:tc>
          <w:tcPr/>
          <w:p>
            <w:pPr>
              <w:pStyle w:val="Compact"/>
              <w:jc w:val="center"/>
            </w:pPr>
            <w:r>
              <w:t xml:space="preserve">13</w:t>
            </w:r>
          </w:p>
        </w:tc>
        <w:tc>
          <w:tcPr/>
          <w:p>
            <w:pPr>
              <w:pStyle w:val="Compact"/>
              <w:jc w:val="left"/>
            </w:pPr>
            <w:r>
              <w:t xml:space="preserve">BioShield Pharma</w:t>
            </w:r>
          </w:p>
        </w:tc>
        <w:tc>
          <w:tcPr/>
          <w:p>
            <w:pPr>
              <w:pStyle w:val="Compact"/>
              <w:jc w:val="left"/>
            </w:pPr>
            <w:r>
              <w:t xml:space="preserve">Vaccine manufacturer</w:t>
            </w:r>
          </w:p>
        </w:tc>
        <w:tc>
          <w:tcPr/>
          <w:p>
            <w:pPr>
              <w:pStyle w:val="Compact"/>
              <w:jc w:val="center"/>
            </w:pPr>
            <w:r>
              <w:t xml:space="preserve">90</w:t>
            </w:r>
          </w:p>
        </w:tc>
        <w:tc>
          <w:tcPr/>
          <w:p>
            <w:pPr>
              <w:pStyle w:val="Compact"/>
              <w:jc w:val="center"/>
            </w:pPr>
            <w:r>
              <w:rPr>
                <w:b/>
                <w:bCs/>
              </w:rPr>
              <w:t xml:space="preserve">Tier 1</w:t>
            </w:r>
            <w:r>
              <w:t xml:space="preserve"> </w:t>
            </w:r>
            <w:r>
              <w:t xml:space="preserve">(auto)</w:t>
            </w:r>
          </w:p>
        </w:tc>
      </w:tr>
      <w:tr>
        <w:tc>
          <w:tcPr/>
          <w:p>
            <w:pPr>
              <w:pStyle w:val="Compact"/>
              <w:jc w:val="center"/>
            </w:pPr>
            <w:r>
              <w:t xml:space="preserve">14</w:t>
            </w:r>
          </w:p>
        </w:tc>
        <w:tc>
          <w:tcPr/>
          <w:p>
            <w:pPr>
              <w:pStyle w:val="Compact"/>
              <w:jc w:val="left"/>
            </w:pPr>
            <w:r>
              <w:t xml:space="preserve">GeneSys BioTech</w:t>
            </w:r>
          </w:p>
        </w:tc>
        <w:tc>
          <w:tcPr/>
          <w:p>
            <w:pPr>
              <w:pStyle w:val="Compact"/>
              <w:jc w:val="left"/>
            </w:pPr>
            <w:r>
              <w:t xml:space="preserve">Biosimilar R&amp;D company</w:t>
            </w:r>
          </w:p>
        </w:tc>
        <w:tc>
          <w:tcPr/>
          <w:p>
            <w:pPr>
              <w:pStyle w:val="Compact"/>
              <w:jc w:val="center"/>
            </w:pPr>
            <w:r>
              <w:t xml:space="preserve">70</w:t>
            </w:r>
          </w:p>
        </w:tc>
        <w:tc>
          <w:tcPr/>
          <w:p>
            <w:pPr>
              <w:pStyle w:val="Compact"/>
              <w:jc w:val="center"/>
            </w:pPr>
            <w:r>
              <w:rPr>
                <w:b/>
                <w:bCs/>
              </w:rPr>
              <w:t xml:space="preserve">Tier 1</w:t>
            </w:r>
          </w:p>
        </w:tc>
      </w:tr>
    </w:tbl>
    <w:p>
      <w:r>
        <w:pict>
          <v:rect style="width:0;height:1.5pt" o:hralign="center" o:hrstd="t" o:hr="t"/>
        </w:pict>
      </w:r>
    </w:p>
    <w:bookmarkEnd w:id="465"/>
    <w:bookmarkStart w:id="466" w:name="X8719fd93c74a0d33bf0cf0cecb14dff2ef92d0e"/>
    <w:p>
      <w:pPr>
        <w:pStyle w:val="Heading3"/>
      </w:pPr>
      <w:r>
        <w:t xml:space="preserve">Public Health Programs &amp; Surveillance (Chapter 64)</w:t>
      </w:r>
    </w:p>
    <w:tbl>
      <w:tblPr>
        <w:tblStyle w:val="Table"/>
        <w:tblW w:type="pct" w:w="5000"/>
        <w:tblLayout w:type="fixed"/>
        <w:tblLook w:firstRow="1" w:lastRow="0" w:firstColumn="0" w:lastColumn="0" w:noHBand="0" w:noVBand="0" w:val="0020"/>
      </w:tblPr>
      <w:tblGrid>
        <w:gridCol w:w="516"/>
        <w:gridCol w:w="2926"/>
        <w:gridCol w:w="2238"/>
        <w:gridCol w:w="1205"/>
        <w:gridCol w:w="1033"/>
      </w:tblGrid>
      <w:tr>
        <w:trPr>
          <w:tblHeader w:val="on"/>
        </w:trPr>
        <w:tc>
          <w:tcPr/>
          <w:p>
            <w:pPr>
              <w:pStyle w:val="Compact"/>
              <w:jc w:val="center"/>
            </w:pPr>
            <w:r>
              <w:t xml:space="preserve">#</w:t>
            </w:r>
          </w:p>
        </w:tc>
        <w:tc>
          <w:tcPr/>
          <w:p>
            <w:pPr>
              <w:pStyle w:val="Compact"/>
              <w:jc w:val="left"/>
            </w:pPr>
            <w:r>
              <w:t xml:space="preserve">Case Study Name</w:t>
            </w:r>
          </w:p>
        </w:tc>
        <w:tc>
          <w:tcPr/>
          <w:p>
            <w:pPr>
              <w:pStyle w:val="Compact"/>
              <w:jc w:val="left"/>
            </w:pPr>
            <w:r>
              <w:t xml:space="preserve">Entity Type</w:t>
            </w:r>
          </w:p>
        </w:tc>
        <w:tc>
          <w:tcPr/>
          <w:p>
            <w:pPr>
              <w:pStyle w:val="Compact"/>
              <w:jc w:val="center"/>
            </w:pPr>
            <w:r>
              <w:t xml:space="preserve">Score</w:t>
            </w:r>
          </w:p>
        </w:tc>
        <w:tc>
          <w:tcPr/>
          <w:p>
            <w:pPr>
              <w:pStyle w:val="Compact"/>
              <w:jc w:val="center"/>
            </w:pPr>
            <w:r>
              <w:t xml:space="preserve">Tier</w:t>
            </w:r>
          </w:p>
        </w:tc>
      </w:tr>
      <w:tr>
        <w:tc>
          <w:tcPr/>
          <w:p>
            <w:pPr>
              <w:pStyle w:val="Compact"/>
              <w:jc w:val="center"/>
            </w:pPr>
            <w:r>
              <w:t xml:space="preserve">15</w:t>
            </w:r>
          </w:p>
        </w:tc>
        <w:tc>
          <w:tcPr/>
          <w:p>
            <w:pPr>
              <w:pStyle w:val="Compact"/>
              <w:jc w:val="left"/>
            </w:pPr>
            <w:r>
              <w:t xml:space="preserve">SurveilHealth</w:t>
            </w:r>
          </w:p>
        </w:tc>
        <w:tc>
          <w:tcPr/>
          <w:p>
            <w:pPr>
              <w:pStyle w:val="Compact"/>
              <w:jc w:val="left"/>
            </w:pPr>
            <w:r>
              <w:t xml:space="preserve">National disease surveillance</w:t>
            </w:r>
          </w:p>
        </w:tc>
        <w:tc>
          <w:tcPr/>
          <w:p>
            <w:pPr>
              <w:pStyle w:val="Compact"/>
              <w:jc w:val="center"/>
            </w:pPr>
            <w:r>
              <w:t xml:space="preserve">85</w:t>
            </w:r>
          </w:p>
        </w:tc>
        <w:tc>
          <w:tcPr/>
          <w:p>
            <w:pPr>
              <w:pStyle w:val="Compact"/>
              <w:jc w:val="center"/>
            </w:pPr>
            <w:r>
              <w:rPr>
                <w:b/>
                <w:bCs/>
              </w:rPr>
              <w:t xml:space="preserve">Tier 1</w:t>
            </w:r>
            <w:r>
              <w:t xml:space="preserve"> </w:t>
            </w:r>
            <w:r>
              <w:t xml:space="preserve">(auto)</w:t>
            </w:r>
          </w:p>
        </w:tc>
      </w:tr>
      <w:tr>
        <w:tc>
          <w:tcPr/>
          <w:p>
            <w:pPr>
              <w:pStyle w:val="Compact"/>
              <w:jc w:val="center"/>
            </w:pPr>
            <w:r>
              <w:t xml:space="preserve">16</w:t>
            </w:r>
          </w:p>
        </w:tc>
        <w:tc>
          <w:tcPr/>
          <w:p>
            <w:pPr>
              <w:pStyle w:val="Compact"/>
              <w:jc w:val="left"/>
            </w:pPr>
            <w:r>
              <w:t xml:space="preserve">TB-Mukt Bharat</w:t>
            </w:r>
          </w:p>
        </w:tc>
        <w:tc>
          <w:tcPr/>
          <w:p>
            <w:pPr>
              <w:pStyle w:val="Compact"/>
              <w:jc w:val="left"/>
            </w:pPr>
            <w:r>
              <w:t xml:space="preserve">National TB elimination program</w:t>
            </w:r>
          </w:p>
        </w:tc>
        <w:tc>
          <w:tcPr/>
          <w:p>
            <w:pPr>
              <w:pStyle w:val="Compact"/>
              <w:jc w:val="center"/>
            </w:pPr>
            <w:r>
              <w:t xml:space="preserve">80</w:t>
            </w:r>
          </w:p>
        </w:tc>
        <w:tc>
          <w:tcPr/>
          <w:p>
            <w:pPr>
              <w:pStyle w:val="Compact"/>
              <w:jc w:val="center"/>
            </w:pPr>
            <w:r>
              <w:rPr>
                <w:b/>
                <w:bCs/>
              </w:rPr>
              <w:t xml:space="preserve">Tier 1</w:t>
            </w:r>
            <w:r>
              <w:t xml:space="preserve"> </w:t>
            </w:r>
            <w:r>
              <w:t xml:space="preserve">(auto)</w:t>
            </w:r>
          </w:p>
        </w:tc>
      </w:tr>
      <w:tr>
        <w:tc>
          <w:tcPr/>
          <w:p>
            <w:pPr>
              <w:pStyle w:val="Compact"/>
              <w:jc w:val="center"/>
            </w:pPr>
            <w:r>
              <w:t xml:space="preserve">17</w:t>
            </w:r>
          </w:p>
        </w:tc>
        <w:tc>
          <w:tcPr/>
          <w:p>
            <w:pPr>
              <w:pStyle w:val="Compact"/>
              <w:jc w:val="left"/>
            </w:pPr>
            <w:r>
              <w:t xml:space="preserve">Sankalp</w:t>
            </w:r>
          </w:p>
        </w:tc>
        <w:tc>
          <w:tcPr/>
          <w:p>
            <w:pPr>
              <w:pStyle w:val="Compact"/>
              <w:jc w:val="left"/>
            </w:pPr>
            <w:r>
              <w:t xml:space="preserve">National NCD program</w:t>
            </w:r>
          </w:p>
        </w:tc>
        <w:tc>
          <w:tcPr/>
          <w:p>
            <w:pPr>
              <w:pStyle w:val="Compact"/>
              <w:jc w:val="center"/>
            </w:pPr>
            <w:r>
              <w:t xml:space="preserve">75</w:t>
            </w:r>
          </w:p>
        </w:tc>
        <w:tc>
          <w:tcPr/>
          <w:p>
            <w:pPr>
              <w:pStyle w:val="Compact"/>
              <w:jc w:val="center"/>
            </w:pPr>
            <w:r>
              <w:rPr>
                <w:b/>
                <w:bCs/>
              </w:rPr>
              <w:t xml:space="preserve">Tier 1</w:t>
            </w:r>
          </w:p>
        </w:tc>
      </w:tr>
      <w:tr>
        <w:tc>
          <w:tcPr/>
          <w:p>
            <w:pPr>
              <w:pStyle w:val="Compact"/>
              <w:jc w:val="center"/>
            </w:pPr>
            <w:r>
              <w:t xml:space="preserve">18</w:t>
            </w:r>
          </w:p>
        </w:tc>
        <w:tc>
          <w:tcPr/>
          <w:p>
            <w:pPr>
              <w:pStyle w:val="Compact"/>
              <w:jc w:val="left"/>
            </w:pPr>
            <w:r>
              <w:t xml:space="preserve">DrishtiRaksha</w:t>
            </w:r>
          </w:p>
        </w:tc>
        <w:tc>
          <w:tcPr/>
          <w:p>
            <w:pPr>
              <w:pStyle w:val="Compact"/>
              <w:jc w:val="left"/>
            </w:pPr>
            <w:r>
              <w:t xml:space="preserve">National blindness control</w:t>
            </w:r>
          </w:p>
        </w:tc>
        <w:tc>
          <w:tcPr/>
          <w:p>
            <w:pPr>
              <w:pStyle w:val="Compact"/>
              <w:jc w:val="center"/>
            </w:pPr>
            <w:r>
              <w:t xml:space="preserve">60</w:t>
            </w:r>
          </w:p>
        </w:tc>
        <w:tc>
          <w:tcPr/>
          <w:p>
            <w:pPr>
              <w:pStyle w:val="Compact"/>
              <w:jc w:val="center"/>
            </w:pPr>
            <w:r>
              <w:rPr>
                <w:b/>
                <w:bCs/>
              </w:rPr>
              <w:t xml:space="preserve">Tier 1</w:t>
            </w:r>
          </w:p>
        </w:tc>
      </w:tr>
      <w:tr>
        <w:tc>
          <w:tcPr/>
          <w:p>
            <w:pPr>
              <w:pStyle w:val="Compact"/>
              <w:jc w:val="center"/>
            </w:pPr>
            <w:r>
              <w:t xml:space="preserve">19</w:t>
            </w:r>
          </w:p>
        </w:tc>
        <w:tc>
          <w:tcPr/>
          <w:p>
            <w:pPr>
              <w:pStyle w:val="Compact"/>
              <w:jc w:val="left"/>
            </w:pPr>
            <w:r>
              <w:t xml:space="preserve">Poshan Rakshak</w:t>
            </w:r>
          </w:p>
        </w:tc>
        <w:tc>
          <w:tcPr/>
          <w:p>
            <w:pPr>
              <w:pStyle w:val="Compact"/>
              <w:jc w:val="left"/>
            </w:pPr>
            <w:r>
              <w:t xml:space="preserve">National nutrition program</w:t>
            </w:r>
          </w:p>
        </w:tc>
        <w:tc>
          <w:tcPr/>
          <w:p>
            <w:pPr>
              <w:pStyle w:val="Compact"/>
              <w:jc w:val="center"/>
            </w:pPr>
            <w:r>
              <w:t xml:space="preserve">80</w:t>
            </w:r>
          </w:p>
        </w:tc>
        <w:tc>
          <w:tcPr/>
          <w:p>
            <w:pPr>
              <w:pStyle w:val="Compact"/>
              <w:jc w:val="center"/>
            </w:pPr>
            <w:r>
              <w:rPr>
                <w:b/>
                <w:bCs/>
              </w:rPr>
              <w:t xml:space="preserve">Tier 1</w:t>
            </w:r>
            <w:r>
              <w:t xml:space="preserve"> </w:t>
            </w:r>
            <w:r>
              <w:t xml:space="preserve">(auto)</w:t>
            </w:r>
          </w:p>
        </w:tc>
      </w:tr>
    </w:tbl>
    <w:p>
      <w:r>
        <w:pict>
          <v:rect style="width:0;height:1.5pt" o:hralign="center" o:hrstd="t" o:hr="t"/>
        </w:pict>
      </w:r>
    </w:p>
    <w:bookmarkEnd w:id="466"/>
    <w:bookmarkStart w:id="467" w:name="X0cebf50ce8bf414963e2a2bdd88552015a535d1"/>
    <w:p>
      <w:pPr>
        <w:pStyle w:val="Heading3"/>
      </w:pPr>
      <w:r>
        <w:t xml:space="preserve">Registries, Biobanks &amp; Blood Services (Chapter 65)</w:t>
      </w:r>
    </w:p>
    <w:tbl>
      <w:tblPr>
        <w:tblStyle w:val="Table"/>
        <w:tblW w:type="pct" w:w="5000"/>
        <w:tblLayout w:type="fixed"/>
        <w:tblLook w:firstRow="1" w:lastRow="0" w:firstColumn="0" w:lastColumn="0" w:noHBand="0" w:noVBand="0" w:val="0020"/>
      </w:tblPr>
      <w:tblGrid>
        <w:gridCol w:w="516"/>
        <w:gridCol w:w="2926"/>
        <w:gridCol w:w="2238"/>
        <w:gridCol w:w="1205"/>
        <w:gridCol w:w="1033"/>
      </w:tblGrid>
      <w:tr>
        <w:trPr>
          <w:tblHeader w:val="on"/>
        </w:trPr>
        <w:tc>
          <w:tcPr/>
          <w:p>
            <w:pPr>
              <w:pStyle w:val="Compact"/>
              <w:jc w:val="center"/>
            </w:pPr>
            <w:r>
              <w:t xml:space="preserve">#</w:t>
            </w:r>
          </w:p>
        </w:tc>
        <w:tc>
          <w:tcPr/>
          <w:p>
            <w:pPr>
              <w:pStyle w:val="Compact"/>
              <w:jc w:val="left"/>
            </w:pPr>
            <w:r>
              <w:t xml:space="preserve">Case Study Name</w:t>
            </w:r>
          </w:p>
        </w:tc>
        <w:tc>
          <w:tcPr/>
          <w:p>
            <w:pPr>
              <w:pStyle w:val="Compact"/>
              <w:jc w:val="left"/>
            </w:pPr>
            <w:r>
              <w:t xml:space="preserve">Entity Type</w:t>
            </w:r>
          </w:p>
        </w:tc>
        <w:tc>
          <w:tcPr/>
          <w:p>
            <w:pPr>
              <w:pStyle w:val="Compact"/>
              <w:jc w:val="center"/>
            </w:pPr>
            <w:r>
              <w:t xml:space="preserve">Score</w:t>
            </w:r>
          </w:p>
        </w:tc>
        <w:tc>
          <w:tcPr/>
          <w:p>
            <w:pPr>
              <w:pStyle w:val="Compact"/>
              <w:jc w:val="center"/>
            </w:pPr>
            <w:r>
              <w:t xml:space="preserve">Tier</w:t>
            </w:r>
          </w:p>
        </w:tc>
      </w:tr>
      <w:tr>
        <w:tc>
          <w:tcPr/>
          <w:p>
            <w:pPr>
              <w:pStyle w:val="Compact"/>
              <w:jc w:val="center"/>
            </w:pPr>
            <w:r>
              <w:t xml:space="preserve">20</w:t>
            </w:r>
          </w:p>
        </w:tc>
        <w:tc>
          <w:tcPr/>
          <w:p>
            <w:pPr>
              <w:pStyle w:val="Compact"/>
              <w:jc w:val="left"/>
            </w:pPr>
            <w:r>
              <w:t xml:space="preserve">OncoWatch</w:t>
            </w:r>
          </w:p>
        </w:tc>
        <w:tc>
          <w:tcPr/>
          <w:p>
            <w:pPr>
              <w:pStyle w:val="Compact"/>
              <w:jc w:val="left"/>
            </w:pPr>
            <w:r>
              <w:t xml:space="preserve">National cancer registry</w:t>
            </w:r>
          </w:p>
        </w:tc>
        <w:tc>
          <w:tcPr/>
          <w:p>
            <w:pPr>
              <w:pStyle w:val="Compact"/>
              <w:jc w:val="center"/>
            </w:pPr>
            <w:r>
              <w:t xml:space="preserve">85</w:t>
            </w:r>
          </w:p>
        </w:tc>
        <w:tc>
          <w:tcPr/>
          <w:p>
            <w:pPr>
              <w:pStyle w:val="Compact"/>
              <w:jc w:val="center"/>
            </w:pPr>
            <w:r>
              <w:rPr>
                <w:b/>
                <w:bCs/>
              </w:rPr>
              <w:t xml:space="preserve">Tier 1</w:t>
            </w:r>
            <w:r>
              <w:t xml:space="preserve"> </w:t>
            </w:r>
            <w:r>
              <w:t xml:space="preserve">(auto)</w:t>
            </w:r>
          </w:p>
        </w:tc>
      </w:tr>
      <w:tr>
        <w:tc>
          <w:tcPr/>
          <w:p>
            <w:pPr>
              <w:pStyle w:val="Compact"/>
              <w:jc w:val="center"/>
            </w:pPr>
            <w:r>
              <w:t xml:space="preserve">21</w:t>
            </w:r>
          </w:p>
        </w:tc>
        <w:tc>
          <w:tcPr/>
          <w:p>
            <w:pPr>
              <w:pStyle w:val="Compact"/>
              <w:jc w:val="left"/>
            </w:pPr>
            <w:r>
              <w:t xml:space="preserve">JeevanKosh</w:t>
            </w:r>
          </w:p>
        </w:tc>
        <w:tc>
          <w:tcPr/>
          <w:p>
            <w:pPr>
              <w:pStyle w:val="Compact"/>
              <w:jc w:val="left"/>
            </w:pPr>
            <w:r>
              <w:t xml:space="preserve">National biobank</w:t>
            </w:r>
          </w:p>
        </w:tc>
        <w:tc>
          <w:tcPr/>
          <w:p>
            <w:pPr>
              <w:pStyle w:val="Compact"/>
              <w:jc w:val="center"/>
            </w:pPr>
            <w:r>
              <w:t xml:space="preserve">85</w:t>
            </w:r>
          </w:p>
        </w:tc>
        <w:tc>
          <w:tcPr/>
          <w:p>
            <w:pPr>
              <w:pStyle w:val="Compact"/>
              <w:jc w:val="center"/>
            </w:pPr>
            <w:r>
              <w:rPr>
                <w:b/>
                <w:bCs/>
              </w:rPr>
              <w:t xml:space="preserve">Tier 1</w:t>
            </w:r>
          </w:p>
        </w:tc>
      </w:tr>
      <w:tr>
        <w:tc>
          <w:tcPr/>
          <w:p>
            <w:pPr>
              <w:pStyle w:val="Compact"/>
              <w:jc w:val="center"/>
            </w:pPr>
            <w:r>
              <w:t xml:space="preserve">22</w:t>
            </w:r>
          </w:p>
        </w:tc>
        <w:tc>
          <w:tcPr/>
          <w:p>
            <w:pPr>
              <w:pStyle w:val="Compact"/>
              <w:jc w:val="left"/>
            </w:pPr>
            <w:r>
              <w:t xml:space="preserve">Jeevan Raksha</w:t>
            </w:r>
          </w:p>
        </w:tc>
        <w:tc>
          <w:tcPr/>
          <w:p>
            <w:pPr>
              <w:pStyle w:val="Compact"/>
              <w:jc w:val="left"/>
            </w:pPr>
            <w:r>
              <w:t xml:space="preserve">State blood transfusion council</w:t>
            </w:r>
          </w:p>
        </w:tc>
        <w:tc>
          <w:tcPr/>
          <w:p>
            <w:pPr>
              <w:pStyle w:val="Compact"/>
              <w:jc w:val="center"/>
            </w:pPr>
            <w:r>
              <w:t xml:space="preserve">70</w:t>
            </w:r>
          </w:p>
        </w:tc>
        <w:tc>
          <w:tcPr/>
          <w:p>
            <w:pPr>
              <w:pStyle w:val="Compact"/>
              <w:jc w:val="center"/>
            </w:pPr>
            <w:r>
              <w:rPr>
                <w:b/>
                <w:bCs/>
              </w:rPr>
              <w:t xml:space="preserve">Tier 1</w:t>
            </w:r>
            <w:r>
              <w:t xml:space="preserve"> </w:t>
            </w:r>
            <w:r>
              <w:t xml:space="preserve">(auto)</w:t>
            </w:r>
          </w:p>
        </w:tc>
      </w:tr>
    </w:tbl>
    <w:p>
      <w:r>
        <w:pict>
          <v:rect style="width:0;height:1.5pt" o:hralign="center" o:hrstd="t" o:hr="t"/>
        </w:pict>
      </w:r>
    </w:p>
    <w:bookmarkEnd w:id="467"/>
    <w:bookmarkEnd w:id="468"/>
    <w:bookmarkStart w:id="469" w:name="overall-tier-distribution"/>
    <w:p>
      <w:pPr>
        <w:pStyle w:val="Heading2"/>
      </w:pPr>
      <w:r>
        <w:t xml:space="preserve">Overall Tier Distribution</w:t>
      </w:r>
    </w:p>
    <w:tbl>
      <w:tblPr>
        <w:tblStyle w:val="Table"/>
        <w:tblW w:type="pct" w:w="5000"/>
        <w:tblLayout w:type="fixed"/>
        <w:tblLook w:firstRow="1" w:lastRow="0" w:firstColumn="0" w:lastColumn="0" w:noHBand="0" w:noVBand="0" w:val="0020"/>
      </w:tblPr>
      <w:tblGrid>
        <w:gridCol w:w="950"/>
        <w:gridCol w:w="1108"/>
        <w:gridCol w:w="1900"/>
        <w:gridCol w:w="3960"/>
      </w:tblGrid>
      <w:tr>
        <w:trPr>
          <w:tblHeader w:val="on"/>
        </w:trPr>
        <w:tc>
          <w:tcPr/>
          <w:p>
            <w:pPr>
              <w:pStyle w:val="Compact"/>
              <w:jc w:val="left"/>
            </w:pPr>
            <w:r>
              <w:t xml:space="preserve">Tier</w:t>
            </w:r>
          </w:p>
        </w:tc>
        <w:tc>
          <w:tcPr/>
          <w:p>
            <w:pPr>
              <w:pStyle w:val="Compact"/>
              <w:jc w:val="center"/>
            </w:pPr>
            <w:r>
              <w:t xml:space="preserve">Count</w:t>
            </w:r>
          </w:p>
        </w:tc>
        <w:tc>
          <w:tcPr/>
          <w:p>
            <w:pPr>
              <w:pStyle w:val="Compact"/>
              <w:jc w:val="center"/>
            </w:pPr>
            <w:r>
              <w:t xml:space="preserve">Percentage</w:t>
            </w:r>
          </w:p>
        </w:tc>
        <w:tc>
          <w:tcPr/>
          <w:p>
            <w:pPr>
              <w:pStyle w:val="Compact"/>
              <w:jc w:val="left"/>
            </w:pPr>
            <w:r>
              <w:t xml:space="preserve">Representative Entities</w:t>
            </w:r>
          </w:p>
        </w:tc>
      </w:tr>
      <w:tr>
        <w:tc>
          <w:tcPr/>
          <w:p>
            <w:pPr>
              <w:pStyle w:val="Compact"/>
              <w:jc w:val="left"/>
            </w:pPr>
            <w:r>
              <w:rPr>
                <w:b/>
                <w:bCs/>
              </w:rPr>
              <w:t xml:space="preserve">Tier 1</w:t>
            </w:r>
          </w:p>
        </w:tc>
        <w:tc>
          <w:tcPr/>
          <w:p>
            <w:pPr>
              <w:pStyle w:val="Compact"/>
              <w:jc w:val="center"/>
            </w:pPr>
            <w:r>
              <w:t xml:space="preserve">20</w:t>
            </w:r>
          </w:p>
        </w:tc>
        <w:tc>
          <w:tcPr/>
          <w:p>
            <w:pPr>
              <w:pStyle w:val="Compact"/>
              <w:jc w:val="center"/>
            </w:pPr>
            <w:r>
              <w:t xml:space="preserve">91%</w:t>
            </w:r>
          </w:p>
        </w:tc>
        <w:tc>
          <w:tcPr/>
          <w:p>
            <w:pPr>
              <w:pStyle w:val="Compact"/>
              <w:jc w:val="left"/>
            </w:pPr>
            <w:r>
              <w:t xml:space="preserve">National platforms, major hospitals, surveillance systems, manufacturers</w:t>
            </w:r>
          </w:p>
        </w:tc>
      </w:tr>
      <w:tr>
        <w:tc>
          <w:tcPr/>
          <w:p>
            <w:pPr>
              <w:pStyle w:val="Compact"/>
              <w:jc w:val="left"/>
            </w:pPr>
            <w:r>
              <w:rPr>
                <w:b/>
                <w:bCs/>
              </w:rPr>
              <w:t xml:space="preserve">Tier 2</w:t>
            </w:r>
          </w:p>
        </w:tc>
        <w:tc>
          <w:tcPr/>
          <w:p>
            <w:pPr>
              <w:pStyle w:val="Compact"/>
              <w:jc w:val="center"/>
            </w:pPr>
            <w:r>
              <w:t xml:space="preserve">1</w:t>
            </w:r>
          </w:p>
        </w:tc>
        <w:tc>
          <w:tcPr/>
          <w:p>
            <w:pPr>
              <w:pStyle w:val="Compact"/>
              <w:jc w:val="center"/>
            </w:pPr>
            <w:r>
              <w:t xml:space="preserve">4.5%</w:t>
            </w:r>
          </w:p>
        </w:tc>
        <w:tc>
          <w:tcPr/>
          <w:p>
            <w:pPr>
              <w:pStyle w:val="Compact"/>
              <w:jc w:val="left"/>
            </w:pPr>
            <w:r>
              <w:t xml:space="preserve">Regional HMIS (5 hospitals)</w:t>
            </w:r>
          </w:p>
        </w:tc>
      </w:tr>
      <w:tr>
        <w:tc>
          <w:tcPr/>
          <w:p>
            <w:pPr>
              <w:pStyle w:val="Compact"/>
              <w:jc w:val="left"/>
            </w:pPr>
            <w:r>
              <w:rPr>
                <w:b/>
                <w:bCs/>
              </w:rPr>
              <w:t xml:space="preserve">Tier 3</w:t>
            </w:r>
          </w:p>
        </w:tc>
        <w:tc>
          <w:tcPr/>
          <w:p>
            <w:pPr>
              <w:pStyle w:val="Compact"/>
              <w:jc w:val="center"/>
            </w:pPr>
            <w:r>
              <w:t xml:space="preserve">1</w:t>
            </w:r>
          </w:p>
        </w:tc>
        <w:tc>
          <w:tcPr/>
          <w:p>
            <w:pPr>
              <w:pStyle w:val="Compact"/>
              <w:jc w:val="center"/>
            </w:pPr>
            <w:r>
              <w:t xml:space="preserve">4.5%</w:t>
            </w:r>
          </w:p>
        </w:tc>
        <w:tc>
          <w:tcPr/>
          <w:p>
            <w:pPr>
              <w:pStyle w:val="Compact"/>
              <w:jc w:val="left"/>
            </w:pPr>
            <w:r>
              <w:t xml:space="preserve">Small CHC</w:t>
            </w:r>
          </w:p>
        </w:tc>
      </w:tr>
    </w:tbl>
    <w:p>
      <w:pPr>
        <w:pStyle w:val="BlockText"/>
      </w:pPr>
      <w:r>
        <w:t xml:space="preserve">[!NOTE]</w:t>
      </w:r>
      <w:r>
        <w:t xml:space="preserve"> </w:t>
      </w:r>
      <w:r>
        <w:t xml:space="preserve">The high proportion of Tier 1 classifications reflects the</w:t>
      </w:r>
      <w:r>
        <w:t xml:space="preserve"> </w:t>
      </w:r>
      <w:r>
        <w:rPr>
          <w:b/>
          <w:bCs/>
        </w:rPr>
        <w:t xml:space="preserve">intentional selection of diverse critical entities</w:t>
      </w:r>
      <w:r>
        <w:t xml:space="preserve"> </w:t>
      </w:r>
      <w:r>
        <w:t xml:space="preserve">for illustration. In practice, most health sector entities (small clinics, standalone pharmacies, individual practitioners) would be Tier 3 or unclassified.</w:t>
      </w:r>
    </w:p>
    <w:p>
      <w:r>
        <w:pict>
          <v:rect style="width:0;height:1.5pt" o:hralign="center" o:hrstd="t" o:hr="t"/>
        </w:pict>
      </w:r>
    </w:p>
    <w:bookmarkEnd w:id="469"/>
    <w:bookmarkStart w:id="475" w:name="key-insights-across-all-case-studies"/>
    <w:p>
      <w:pPr>
        <w:pStyle w:val="Heading2"/>
      </w:pPr>
      <w:r>
        <w:t xml:space="preserve">Key Insights Across All Case Studies</w:t>
      </w:r>
    </w:p>
    <w:bookmarkStart w:id="470" w:name="healthcare-delivery"/>
    <w:p>
      <w:pPr>
        <w:pStyle w:val="Heading3"/>
      </w:pPr>
      <w:r>
        <w:t xml:space="preserve">Healthcare Delivery</w:t>
      </w:r>
    </w:p>
    <w:p>
      <w:pPr>
        <w:pStyle w:val="Compact"/>
        <w:numPr>
          <w:ilvl w:val="0"/>
          <w:numId w:val="1331"/>
        </w:numPr>
      </w:pPr>
      <w:r>
        <w:rPr>
          <w:b/>
          <w:bCs/>
        </w:rPr>
        <w:t xml:space="preserve">Geographic factors outweigh scale in developing countries</w:t>
      </w:r>
      <w:r>
        <w:t xml:space="preserve">: Sole district hospitals qualify for Tier 1 regardless of size</w:t>
      </w:r>
    </w:p>
    <w:p>
      <w:pPr>
        <w:pStyle w:val="Compact"/>
        <w:numPr>
          <w:ilvl w:val="0"/>
          <w:numId w:val="1331"/>
        </w:numPr>
      </w:pPr>
      <w:r>
        <w:rPr>
          <w:b/>
          <w:bCs/>
        </w:rPr>
        <w:t xml:space="preserve">Private chains can be CII</w:t>
      </w:r>
      <w:r>
        <w:t xml:space="preserve">: Large networks with centralized systems warrant high classification</w:t>
      </w:r>
    </w:p>
    <w:p>
      <w:pPr>
        <w:pStyle w:val="Compact"/>
        <w:numPr>
          <w:ilvl w:val="0"/>
          <w:numId w:val="1331"/>
        </w:numPr>
      </w:pPr>
      <w:r>
        <w:rPr>
          <w:b/>
          <w:bCs/>
        </w:rPr>
        <w:t xml:space="preserve">Telemedicine hubs have access-based criticality</w:t>
      </w:r>
      <w:r>
        <w:t xml:space="preserve">: Remote populations depend on these as sole specialist access points</w:t>
      </w:r>
    </w:p>
    <w:p>
      <w:pPr>
        <w:pStyle w:val="Compact"/>
        <w:numPr>
          <w:ilvl w:val="0"/>
          <w:numId w:val="1331"/>
        </w:numPr>
      </w:pPr>
      <w:r>
        <w:rPr>
          <w:b/>
          <w:bCs/>
        </w:rPr>
        <w:t xml:space="preserve">Medical colleges have triple criticality</w:t>
      </w:r>
      <w:r>
        <w:t xml:space="preserve">: Clinical care + research + workforce training compound the risk</w:t>
      </w:r>
    </w:p>
    <w:bookmarkEnd w:id="470"/>
    <w:bookmarkStart w:id="471" w:name="digital-health-platforms"/>
    <w:p>
      <w:pPr>
        <w:pStyle w:val="Heading3"/>
      </w:pPr>
      <w:r>
        <w:t xml:space="preserve">Digital Health Platforms</w:t>
      </w:r>
    </w:p>
    <w:p>
      <w:pPr>
        <w:pStyle w:val="Compact"/>
        <w:numPr>
          <w:ilvl w:val="0"/>
          <w:numId w:val="1332"/>
        </w:numPr>
      </w:pPr>
      <w:r>
        <w:rPr>
          <w:b/>
          <w:bCs/>
        </w:rPr>
        <w:t xml:space="preserve">National platforms are automatic Tier 1</w:t>
      </w:r>
      <w:r>
        <w:t xml:space="preserve">: Any national-level health information system triggers automatic classification</w:t>
      </w:r>
    </w:p>
    <w:p>
      <w:pPr>
        <w:pStyle w:val="Compact"/>
        <w:numPr>
          <w:ilvl w:val="0"/>
          <w:numId w:val="1332"/>
        </w:numPr>
      </w:pPr>
      <w:r>
        <w:rPr>
          <w:b/>
          <w:bCs/>
        </w:rPr>
        <w:t xml:space="preserve">Data aggregation creates concentrated risk</w:t>
      </w:r>
      <w:r>
        <w:t xml:space="preserve">: PHR platforms aggregating from thousands of sources have unique criticality</w:t>
      </w:r>
    </w:p>
    <w:p>
      <w:pPr>
        <w:pStyle w:val="Compact"/>
        <w:numPr>
          <w:ilvl w:val="0"/>
          <w:numId w:val="1332"/>
        </w:numPr>
      </w:pPr>
      <w:r>
        <w:rPr>
          <w:b/>
          <w:bCs/>
        </w:rPr>
        <w:t xml:space="preserve">HMIS scale determines tier</w:t>
      </w:r>
      <w:r>
        <w:t xml:space="preserve">: 500+ facilities = Tier 1; 5 facilities = Tier 2</w:t>
      </w:r>
    </w:p>
    <w:bookmarkEnd w:id="471"/>
    <w:bookmarkStart w:id="472" w:name="diagnostics-pharma-biotech"/>
    <w:p>
      <w:pPr>
        <w:pStyle w:val="Heading3"/>
      </w:pPr>
      <w:r>
        <w:t xml:space="preserve">Diagnostics, Pharma &amp; Biotech</w:t>
      </w:r>
    </w:p>
    <w:p>
      <w:pPr>
        <w:pStyle w:val="Compact"/>
        <w:numPr>
          <w:ilvl w:val="0"/>
          <w:numId w:val="1333"/>
        </w:numPr>
      </w:pPr>
      <w:r>
        <w:rPr>
          <w:b/>
          <w:bCs/>
        </w:rPr>
        <w:t xml:space="preserve">Major diagnostic chains are CII</w:t>
      </w:r>
      <w:r>
        <w:t xml:space="preserve">: Laboratories with significant market share and surveillance roles qualify for Tier 1</w:t>
      </w:r>
    </w:p>
    <w:p>
      <w:pPr>
        <w:pStyle w:val="Compact"/>
        <w:numPr>
          <w:ilvl w:val="0"/>
          <w:numId w:val="1333"/>
        </w:numPr>
      </w:pPr>
      <w:r>
        <w:rPr>
          <w:b/>
          <w:bCs/>
        </w:rPr>
        <w:t xml:space="preserve">Genomic data has unique sovereignty implications</w:t>
      </w:r>
      <w:r>
        <w:t xml:space="preserve">: Population genomics is a national asset requiring special protection</w:t>
      </w:r>
    </w:p>
    <w:p>
      <w:pPr>
        <w:pStyle w:val="Compact"/>
        <w:numPr>
          <w:ilvl w:val="0"/>
          <w:numId w:val="1333"/>
        </w:numPr>
      </w:pPr>
      <w:r>
        <w:rPr>
          <w:b/>
          <w:bCs/>
        </w:rPr>
        <w:t xml:space="preserve">Supply chain entities are CII</w:t>
      </w:r>
      <w:r>
        <w:t xml:space="preserve">: Vaccine/pharma manufacturers with significant market share are Critical Infrastructure</w:t>
      </w:r>
    </w:p>
    <w:p>
      <w:pPr>
        <w:pStyle w:val="Compact"/>
        <w:numPr>
          <w:ilvl w:val="0"/>
          <w:numId w:val="1333"/>
        </w:numPr>
      </w:pPr>
      <w:r>
        <w:rPr>
          <w:b/>
          <w:bCs/>
        </w:rPr>
        <w:t xml:space="preserve">IP-based criticality is valid</w:t>
      </w:r>
      <w:r>
        <w:t xml:space="preserve">: High-value biotech research IP warrants CII consideration for economic security</w:t>
      </w:r>
    </w:p>
    <w:bookmarkEnd w:id="472"/>
    <w:bookmarkStart w:id="473" w:name="public-health-programs-surveillance"/>
    <w:p>
      <w:pPr>
        <w:pStyle w:val="Heading3"/>
      </w:pPr>
      <w:r>
        <w:t xml:space="preserve">Public Health Programs &amp; Surveillance</w:t>
      </w:r>
    </w:p>
    <w:p>
      <w:pPr>
        <w:pStyle w:val="Compact"/>
        <w:numPr>
          <w:ilvl w:val="0"/>
          <w:numId w:val="1334"/>
        </w:numPr>
      </w:pPr>
      <w:r>
        <w:rPr>
          <w:b/>
          <w:bCs/>
        </w:rPr>
        <w:t xml:space="preserve">National surveillance is foundational CII</w:t>
      </w:r>
      <w:r>
        <w:t xml:space="preserve">: Pandemic preparedness depends on surveillance system integrity</w:t>
      </w:r>
    </w:p>
    <w:p>
      <w:pPr>
        <w:pStyle w:val="Compact"/>
        <w:numPr>
          <w:ilvl w:val="0"/>
          <w:numId w:val="1334"/>
        </w:numPr>
      </w:pPr>
      <w:r>
        <w:rPr>
          <w:b/>
          <w:bCs/>
        </w:rPr>
        <w:t xml:space="preserve">Disease control programs have supply chain dependencies</w:t>
      </w:r>
      <w:r>
        <w:t xml:space="preserve">: TB drugs, IOL distribution, nutrition supplements are attack vectors</w:t>
      </w:r>
    </w:p>
    <w:p>
      <w:pPr>
        <w:pStyle w:val="Compact"/>
        <w:numPr>
          <w:ilvl w:val="0"/>
          <w:numId w:val="1334"/>
        </w:numPr>
      </w:pPr>
      <w:r>
        <w:rPr>
          <w:b/>
          <w:bCs/>
        </w:rPr>
        <w:t xml:space="preserve">NCD programs need longitudinal integrity</w:t>
      </w:r>
      <w:r>
        <w:t xml:space="preserve">: Chronic disease tracking requires decade-long data protection</w:t>
      </w:r>
    </w:p>
    <w:p>
      <w:pPr>
        <w:pStyle w:val="Compact"/>
        <w:numPr>
          <w:ilvl w:val="0"/>
          <w:numId w:val="1334"/>
        </w:numPr>
      </w:pPr>
      <w:r>
        <w:rPr>
          <w:b/>
          <w:bCs/>
        </w:rPr>
        <w:t xml:space="preserve">Child health programs are life-critical</w:t>
      </w:r>
      <w:r>
        <w:t xml:space="preserve">: Nutrition monitoring directly affects child mortality</w:t>
      </w:r>
    </w:p>
    <w:bookmarkEnd w:id="473"/>
    <w:bookmarkStart w:id="474" w:name="registries-biobanks-blood-services"/>
    <w:p>
      <w:pPr>
        <w:pStyle w:val="Heading3"/>
      </w:pPr>
      <w:r>
        <w:t xml:space="preserve">Registries, Biobanks &amp; Blood Services</w:t>
      </w:r>
    </w:p>
    <w:p>
      <w:pPr>
        <w:pStyle w:val="Compact"/>
        <w:numPr>
          <w:ilvl w:val="0"/>
          <w:numId w:val="1335"/>
        </w:numPr>
      </w:pPr>
      <w:r>
        <w:rPr>
          <w:b/>
          <w:bCs/>
        </w:rPr>
        <w:t xml:space="preserve">Disease registries support public health planning</w:t>
      </w:r>
      <w:r>
        <w:t xml:space="preserve">: National registry data is irreplaceable</w:t>
      </w:r>
    </w:p>
    <w:p>
      <w:pPr>
        <w:pStyle w:val="Compact"/>
        <w:numPr>
          <w:ilvl w:val="0"/>
          <w:numId w:val="1335"/>
        </w:numPr>
      </w:pPr>
      <w:r>
        <w:rPr>
          <w:b/>
          <w:bCs/>
        </w:rPr>
        <w:t xml:space="preserve">Biobanks need hybrid security</w:t>
      </w:r>
      <w:r>
        <w:t xml:space="preserve">: Physical sample integrity + cyber data protection are equally critical</w:t>
      </w:r>
    </w:p>
    <w:p>
      <w:pPr>
        <w:pStyle w:val="Compact"/>
        <w:numPr>
          <w:ilvl w:val="0"/>
          <w:numId w:val="1335"/>
        </w:numPr>
      </w:pPr>
      <w:r>
        <w:rPr>
          <w:b/>
          <w:bCs/>
        </w:rPr>
        <w:t xml:space="preserve">Blood services are life-critical</w:t>
      </w:r>
      <w:r>
        <w:t xml:space="preserve">: Real-time coordination for emergency transfusions has immediate mortality implications</w:t>
      </w:r>
    </w:p>
    <w:p>
      <w:r>
        <w:pict>
          <v:rect style="width:0;height:1.5pt" o:hralign="center" o:hrstd="t" o:hr="t"/>
        </w:pict>
      </w:r>
    </w:p>
    <w:bookmarkEnd w:id="474"/>
    <w:bookmarkEnd w:id="475"/>
    <w:bookmarkStart w:id="480" w:name="using-these-case-studies"/>
    <w:p>
      <w:pPr>
        <w:pStyle w:val="Heading2"/>
      </w:pPr>
      <w:r>
        <w:t xml:space="preserve">Using These Case Studies</w:t>
      </w:r>
    </w:p>
    <w:bookmarkStart w:id="476" w:name="for-policymakers"/>
    <w:p>
      <w:pPr>
        <w:pStyle w:val="Heading3"/>
      </w:pPr>
      <w:r>
        <w:t xml:space="preserve">For Policymakers</w:t>
      </w:r>
    </w:p>
    <w:p>
      <w:pPr>
        <w:pStyle w:val="Compact"/>
        <w:numPr>
          <w:ilvl w:val="0"/>
          <w:numId w:val="1336"/>
        </w:numPr>
      </w:pPr>
      <w:r>
        <w:t xml:space="preserve">Use case studies to</w:t>
      </w:r>
      <w:r>
        <w:t xml:space="preserve"> </w:t>
      </w:r>
      <w:r>
        <w:rPr>
          <w:b/>
          <w:bCs/>
        </w:rPr>
        <w:t xml:space="preserve">illustrate framework application</w:t>
      </w:r>
      <w:r>
        <w:t xml:space="preserve"> </w:t>
      </w:r>
      <w:r>
        <w:t xml:space="preserve">to stakeholders</w:t>
      </w:r>
    </w:p>
    <w:p>
      <w:pPr>
        <w:pStyle w:val="Compact"/>
        <w:numPr>
          <w:ilvl w:val="0"/>
          <w:numId w:val="1336"/>
        </w:numPr>
      </w:pPr>
      <w:r>
        <w:t xml:space="preserve">Adapt scoring criteria based on</w:t>
      </w:r>
      <w:r>
        <w:t xml:space="preserve"> </w:t>
      </w:r>
      <w:r>
        <w:rPr>
          <w:b/>
          <w:bCs/>
        </w:rPr>
        <w:t xml:space="preserve">local context and thresholds</w:t>
      </w:r>
    </w:p>
    <w:p>
      <w:pPr>
        <w:pStyle w:val="Compact"/>
        <w:numPr>
          <w:ilvl w:val="0"/>
          <w:numId w:val="1336"/>
        </w:numPr>
      </w:pPr>
      <w:r>
        <w:t xml:space="preserve">Reference developing country adaptations for</w:t>
      </w:r>
      <w:r>
        <w:t xml:space="preserve"> </w:t>
      </w:r>
      <w:r>
        <w:rPr>
          <w:b/>
          <w:bCs/>
        </w:rPr>
        <w:t xml:space="preserve">proportionate implementation</w:t>
      </w:r>
    </w:p>
    <w:bookmarkEnd w:id="476"/>
    <w:bookmarkStart w:id="477" w:name="for-regulators"/>
    <w:p>
      <w:pPr>
        <w:pStyle w:val="Heading3"/>
      </w:pPr>
      <w:r>
        <w:t xml:space="preserve">For Regulators</w:t>
      </w:r>
    </w:p>
    <w:p>
      <w:pPr>
        <w:pStyle w:val="Compact"/>
        <w:numPr>
          <w:ilvl w:val="0"/>
          <w:numId w:val="1337"/>
        </w:numPr>
      </w:pPr>
      <w:r>
        <w:t xml:space="preserve">Use as</w:t>
      </w:r>
      <w:r>
        <w:t xml:space="preserve"> </w:t>
      </w:r>
      <w:r>
        <w:rPr>
          <w:b/>
          <w:bCs/>
        </w:rPr>
        <w:t xml:space="preserve">templates for self-assessment questionnaires</w:t>
      </w:r>
    </w:p>
    <w:p>
      <w:pPr>
        <w:pStyle w:val="Compact"/>
        <w:numPr>
          <w:ilvl w:val="0"/>
          <w:numId w:val="1337"/>
        </w:numPr>
      </w:pPr>
      <w:r>
        <w:t xml:space="preserve">Apply scoring methodology consistently across entities</w:t>
      </w:r>
    </w:p>
    <w:p>
      <w:pPr>
        <w:pStyle w:val="Compact"/>
        <w:numPr>
          <w:ilvl w:val="0"/>
          <w:numId w:val="1337"/>
        </w:numPr>
      </w:pPr>
      <w:r>
        <w:t xml:space="preserve">Consider</w:t>
      </w:r>
      <w:r>
        <w:t xml:space="preserve"> </w:t>
      </w:r>
      <w:r>
        <w:rPr>
          <w:b/>
          <w:bCs/>
        </w:rPr>
        <w:t xml:space="preserve">system-level</w:t>
      </w:r>
      <w:r>
        <w:t xml:space="preserve"> </w:t>
      </w:r>
      <w:r>
        <w:t xml:space="preserve">as well as entity-level classification</w:t>
      </w:r>
    </w:p>
    <w:bookmarkEnd w:id="477"/>
    <w:bookmarkStart w:id="478" w:name="for-covered-entities"/>
    <w:p>
      <w:pPr>
        <w:pStyle w:val="Heading3"/>
      </w:pPr>
      <w:r>
        <w:t xml:space="preserve">For Covered Entities</w:t>
      </w:r>
    </w:p>
    <w:p>
      <w:pPr>
        <w:pStyle w:val="Compact"/>
        <w:numPr>
          <w:ilvl w:val="0"/>
          <w:numId w:val="1338"/>
        </w:numPr>
      </w:pPr>
      <w:r>
        <w:rPr>
          <w:b/>
          <w:bCs/>
        </w:rPr>
        <w:t xml:space="preserve">Self-assess</w:t>
      </w:r>
      <w:r>
        <w:t xml:space="preserve"> </w:t>
      </w:r>
      <w:r>
        <w:t xml:space="preserve">using the scoring methodology</w:t>
      </w:r>
    </w:p>
    <w:p>
      <w:pPr>
        <w:pStyle w:val="Compact"/>
        <w:numPr>
          <w:ilvl w:val="0"/>
          <w:numId w:val="1338"/>
        </w:numPr>
      </w:pPr>
      <w:r>
        <w:t xml:space="preserve">Identify applicable</w:t>
      </w:r>
      <w:r>
        <w:t xml:space="preserve"> </w:t>
      </w:r>
      <w:r>
        <w:rPr>
          <w:b/>
          <w:bCs/>
        </w:rPr>
        <w:t xml:space="preserve">obligations by tier</w:t>
      </w:r>
    </w:p>
    <w:p>
      <w:pPr>
        <w:pStyle w:val="Compact"/>
        <w:numPr>
          <w:ilvl w:val="0"/>
          <w:numId w:val="1338"/>
        </w:numPr>
      </w:pPr>
      <w:r>
        <w:t xml:space="preserve">Plan for</w:t>
      </w:r>
      <w:r>
        <w:t xml:space="preserve"> </w:t>
      </w:r>
      <w:r>
        <w:rPr>
          <w:b/>
          <w:bCs/>
        </w:rPr>
        <w:t xml:space="preserve">phased compliance</w:t>
      </w:r>
      <w:r>
        <w:t xml:space="preserve"> </w:t>
      </w:r>
      <w:r>
        <w:t xml:space="preserve">based on tier assignment</w:t>
      </w:r>
    </w:p>
    <w:bookmarkEnd w:id="478"/>
    <w:bookmarkStart w:id="479" w:name="for-technical-implementers"/>
    <w:p>
      <w:pPr>
        <w:pStyle w:val="Heading3"/>
      </w:pPr>
      <w:r>
        <w:t xml:space="preserve">For Technical Implementers</w:t>
      </w:r>
    </w:p>
    <w:p>
      <w:pPr>
        <w:pStyle w:val="Compact"/>
        <w:numPr>
          <w:ilvl w:val="0"/>
          <w:numId w:val="1339"/>
        </w:numPr>
      </w:pPr>
      <w:r>
        <w:t xml:space="preserve">Use obligation lists to</w:t>
      </w:r>
      <w:r>
        <w:t xml:space="preserve"> </w:t>
      </w:r>
      <w:r>
        <w:rPr>
          <w:b/>
          <w:bCs/>
        </w:rPr>
        <w:t xml:space="preserve">scope security programs</w:t>
      </w:r>
    </w:p>
    <w:p>
      <w:pPr>
        <w:pStyle w:val="Compact"/>
        <w:numPr>
          <w:ilvl w:val="0"/>
          <w:numId w:val="1339"/>
        </w:numPr>
      </w:pPr>
      <w:r>
        <w:t xml:space="preserve">Design</w:t>
      </w:r>
      <w:r>
        <w:t xml:space="preserve"> </w:t>
      </w:r>
      <w:r>
        <w:rPr>
          <w:b/>
          <w:bCs/>
        </w:rPr>
        <w:t xml:space="preserve">shared services</w:t>
      </w:r>
      <w:r>
        <w:t xml:space="preserve"> </w:t>
      </w:r>
      <w:r>
        <w:t xml:space="preserve">(SOCs, audits) for Tier 2/3 entities</w:t>
      </w:r>
    </w:p>
    <w:p>
      <w:pPr>
        <w:pStyle w:val="Compact"/>
        <w:numPr>
          <w:ilvl w:val="0"/>
          <w:numId w:val="1339"/>
        </w:numPr>
      </w:pPr>
      <w:r>
        <w:t xml:space="preserve">Plan</w:t>
      </w:r>
      <w:r>
        <w:t xml:space="preserve"> </w:t>
      </w:r>
      <w:r>
        <w:rPr>
          <w:b/>
          <w:bCs/>
        </w:rPr>
        <w:t xml:space="preserve">incident reporting workflows</w:t>
      </w:r>
      <w:r>
        <w:t xml:space="preserve"> </w:t>
      </w:r>
      <w:r>
        <w:t xml:space="preserve">based on tier timelines</w:t>
      </w:r>
    </w:p>
    <w:p>
      <w:pPr>
        <w:sectPr>
          <w:footerReference w:type="first" r:id="rId13"/>
          <w:footerReference w:type="default" r:id="rId11"/>
          <w:footerReference w:type="even" r:id="rId10"/>
          <w:type w:val="nextPage"/>
        </w:sectPr>
      </w:pPr>
    </w:p>
    <w:bookmarkEnd w:id="479"/>
    <w:bookmarkEnd w:id="480"/>
    <w:bookmarkEnd w:id="481"/>
    <w:bookmarkStart w:id="512" w:name="X64ae5b09614c2e3f6d27b7da3c7a1843abf8921"/>
    <w:p>
      <w:pPr>
        <w:pStyle w:val="Heading1"/>
      </w:pPr>
      <w:r>
        <w:t xml:space="preserve">CII Case Studies: Digital Health Platforms</w:t>
      </w:r>
    </w:p>
    <w:p>
      <w:pPr>
        <w:pStyle w:val="FirstParagraph"/>
      </w:pPr>
      <w:r>
        <w:t xml:space="preserve">This chapter presents case studies for</w:t>
      </w:r>
      <w:r>
        <w:t xml:space="preserve"> </w:t>
      </w:r>
      <w:r>
        <w:rPr>
          <w:b/>
          <w:bCs/>
        </w:rPr>
        <w:t xml:space="preserve">digital health platforms</w:t>
      </w:r>
      <w:r>
        <w:t xml:space="preserve"> </w:t>
      </w:r>
      <w:r>
        <w:t xml:space="preserve">including national health information systems, personal health records, and hospital management information systems (HMIS).</w:t>
      </w:r>
    </w:p>
    <w:p>
      <w:r>
        <w:pict>
          <v:rect style="width:0;height:1.5pt" o:hralign="center" o:hrstd="t" o:hr="t"/>
        </w:pict>
      </w:r>
    </w:p>
    <w:bookmarkStart w:id="487" w:name="Xe9e5ecba959e3b2ece91f14609351e717e7609f"/>
    <w:p>
      <w:pPr>
        <w:pStyle w:val="Heading2"/>
      </w:pPr>
      <w:r>
        <w:t xml:space="preserve">Case Study 1: National Digital Health Platform -</w:t>
      </w:r>
      <w:r>
        <w:t xml:space="preserve"> </w:t>
      </w:r>
      <w:r>
        <w:t xml:space="preserve">“SwasthyaSetu”</w:t>
      </w:r>
    </w:p>
    <w:bookmarkStart w:id="482" w:name="entity-profile-6"/>
    <w:p>
      <w:pPr>
        <w:pStyle w:val="Heading3"/>
      </w:pPr>
      <w:r>
        <w:t xml:space="preserve">Entity Profile</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jc w:val="left"/>
            </w:pPr>
            <w:r>
              <w:t xml:space="preserve">Attribute</w:t>
            </w:r>
          </w:p>
        </w:tc>
        <w:tc>
          <w:tcPr/>
          <w:p>
            <w:pPr>
              <w:pStyle w:val="Compact"/>
              <w:jc w:val="left"/>
            </w:pPr>
            <w:r>
              <w:t xml:space="preserve">Details</w:t>
            </w:r>
          </w:p>
        </w:tc>
      </w:tr>
      <w:tr>
        <w:tc>
          <w:tcPr/>
          <w:p>
            <w:pPr>
              <w:pStyle w:val="Compact"/>
              <w:jc w:val="left"/>
            </w:pPr>
            <w:r>
              <w:rPr>
                <w:b/>
                <w:bCs/>
              </w:rPr>
              <w:t xml:space="preserve">Name</w:t>
            </w:r>
          </w:p>
        </w:tc>
        <w:tc>
          <w:tcPr/>
          <w:p>
            <w:pPr>
              <w:pStyle w:val="Compact"/>
              <w:jc w:val="left"/>
            </w:pPr>
            <w:r>
              <w:t xml:space="preserve">SwasthyaSetu (fictional national health ID platform)</w:t>
            </w:r>
          </w:p>
        </w:tc>
      </w:tr>
      <w:tr>
        <w:tc>
          <w:tcPr/>
          <w:p>
            <w:pPr>
              <w:pStyle w:val="Compact"/>
              <w:jc w:val="left"/>
            </w:pPr>
            <w:r>
              <w:rPr>
                <w:b/>
                <w:bCs/>
              </w:rPr>
              <w:t xml:space="preserve">Type</w:t>
            </w:r>
          </w:p>
        </w:tc>
        <w:tc>
          <w:tcPr/>
          <w:p>
            <w:pPr>
              <w:pStyle w:val="Compact"/>
              <w:jc w:val="left"/>
            </w:pPr>
            <w:r>
              <w:t xml:space="preserve">National digital health infrastructure</w:t>
            </w:r>
          </w:p>
        </w:tc>
      </w:tr>
      <w:tr>
        <w:tc>
          <w:tcPr/>
          <w:p>
            <w:pPr>
              <w:pStyle w:val="Compact"/>
              <w:jc w:val="left"/>
            </w:pPr>
            <w:r>
              <w:rPr>
                <w:b/>
                <w:bCs/>
              </w:rPr>
              <w:t xml:space="preserve">Operator</w:t>
            </w:r>
          </w:p>
        </w:tc>
        <w:tc>
          <w:tcPr/>
          <w:p>
            <w:pPr>
              <w:pStyle w:val="Compact"/>
              <w:jc w:val="left"/>
            </w:pPr>
            <w:r>
              <w:t xml:space="preserve">National Health Authority (government agency)</w:t>
            </w:r>
          </w:p>
        </w:tc>
      </w:tr>
      <w:tr>
        <w:tc>
          <w:tcPr/>
          <w:p>
            <w:pPr>
              <w:pStyle w:val="Compact"/>
              <w:jc w:val="left"/>
            </w:pPr>
            <w:r>
              <w:rPr>
                <w:b/>
                <w:bCs/>
              </w:rPr>
              <w:t xml:space="preserve">Coverage</w:t>
            </w:r>
          </w:p>
        </w:tc>
        <w:tc>
          <w:tcPr/>
          <w:p>
            <w:pPr>
              <w:pStyle w:val="Compact"/>
              <w:jc w:val="left"/>
            </w:pPr>
            <w:r>
              <w:t xml:space="preserve">800 million registered beneficiaries</w:t>
            </w:r>
          </w:p>
        </w:tc>
      </w:tr>
      <w:tr>
        <w:tc>
          <w:tcPr/>
          <w:p>
            <w:pPr>
              <w:pStyle w:val="Compact"/>
              <w:jc w:val="left"/>
            </w:pPr>
            <w:r>
              <w:rPr>
                <w:b/>
                <w:bCs/>
              </w:rPr>
              <w:t xml:space="preserve">Functions</w:t>
            </w:r>
          </w:p>
        </w:tc>
        <w:tc>
          <w:tcPr/>
          <w:p>
            <w:pPr>
              <w:pStyle w:val="Compact"/>
              <w:jc w:val="left"/>
            </w:pPr>
            <w:r>
              <w:t xml:space="preserve">Health ID issuance, consent management, health record linking, facility registry</w:t>
            </w:r>
          </w:p>
        </w:tc>
      </w:tr>
      <w:tr>
        <w:tc>
          <w:tcPr/>
          <w:p>
            <w:pPr>
              <w:pStyle w:val="Compact"/>
              <w:jc w:val="left"/>
            </w:pPr>
            <w:r>
              <w:rPr>
                <w:b/>
                <w:bCs/>
              </w:rPr>
              <w:t xml:space="preserve">Integrations</w:t>
            </w:r>
          </w:p>
        </w:tc>
        <w:tc>
          <w:tcPr/>
          <w:p>
            <w:pPr>
              <w:pStyle w:val="Compact"/>
              <w:jc w:val="left"/>
            </w:pPr>
            <w:r>
              <w:t xml:space="preserve">Connected to 50,000+ health facilities; insurance platforms; pharmacies</w:t>
            </w:r>
          </w:p>
        </w:tc>
      </w:tr>
      <w:tr>
        <w:tc>
          <w:tcPr/>
          <w:p>
            <w:pPr>
              <w:pStyle w:val="Compact"/>
              <w:jc w:val="left"/>
            </w:pPr>
            <w:r>
              <w:rPr>
                <w:b/>
                <w:bCs/>
              </w:rPr>
              <w:t xml:space="preserve">Employees</w:t>
            </w:r>
          </w:p>
        </w:tc>
        <w:tc>
          <w:tcPr/>
          <w:p>
            <w:pPr>
              <w:pStyle w:val="Compact"/>
              <w:jc w:val="left"/>
            </w:pPr>
            <w:r>
              <w:t xml:space="preserve">450 (central team)</w:t>
            </w:r>
          </w:p>
        </w:tc>
      </w:tr>
      <w:tr>
        <w:tc>
          <w:tcPr/>
          <w:p>
            <w:pPr>
              <w:pStyle w:val="Compact"/>
              <w:jc w:val="left"/>
            </w:pPr>
            <w:r>
              <w:rPr>
                <w:b/>
                <w:bCs/>
              </w:rPr>
              <w:t xml:space="preserve">Infrastructure</w:t>
            </w:r>
          </w:p>
        </w:tc>
        <w:tc>
          <w:tcPr/>
          <w:p>
            <w:pPr>
              <w:pStyle w:val="Compact"/>
              <w:jc w:val="left"/>
            </w:pPr>
            <w:r>
              <w:t xml:space="preserve">Multi-cloud; government data centers</w:t>
            </w:r>
          </w:p>
        </w:tc>
      </w:tr>
    </w:tbl>
    <w:bookmarkEnd w:id="482"/>
    <w:bookmarkStart w:id="484" w:name="cii-classification-assessment-6"/>
    <w:p>
      <w:pPr>
        <w:pStyle w:val="Heading3"/>
      </w:pPr>
      <w:r>
        <w:t xml:space="preserve">CII Classification Assessment</w:t>
      </w:r>
    </w:p>
    <w:bookmarkStart w:id="483" w:name="automatic-tier-1-trigger-analysis"/>
    <w:p>
      <w:pPr>
        <w:pStyle w:val="Heading4"/>
      </w:pPr>
      <w:r>
        <w:t xml:space="preserve">Automatic Tier 1 Trigger Analysis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“Regardless of Size”</w:t>
            </w:r>
            <w:r>
              <w:t xml:space="preserve"> </w:t>
            </w:r>
            <w:r>
              <w:t xml:space="preserve">Criterion</w:t>
            </w:r>
          </w:p>
        </w:tc>
        <w:tc>
          <w:tcPr/>
          <w:p>
            <w:pPr>
              <w:pStyle w:val="Compact"/>
              <w:jc w:val="center"/>
            </w:pPr>
            <w:r>
              <w:t xml:space="preserve">Applies?</w:t>
            </w:r>
          </w:p>
        </w:tc>
      </w:tr>
      <w:tr>
        <w:tc>
          <w:tcPr/>
          <w:p>
            <w:pPr>
              <w:pStyle w:val="Compact"/>
              <w:jc w:val="left"/>
            </w:pPr>
            <w:r>
              <w:t xml:space="preserve">Operates national-level health information system</w:t>
            </w:r>
          </w:p>
        </w:tc>
        <w:tc>
          <w:tcPr/>
          <w:p>
            <w:pPr>
              <w:pStyle w:val="Compact"/>
              <w:jc w:val="center"/>
            </w:pPr>
            <w:r>
              <w:t xml:space="preserve">✓</w:t>
            </w:r>
          </w:p>
        </w:tc>
      </w:tr>
      <w:tr>
        <w:tc>
          <w:tcPr/>
          <w:p>
            <w:pPr>
              <w:pStyle w:val="Compact"/>
              <w:jc w:val="left"/>
            </w:pPr>
            <w:r>
              <w:t xml:space="preserve">National health ID infrastructure</w:t>
            </w:r>
          </w:p>
        </w:tc>
        <w:tc>
          <w:tcPr/>
          <w:p>
            <w:pPr>
              <w:pStyle w:val="Compact"/>
              <w:jc w:val="center"/>
            </w:pPr>
            <w:r>
              <w:t xml:space="preserve">✓</w:t>
            </w:r>
          </w:p>
        </w:tc>
      </w:tr>
      <w:tr>
        <w:tc>
          <w:tcPr/>
          <w:p>
            <w:pPr>
              <w:pStyle w:val="Compact"/>
              <w:jc w:val="left"/>
            </w:pPr>
            <w:r>
              <w:t xml:space="preserve">Connected to national insurance platform</w:t>
            </w:r>
          </w:p>
        </w:tc>
        <w:tc>
          <w:tcPr/>
          <w:p>
            <w:pPr>
              <w:pStyle w:val="Compact"/>
              <w:jc w:val="center"/>
            </w:pPr>
            <w:r>
              <w:t xml:space="preserve">✓</w:t>
            </w:r>
          </w:p>
        </w:tc>
      </w:tr>
      <w:tr>
        <w:tc>
          <w:tcPr/>
          <w:p>
            <w:pPr>
              <w:pStyle w:val="Compact"/>
              <w:jc w:val="left"/>
            </w:pPr>
            <w:r>
              <w:t xml:space="preserve">Cross-sector dependencies (links to multiple sectors)</w:t>
            </w:r>
          </w:p>
        </w:tc>
        <w:tc>
          <w:tcPr/>
          <w:p>
            <w:pPr>
              <w:pStyle w:val="Compact"/>
              <w:jc w:val="center"/>
            </w:pPr>
            <w:r>
              <w:t xml:space="preserve">✓</w:t>
            </w:r>
          </w:p>
        </w:tc>
      </w:tr>
    </w:tbl>
    <w:bookmarkEnd w:id="483"/>
    <w:bookmarkEnd w:id="484"/>
    <w:bookmarkStart w:id="485" w:name="classification-result-6"/>
    <w:p>
      <w:pPr>
        <w:pStyle w:val="Heading3"/>
      </w:pPr>
      <w:r>
        <w:t xml:space="preserve">Classification Result</w:t>
      </w:r>
    </w:p>
    <w:tbl>
      <w:tblPr>
        <w:tblStyle w:val="Table"/>
        <w:tblW w:type="pct" w:w="5000"/>
        <w:tblLayout w:type="fixed"/>
        <w:tblLook w:firstRow="1" w:lastRow="0" w:firstColumn="0" w:lastColumn="0" w:noHBand="0" w:noVBand="0" w:val="0020"/>
      </w:tblPr>
      <w:tblGrid>
        <w:gridCol w:w="3065"/>
        <w:gridCol w:w="2043"/>
        <w:gridCol w:w="2810"/>
      </w:tblGrid>
      <w:tr>
        <w:trPr>
          <w:tblHeader w:val="on"/>
        </w:trPr>
        <w:tc>
          <w:tcPr/>
          <w:p>
            <w:pPr>
              <w:pStyle w:val="Compact"/>
              <w:jc w:val="left"/>
            </w:pPr>
            <w:r>
              <w:t xml:space="preserve">Assessment</w:t>
            </w:r>
          </w:p>
        </w:tc>
        <w:tc>
          <w:tcPr/>
          <w:p>
            <w:pPr>
              <w:pStyle w:val="Compact"/>
              <w:jc w:val="left"/>
            </w:pPr>
            <w:r>
              <w:t xml:space="preserve">Result</w:t>
            </w:r>
          </w:p>
        </w:tc>
        <w:tc>
          <w:tcPr/>
          <w:p>
            <w:pPr>
              <w:pStyle w:val="Compact"/>
              <w:jc w:val="left"/>
            </w:pPr>
            <w:r>
              <w:t xml:space="preserve">Rationale</w:t>
            </w:r>
          </w:p>
        </w:tc>
      </w:tr>
      <w:tr>
        <w:tc>
          <w:tcPr/>
          <w:p>
            <w:pPr>
              <w:pStyle w:val="Compact"/>
              <w:jc w:val="left"/>
            </w:pPr>
            <w:r>
              <w:rPr>
                <w:b/>
                <w:bCs/>
              </w:rPr>
              <w:t xml:space="preserve">Automatic Tier 1</w:t>
            </w:r>
          </w:p>
        </w:tc>
        <w:tc>
          <w:tcPr/>
          <w:p>
            <w:pPr>
              <w:pStyle w:val="Compact"/>
              <w:jc w:val="left"/>
            </w:pPr>
            <w:r>
              <w:t xml:space="preserve">Yes</w:t>
            </w:r>
          </w:p>
        </w:tc>
        <w:tc>
          <w:tcPr/>
          <w:p>
            <w:pPr>
              <w:pStyle w:val="Compact"/>
              <w:jc w:val="left"/>
            </w:pPr>
            <w:r>
              <w:t xml:space="preserve">Meets multiple</w:t>
            </w:r>
            <w:r>
              <w:t xml:space="preserve"> </w:t>
            </w:r>
            <w:r>
              <w:t xml:space="preserve">“regardless of size”</w:t>
            </w:r>
            <w:r>
              <w:t xml:space="preserve"> </w:t>
            </w:r>
            <w:r>
              <w:t xml:space="preserve">triggers</w:t>
            </w:r>
          </w:p>
        </w:tc>
      </w:tr>
      <w:tr>
        <w:tc>
          <w:tcPr/>
          <w:p>
            <w:pPr>
              <w:pStyle w:val="Compact"/>
              <w:jc w:val="left"/>
            </w:pPr>
            <w:r>
              <w:rPr>
                <w:b/>
                <w:bCs/>
              </w:rPr>
              <w:t xml:space="preserve">Comparable to</w:t>
            </w:r>
          </w:p>
        </w:tc>
        <w:tc>
          <w:tcPr/>
          <w:p>
            <w:pPr>
              <w:pStyle w:val="Compact"/>
              <w:jc w:val="left"/>
            </w:pPr>
            <w:r>
              <w:t xml:space="preserve">National EHR/HIE systems globally</w:t>
            </w:r>
          </w:p>
        </w:tc>
        <w:tc>
          <w:tcPr/>
          <w:p>
            <w:pPr>
              <w:pStyle w:val="Compact"/>
              <w:jc w:val="left"/>
            </w:pPr>
            <w:r>
              <w:t xml:space="preserve">Similar to Singapore NEHR, UK NHS Spine</w:t>
            </w:r>
          </w:p>
        </w:tc>
      </w:tr>
    </w:tbl>
    <w:bookmarkEnd w:id="485"/>
    <w:bookmarkStart w:id="486" w:name="X9f254a65ffd8189d8028fadc5e4237aa8fc81c8"/>
    <w:p>
      <w:pPr>
        <w:pStyle w:val="Heading3"/>
      </w:pPr>
      <w:r>
        <w:t xml:space="preserve">Applicable Obligations (Tier 1 - National System)</w:t>
      </w:r>
    </w:p>
    <w:p>
      <w:pPr>
        <w:pStyle w:val="Compact"/>
        <w:numPr>
          <w:ilvl w:val="0"/>
          <w:numId w:val="1340"/>
        </w:numPr>
      </w:pPr>
      <w:r>
        <w:rPr>
          <w:b/>
          <w:bCs/>
        </w:rPr>
        <w:t xml:space="preserve">Governance</w:t>
      </w:r>
      <w:r>
        <w:t xml:space="preserve">: Dedicated CISO + Security Operations Centre</w:t>
      </w:r>
    </w:p>
    <w:p>
      <w:pPr>
        <w:pStyle w:val="Compact"/>
        <w:numPr>
          <w:ilvl w:val="0"/>
          <w:numId w:val="1340"/>
        </w:numPr>
      </w:pPr>
      <w:r>
        <w:rPr>
          <w:b/>
          <w:bCs/>
        </w:rPr>
        <w:t xml:space="preserve">Audit</w:t>
      </w:r>
      <w:r>
        <w:t xml:space="preserve">: Continuous security monitoring; annual third-party audit; penetration testing</w:t>
      </w:r>
    </w:p>
    <w:p>
      <w:pPr>
        <w:pStyle w:val="Compact"/>
        <w:numPr>
          <w:ilvl w:val="0"/>
          <w:numId w:val="1340"/>
        </w:numPr>
      </w:pPr>
      <w:r>
        <w:rPr>
          <w:b/>
          <w:bCs/>
        </w:rPr>
        <w:t xml:space="preserve">Incident reporting</w:t>
      </w:r>
      <w:r>
        <w:t xml:space="preserve">: 12-hour early warning; 48-hour detailed notification</w:t>
      </w:r>
    </w:p>
    <w:p>
      <w:pPr>
        <w:pStyle w:val="Compact"/>
        <w:numPr>
          <w:ilvl w:val="0"/>
          <w:numId w:val="1340"/>
        </w:numPr>
      </w:pPr>
      <w:r>
        <w:rPr>
          <w:b/>
          <w:bCs/>
        </w:rPr>
        <w:t xml:space="preserve">Business continuity</w:t>
      </w:r>
      <w:r>
        <w:t xml:space="preserve">: Real-time disaster recovery; multi-region failover</w:t>
      </w:r>
    </w:p>
    <w:p>
      <w:pPr>
        <w:pStyle w:val="Compact"/>
        <w:numPr>
          <w:ilvl w:val="0"/>
          <w:numId w:val="1340"/>
        </w:numPr>
      </w:pPr>
      <w:r>
        <w:rPr>
          <w:b/>
          <w:bCs/>
        </w:rPr>
        <w:t xml:space="preserve">Supply chain</w:t>
      </w:r>
      <w:r>
        <w:t xml:space="preserve">: Rigorous vendor security assessment; cloud security requirements</w:t>
      </w:r>
    </w:p>
    <w:p>
      <w:pPr>
        <w:pStyle w:val="Compact"/>
        <w:numPr>
          <w:ilvl w:val="0"/>
          <w:numId w:val="1340"/>
        </w:numPr>
      </w:pPr>
      <w:r>
        <w:rPr>
          <w:b/>
          <w:bCs/>
        </w:rPr>
        <w:t xml:space="preserve">Regulatory</w:t>
      </w:r>
      <w:r>
        <w:t xml:space="preserve">: Direct reporting to national cyber authority</w:t>
      </w:r>
    </w:p>
    <w:p>
      <w:pPr>
        <w:pStyle w:val="Compact"/>
        <w:numPr>
          <w:ilvl w:val="0"/>
          <w:numId w:val="1340"/>
        </w:numPr>
      </w:pPr>
      <w:r>
        <w:rPr>
          <w:b/>
          <w:bCs/>
        </w:rPr>
        <w:t xml:space="preserve">Exercises</w:t>
      </w:r>
      <w:r>
        <w:t xml:space="preserve">: Mandatory participation in national/sectoral cyber drills</w:t>
      </w:r>
    </w:p>
    <w:p>
      <w:r>
        <w:pict>
          <v:rect style="width:0;height:1.5pt" o:hralign="center" o:hrstd="t" o:hr="t"/>
        </w:pict>
      </w:r>
    </w:p>
    <w:bookmarkEnd w:id="486"/>
    <w:bookmarkEnd w:id="487"/>
    <w:bookmarkStart w:id="494" w:name="Xb1d8e588502bce83b57be39ee9b635cfa4affb2"/>
    <w:p>
      <w:pPr>
        <w:pStyle w:val="Heading2"/>
      </w:pPr>
      <w:r>
        <w:t xml:space="preserve">Case Study 2: Personal Health Record Platform -</w:t>
      </w:r>
      <w:r>
        <w:t xml:space="preserve"> </w:t>
      </w:r>
      <w:r>
        <w:t xml:space="preserve">“MyHealthVault”</w:t>
      </w:r>
    </w:p>
    <w:bookmarkStart w:id="488" w:name="entity-profile-7"/>
    <w:p>
      <w:pPr>
        <w:pStyle w:val="Heading3"/>
      </w:pPr>
      <w:r>
        <w:t xml:space="preserve">Entity Profile</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jc w:val="left"/>
            </w:pPr>
            <w:r>
              <w:t xml:space="preserve">Attribute</w:t>
            </w:r>
          </w:p>
        </w:tc>
        <w:tc>
          <w:tcPr/>
          <w:p>
            <w:pPr>
              <w:pStyle w:val="Compact"/>
              <w:jc w:val="left"/>
            </w:pPr>
            <w:r>
              <w:t xml:space="preserve">Details</w:t>
            </w:r>
          </w:p>
        </w:tc>
      </w:tr>
      <w:tr>
        <w:tc>
          <w:tcPr/>
          <w:p>
            <w:pPr>
              <w:pStyle w:val="Compact"/>
              <w:jc w:val="left"/>
            </w:pPr>
            <w:r>
              <w:rPr>
                <w:b/>
                <w:bCs/>
              </w:rPr>
              <w:t xml:space="preserve">Name</w:t>
            </w:r>
          </w:p>
        </w:tc>
        <w:tc>
          <w:tcPr/>
          <w:p>
            <w:pPr>
              <w:pStyle w:val="Compact"/>
              <w:jc w:val="left"/>
            </w:pPr>
            <w:r>
              <w:t xml:space="preserve">MyHealthVault</w:t>
            </w:r>
          </w:p>
        </w:tc>
      </w:tr>
      <w:tr>
        <w:tc>
          <w:tcPr/>
          <w:p>
            <w:pPr>
              <w:pStyle w:val="Compact"/>
              <w:jc w:val="left"/>
            </w:pPr>
            <w:r>
              <w:rPr>
                <w:b/>
                <w:bCs/>
              </w:rPr>
              <w:t xml:space="preserve">Type</w:t>
            </w:r>
          </w:p>
        </w:tc>
        <w:tc>
          <w:tcPr/>
          <w:p>
            <w:pPr>
              <w:pStyle w:val="Compact"/>
              <w:jc w:val="left"/>
            </w:pPr>
            <w:r>
              <w:t xml:space="preserve">Private consumer PHR/health data aggregation platform</w:t>
            </w:r>
          </w:p>
        </w:tc>
      </w:tr>
      <w:tr>
        <w:tc>
          <w:tcPr/>
          <w:p>
            <w:pPr>
              <w:pStyle w:val="Compact"/>
              <w:jc w:val="left"/>
            </w:pPr>
            <w:r>
              <w:rPr>
                <w:b/>
                <w:bCs/>
              </w:rPr>
              <w:t xml:space="preserve">Users</w:t>
            </w:r>
          </w:p>
        </w:tc>
        <w:tc>
          <w:tcPr/>
          <w:p>
            <w:pPr>
              <w:pStyle w:val="Compact"/>
              <w:jc w:val="left"/>
            </w:pPr>
            <w:r>
              <w:t xml:space="preserve">25 million registered users</w:t>
            </w:r>
          </w:p>
        </w:tc>
      </w:tr>
      <w:tr>
        <w:tc>
          <w:tcPr/>
          <w:p>
            <w:pPr>
              <w:pStyle w:val="Compact"/>
              <w:jc w:val="left"/>
            </w:pPr>
            <w:r>
              <w:rPr>
                <w:b/>
                <w:bCs/>
              </w:rPr>
              <w:t xml:space="preserve">Data aggregated</w:t>
            </w:r>
          </w:p>
        </w:tc>
        <w:tc>
          <w:tcPr/>
          <w:p>
            <w:pPr>
              <w:pStyle w:val="Compact"/>
              <w:jc w:val="left"/>
            </w:pPr>
            <w:r>
              <w:t xml:space="preserve">Lab reports, prescriptions, hospital records, wearable data</w:t>
            </w:r>
          </w:p>
        </w:tc>
      </w:tr>
      <w:tr>
        <w:tc>
          <w:tcPr/>
          <w:p>
            <w:pPr>
              <w:pStyle w:val="Compact"/>
              <w:jc w:val="left"/>
            </w:pPr>
            <w:r>
              <w:rPr>
                <w:b/>
                <w:bCs/>
              </w:rPr>
              <w:t xml:space="preserve">Integrations</w:t>
            </w:r>
          </w:p>
        </w:tc>
        <w:tc>
          <w:tcPr/>
          <w:p>
            <w:pPr>
              <w:pStyle w:val="Compact"/>
              <w:jc w:val="left"/>
            </w:pPr>
            <w:r>
              <w:t xml:space="preserve">Connected to 5,000+ labs, 2,000+ hospitals, 15 insurance companies</w:t>
            </w:r>
          </w:p>
        </w:tc>
      </w:tr>
      <w:tr>
        <w:tc>
          <w:tcPr/>
          <w:p>
            <w:pPr>
              <w:pStyle w:val="Compact"/>
              <w:jc w:val="left"/>
            </w:pPr>
            <w:r>
              <w:rPr>
                <w:b/>
                <w:bCs/>
              </w:rPr>
              <w:t xml:space="preserve">Employees</w:t>
            </w:r>
          </w:p>
        </w:tc>
        <w:tc>
          <w:tcPr/>
          <w:p>
            <w:pPr>
              <w:pStyle w:val="Compact"/>
              <w:jc w:val="left"/>
            </w:pPr>
            <w:r>
              <w:t xml:space="preserve">350</w:t>
            </w:r>
          </w:p>
        </w:tc>
      </w:tr>
      <w:tr>
        <w:tc>
          <w:tcPr/>
          <w:p>
            <w:pPr>
              <w:pStyle w:val="Compact"/>
              <w:jc w:val="left"/>
            </w:pPr>
            <w:r>
              <w:rPr>
                <w:b/>
                <w:bCs/>
              </w:rPr>
              <w:t xml:space="preserve">Revenue model</w:t>
            </w:r>
          </w:p>
        </w:tc>
        <w:tc>
          <w:tcPr/>
          <w:p>
            <w:pPr>
              <w:pStyle w:val="Compact"/>
              <w:jc w:val="left"/>
            </w:pPr>
            <w:r>
              <w:t xml:space="preserve">Freemium + B2B data analytics (anonymized)</w:t>
            </w:r>
          </w:p>
        </w:tc>
      </w:tr>
      <w:tr>
        <w:tc>
          <w:tcPr/>
          <w:p>
            <w:pPr>
              <w:pStyle w:val="Compact"/>
              <w:jc w:val="left"/>
            </w:pPr>
            <w:r>
              <w:rPr>
                <w:b/>
                <w:bCs/>
              </w:rPr>
              <w:t xml:space="preserve">Infrastructure</w:t>
            </w:r>
          </w:p>
        </w:tc>
        <w:tc>
          <w:tcPr/>
          <w:p>
            <w:pPr>
              <w:pStyle w:val="Compact"/>
              <w:jc w:val="left"/>
            </w:pPr>
            <w:r>
              <w:t xml:space="preserve">Multi-cloud (public cloud providers)</w:t>
            </w:r>
          </w:p>
        </w:tc>
      </w:tr>
      <w:tr>
        <w:tc>
          <w:tcPr/>
          <w:p>
            <w:pPr>
              <w:pStyle w:val="Compact"/>
              <w:jc w:val="left"/>
            </w:pPr>
            <w:r>
              <w:rPr>
                <w:b/>
                <w:bCs/>
              </w:rPr>
              <w:t xml:space="preserve">Special consideration</w:t>
            </w:r>
          </w:p>
        </w:tc>
        <w:tc>
          <w:tcPr/>
          <w:p>
            <w:pPr>
              <w:pStyle w:val="Compact"/>
              <w:jc w:val="left"/>
            </w:pPr>
            <w:r>
              <w:t xml:space="preserve">Aggregates data from multiple sources; consent-based sharing</w:t>
            </w:r>
          </w:p>
        </w:tc>
      </w:tr>
    </w:tbl>
    <w:bookmarkEnd w:id="488"/>
    <w:bookmarkStart w:id="491" w:name="cii-classification-assessment-7"/>
    <w:p>
      <w:pPr>
        <w:pStyle w:val="Heading3"/>
      </w:pPr>
      <w:r>
        <w:t xml:space="preserve">CII Classification Assessment</w:t>
      </w:r>
    </w:p>
    <w:bookmarkStart w:id="489" w:name="key-risk-factors"/>
    <w:p>
      <w:pPr>
        <w:pStyle w:val="Heading4"/>
      </w:pPr>
      <w:r>
        <w:t xml:space="preserve">Key Risk Factors</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jc w:val="left"/>
            </w:pPr>
            <w:r>
              <w:t xml:space="preserve">Factor</w:t>
            </w:r>
          </w:p>
        </w:tc>
        <w:tc>
          <w:tcPr/>
          <w:p>
            <w:pPr>
              <w:pStyle w:val="Compact"/>
              <w:jc w:val="left"/>
            </w:pPr>
            <w:r>
              <w:t xml:space="preserve">Assessment</w:t>
            </w:r>
          </w:p>
        </w:tc>
      </w:tr>
      <w:tr>
        <w:tc>
          <w:tcPr/>
          <w:p>
            <w:pPr>
              <w:pStyle w:val="Compact"/>
              <w:jc w:val="left"/>
            </w:pPr>
            <w:r>
              <w:rPr>
                <w:b/>
                <w:bCs/>
              </w:rPr>
              <w:t xml:space="preserve">Data volume</w:t>
            </w:r>
          </w:p>
        </w:tc>
        <w:tc>
          <w:tcPr/>
          <w:p>
            <w:pPr>
              <w:pStyle w:val="Compact"/>
              <w:jc w:val="left"/>
            </w:pPr>
            <w:r>
              <w:t xml:space="preserve">25M users × multiple records = billions of health data points</w:t>
            </w:r>
          </w:p>
        </w:tc>
      </w:tr>
      <w:tr>
        <w:tc>
          <w:tcPr/>
          <w:p>
            <w:pPr>
              <w:pStyle w:val="Compact"/>
              <w:jc w:val="left"/>
            </w:pPr>
            <w:r>
              <w:rPr>
                <w:b/>
                <w:bCs/>
              </w:rPr>
              <w:t xml:space="preserve">Data sensitivity</w:t>
            </w:r>
          </w:p>
        </w:tc>
        <w:tc>
          <w:tcPr/>
          <w:p>
            <w:pPr>
              <w:pStyle w:val="Compact"/>
              <w:jc w:val="left"/>
            </w:pPr>
            <w:r>
              <w:t xml:space="preserve">Complete longitudinal health records; genetic data for some users</w:t>
            </w:r>
          </w:p>
        </w:tc>
      </w:tr>
      <w:tr>
        <w:tc>
          <w:tcPr/>
          <w:p>
            <w:pPr>
              <w:pStyle w:val="Compact"/>
              <w:jc w:val="left"/>
            </w:pPr>
            <w:r>
              <w:rPr>
                <w:b/>
                <w:bCs/>
              </w:rPr>
              <w:t xml:space="preserve">Aggregation risk</w:t>
            </w:r>
          </w:p>
        </w:tc>
        <w:tc>
          <w:tcPr/>
          <w:p>
            <w:pPr>
              <w:pStyle w:val="Compact"/>
              <w:jc w:val="left"/>
            </w:pPr>
            <w:r>
              <w:t xml:space="preserve">Single breach exposes data from multiple source institutions</w:t>
            </w:r>
          </w:p>
        </w:tc>
      </w:tr>
      <w:tr>
        <w:tc>
          <w:tcPr/>
          <w:p>
            <w:pPr>
              <w:pStyle w:val="Compact"/>
              <w:jc w:val="left"/>
            </w:pPr>
            <w:r>
              <w:rPr>
                <w:b/>
                <w:bCs/>
              </w:rPr>
              <w:t xml:space="preserve">Third-party dependencies</w:t>
            </w:r>
          </w:p>
        </w:tc>
        <w:tc>
          <w:tcPr/>
          <w:p>
            <w:pPr>
              <w:pStyle w:val="Compact"/>
              <w:jc w:val="left"/>
            </w:pPr>
            <w:r>
              <w:t xml:space="preserve">Uses third-party APIs, cloud infrastructure, AI/ML partners</w:t>
            </w:r>
          </w:p>
        </w:tc>
      </w:tr>
      <w:tr>
        <w:tc>
          <w:tcPr/>
          <w:p>
            <w:pPr>
              <w:pStyle w:val="Compact"/>
              <w:jc w:val="left"/>
            </w:pPr>
            <w:r>
              <w:rPr>
                <w:b/>
                <w:bCs/>
              </w:rPr>
              <w:t xml:space="preserve">Cross-border considerations</w:t>
            </w:r>
          </w:p>
        </w:tc>
        <w:tc>
          <w:tcPr/>
          <w:p>
            <w:pPr>
              <w:pStyle w:val="Compact"/>
              <w:jc w:val="left"/>
            </w:pPr>
            <w:r>
              <w:t xml:space="preserve">Some data processing in foreign jurisdictions</w:t>
            </w:r>
          </w:p>
        </w:tc>
      </w:tr>
    </w:tbl>
    <w:bookmarkEnd w:id="489"/>
    <w:bookmarkStart w:id="490" w:name="scoring-developing-country-framework-3"/>
    <w:p>
      <w:pPr>
        <w:pStyle w:val="Heading4"/>
      </w:pPr>
      <w:r>
        <w:t xml:space="preserve">Scoring (Developing Country Framework)</w:t>
      </w:r>
    </w:p>
    <w:tbl>
      <w:tblPr>
        <w:tblStyle w:val="Table"/>
        <w:tblW w:type="pct" w:w="5000"/>
        <w:tblLayout w:type="fixed"/>
        <w:tblLook w:firstRow="1" w:lastRow="0" w:firstColumn="0" w:lastColumn="0" w:noHBand="0" w:noVBand="0" w:val="0020"/>
      </w:tblPr>
      <w:tblGrid>
        <w:gridCol w:w="1863"/>
        <w:gridCol w:w="2562"/>
        <w:gridCol w:w="3494"/>
      </w:tblGrid>
      <w:tr>
        <w:trPr>
          <w:tblHeader w:val="on"/>
        </w:trPr>
        <w:tc>
          <w:tcPr/>
          <w:p>
            <w:pPr>
              <w:pStyle w:val="Compact"/>
              <w:jc w:val="left"/>
            </w:pPr>
            <w:r>
              <w:t xml:space="preserve">Domain</w:t>
            </w:r>
          </w:p>
        </w:tc>
        <w:tc>
          <w:tcPr/>
          <w:p>
            <w:pPr>
              <w:pStyle w:val="Compact"/>
              <w:jc w:val="left"/>
            </w:pPr>
            <w:r>
              <w:t xml:space="preserve">Criterion</w:t>
            </w:r>
          </w:p>
        </w:tc>
        <w:tc>
          <w:tcPr/>
          <w:p>
            <w:pPr>
              <w:pStyle w:val="Compact"/>
              <w:jc w:val="center"/>
            </w:pPr>
            <w:r>
              <w:t xml:space="preserve">Points Scored</w:t>
            </w:r>
          </w:p>
        </w:tc>
      </w:tr>
      <w:tr>
        <w:tc>
          <w:tcPr/>
          <w:p>
            <w:pPr>
              <w:pStyle w:val="Compact"/>
              <w:jc w:val="left"/>
            </w:pPr>
            <w:r>
              <w:rPr>
                <w:b/>
                <w:bCs/>
              </w:rPr>
              <w:t xml:space="preserve">A. Scale</w:t>
            </w:r>
          </w:p>
        </w:tc>
        <w:tc>
          <w:tcPr/>
          <w:p>
            <w:pPr>
              <w:pStyle w:val="Compact"/>
              <w:jc w:val="left"/>
            </w:pPr>
            <w:r>
              <w:t xml:space="preserve">25M users (not case-based, but data scale)</w:t>
            </w:r>
          </w:p>
        </w:tc>
        <w:tc>
          <w:tcPr/>
          <w:p>
            <w:pPr>
              <w:pStyle w:val="Compact"/>
              <w:jc w:val="center"/>
            </w:pPr>
            <w:r>
              <w:t xml:space="preserve">25</w:t>
            </w:r>
          </w:p>
        </w:tc>
      </w:tr>
      <w:tr>
        <w:tc>
          <w:tcPr/>
          <w:p>
            <w:pPr>
              <w:pStyle w:val="Compact"/>
              <w:jc w:val="left"/>
            </w:pPr>
            <w:r>
              <w:rPr>
                <w:b/>
                <w:bCs/>
              </w:rPr>
              <w:t xml:space="preserve">B. Data Aggregation Risk</w:t>
            </w:r>
          </w:p>
        </w:tc>
        <w:tc>
          <w:tcPr/>
          <w:p>
            <w:pPr>
              <w:pStyle w:val="Compact"/>
              <w:jc w:val="left"/>
            </w:pPr>
            <w:r>
              <w:t xml:space="preserve">Centralized aggregation of distributed health data</w:t>
            </w:r>
          </w:p>
        </w:tc>
        <w:tc>
          <w:tcPr/>
          <w:p>
            <w:pPr>
              <w:pStyle w:val="Compact"/>
              <w:jc w:val="center"/>
            </w:pPr>
            <w:r>
              <w:t xml:space="preserve">20</w:t>
            </w:r>
          </w:p>
        </w:tc>
      </w:tr>
      <w:tr>
        <w:tc>
          <w:tcPr/>
          <w:p>
            <w:pPr>
              <w:pStyle w:val="Compact"/>
              <w:jc w:val="left"/>
            </w:pPr>
            <w:r>
              <w:rPr>
                <w:b/>
                <w:bCs/>
              </w:rPr>
              <w:t xml:space="preserve">C. Health System Integration</w:t>
            </w:r>
          </w:p>
        </w:tc>
        <w:tc>
          <w:tcPr/>
          <w:p>
            <w:pPr>
              <w:pStyle w:val="Compact"/>
              <w:jc w:val="left"/>
            </w:pPr>
            <w:r>
              <w:t xml:space="preserve">Connected to hospitals, labs, insurance</w:t>
            </w:r>
          </w:p>
        </w:tc>
        <w:tc>
          <w:tcPr/>
          <w:p>
            <w:pPr>
              <w:pStyle w:val="Compact"/>
              <w:jc w:val="center"/>
            </w:pPr>
            <w:r>
              <w:t xml:space="preserve">15</w:t>
            </w:r>
          </w:p>
        </w:tc>
      </w:tr>
      <w:tr>
        <w:tc>
          <w:tcPr/>
          <w:p>
            <w:pPr>
              <w:pStyle w:val="Compact"/>
              <w:jc w:val="left"/>
            </w:pPr>
            <w:r>
              <w:rPr>
                <w:b/>
                <w:bCs/>
              </w:rPr>
              <w:t xml:space="preserve">D. Consumer Dependency</w:t>
            </w:r>
          </w:p>
        </w:tc>
        <w:tc>
          <w:tcPr/>
          <w:p>
            <w:pPr>
              <w:pStyle w:val="Compact"/>
              <w:jc w:val="left"/>
            </w:pPr>
            <w:r>
              <w:t xml:space="preserve">Users rely on platform for health record access</w:t>
            </w:r>
          </w:p>
        </w:tc>
        <w:tc>
          <w:tcPr/>
          <w:p>
            <w:pPr>
              <w:pStyle w:val="Compact"/>
              <w:jc w:val="center"/>
            </w:pPr>
            <w:r>
              <w:t xml:space="preserve">10</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70</w:t>
            </w:r>
          </w:p>
        </w:tc>
      </w:tr>
    </w:tbl>
    <w:bookmarkEnd w:id="490"/>
    <w:bookmarkEnd w:id="491"/>
    <w:bookmarkStart w:id="492" w:name="classification-result-7"/>
    <w:p>
      <w:pPr>
        <w:pStyle w:val="Heading3"/>
      </w:pPr>
      <w:r>
        <w:t xml:space="preserve">Classification Result</w:t>
      </w:r>
    </w:p>
    <w:tbl>
      <w:tblPr>
        <w:tblStyle w:val="Table"/>
        <w:tblW w:type="pct" w:w="5000"/>
        <w:tblLayout w:type="fixed"/>
        <w:tblLook w:firstRow="1" w:lastRow="0" w:firstColumn="0" w:lastColumn="0" w:noHBand="0" w:noVBand="0" w:val="0020"/>
      </w:tblPr>
      <w:tblGrid>
        <w:gridCol w:w="2489"/>
        <w:gridCol w:w="1584"/>
        <w:gridCol w:w="1357"/>
        <w:gridCol w:w="2489"/>
      </w:tblGrid>
      <w:tr>
        <w:trPr>
          <w:tblHeader w:val="on"/>
        </w:trPr>
        <w:tc>
          <w:tcPr/>
          <w:p>
            <w:pPr>
              <w:pStyle w:val="Compact"/>
              <w:jc w:val="left"/>
            </w:pPr>
            <w:r>
              <w:t xml:space="preserve">Framework</w:t>
            </w:r>
          </w:p>
        </w:tc>
        <w:tc>
          <w:tcPr/>
          <w:p>
            <w:pPr>
              <w:pStyle w:val="Compact"/>
              <w:jc w:val="left"/>
            </w:pPr>
            <w:r>
              <w:t xml:space="preserve">Score</w:t>
            </w:r>
          </w:p>
        </w:tc>
        <w:tc>
          <w:tcPr/>
          <w:p>
            <w:pPr>
              <w:pStyle w:val="Compact"/>
              <w:jc w:val="left"/>
            </w:pPr>
            <w:r>
              <w:t xml:space="preserve">Tier</w:t>
            </w:r>
          </w:p>
        </w:tc>
        <w:tc>
          <w:tcPr/>
          <w:p>
            <w:pPr>
              <w:pStyle w:val="Compact"/>
              <w:jc w:val="left"/>
            </w:pPr>
            <w:r>
              <w:t xml:space="preserve">Rationale</w:t>
            </w:r>
          </w:p>
        </w:tc>
      </w:tr>
      <w:tr>
        <w:tc>
          <w:tcPr/>
          <w:p>
            <w:pPr>
              <w:pStyle w:val="Compact"/>
              <w:jc w:val="left"/>
            </w:pPr>
            <w:r>
              <w:rPr>
                <w:b/>
                <w:bCs/>
              </w:rPr>
              <w:t xml:space="preserve">Developing Country</w:t>
            </w:r>
          </w:p>
        </w:tc>
        <w:tc>
          <w:tcPr/>
          <w:p>
            <w:pPr>
              <w:pStyle w:val="Compact"/>
              <w:jc w:val="left"/>
            </w:pPr>
            <w:r>
              <w:t xml:space="preserve">70</w:t>
            </w:r>
          </w:p>
        </w:tc>
        <w:tc>
          <w:tcPr/>
          <w:p>
            <w:pPr>
              <w:pStyle w:val="Compact"/>
              <w:jc w:val="left"/>
            </w:pPr>
            <w:r>
              <w:rPr>
                <w:b/>
                <w:bCs/>
              </w:rPr>
              <w:t xml:space="preserve">Tier 1 (Essential)</w:t>
            </w:r>
          </w:p>
        </w:tc>
        <w:tc>
          <w:tcPr/>
          <w:p>
            <w:pPr>
              <w:pStyle w:val="Compact"/>
              <w:jc w:val="left"/>
            </w:pPr>
            <w:r>
              <w:t xml:space="preserve">Scale of data aggregation; integration with health ecosystem</w:t>
            </w:r>
          </w:p>
        </w:tc>
      </w:tr>
    </w:tbl>
    <w:p>
      <w:pPr>
        <w:pStyle w:val="BlockText"/>
      </w:pPr>
      <w:r>
        <w:t xml:space="preserve">[!WARNING]</w:t>
      </w:r>
      <w:r>
        <w:t xml:space="preserve"> </w:t>
      </w:r>
      <w:r>
        <w:t xml:space="preserve">PHR platforms present</w:t>
      </w:r>
      <w:r>
        <w:t xml:space="preserve"> </w:t>
      </w:r>
      <w:r>
        <w:rPr>
          <w:b/>
          <w:bCs/>
        </w:rPr>
        <w:t xml:space="preserve">unique aggregation risks</w:t>
      </w:r>
      <w:r>
        <w:t xml:space="preserve"> </w:t>
      </w:r>
      <w:r>
        <w:t xml:space="preserve">not captured by traditional facility-based metrics. A breach affects data originally held by thousands of source institutions. This case demonstrates why</w:t>
      </w:r>
      <w:r>
        <w:t xml:space="preserve"> </w:t>
      </w:r>
      <w:r>
        <w:rPr>
          <w:b/>
          <w:bCs/>
        </w:rPr>
        <w:t xml:space="preserve">data volume and aggregation</w:t>
      </w:r>
      <w:r>
        <w:t xml:space="preserve"> </w:t>
      </w:r>
      <w:r>
        <w:t xml:space="preserve">should be explicit scoring factors.</w:t>
      </w:r>
    </w:p>
    <w:bookmarkEnd w:id="492"/>
    <w:bookmarkStart w:id="493" w:name="applicable-obligations-4"/>
    <w:p>
      <w:pPr>
        <w:pStyle w:val="Heading3"/>
      </w:pPr>
      <w:r>
        <w:t xml:space="preserve">Applicable Obligations</w:t>
      </w:r>
    </w:p>
    <w:p>
      <w:pPr>
        <w:pStyle w:val="Compact"/>
        <w:numPr>
          <w:ilvl w:val="0"/>
          <w:numId w:val="1341"/>
        </w:numPr>
      </w:pPr>
      <w:r>
        <w:t xml:space="preserve">Dedicated CISO and DPO (Data Protection Officer)</w:t>
      </w:r>
    </w:p>
    <w:p>
      <w:pPr>
        <w:pStyle w:val="Compact"/>
        <w:numPr>
          <w:ilvl w:val="0"/>
          <w:numId w:val="1341"/>
        </w:numPr>
      </w:pPr>
      <w:r>
        <w:t xml:space="preserve">Annual third-party security audit + penetration testing</w:t>
      </w:r>
    </w:p>
    <w:p>
      <w:pPr>
        <w:pStyle w:val="Compact"/>
        <w:numPr>
          <w:ilvl w:val="0"/>
          <w:numId w:val="1341"/>
        </w:numPr>
      </w:pPr>
      <w:r>
        <w:t xml:space="preserve">24-hour incident reporting for data breaches</w:t>
      </w:r>
    </w:p>
    <w:p>
      <w:pPr>
        <w:pStyle w:val="Compact"/>
        <w:numPr>
          <w:ilvl w:val="0"/>
          <w:numId w:val="1341"/>
        </w:numPr>
      </w:pPr>
      <w:r>
        <w:t xml:space="preserve">Consent management system audit</w:t>
      </w:r>
    </w:p>
    <w:p>
      <w:pPr>
        <w:pStyle w:val="Compact"/>
        <w:numPr>
          <w:ilvl w:val="0"/>
          <w:numId w:val="1341"/>
        </w:numPr>
      </w:pPr>
      <w:r>
        <w:t xml:space="preserve">Cloud vendor security assessment</w:t>
      </w:r>
    </w:p>
    <w:p>
      <w:pPr>
        <w:pStyle w:val="Compact"/>
        <w:numPr>
          <w:ilvl w:val="0"/>
          <w:numId w:val="1341"/>
        </w:numPr>
      </w:pPr>
      <w:r>
        <w:t xml:space="preserve">Cross-border data transfer compliance</w:t>
      </w:r>
    </w:p>
    <w:p>
      <w:pPr>
        <w:pStyle w:val="Compact"/>
        <w:numPr>
          <w:ilvl w:val="0"/>
          <w:numId w:val="1341"/>
        </w:numPr>
      </w:pPr>
      <w:r>
        <w:t xml:space="preserve">User notification protocols for breaches</w:t>
      </w:r>
    </w:p>
    <w:p>
      <w:r>
        <w:pict>
          <v:rect style="width:0;height:1.5pt" o:hralign="center" o:hrstd="t" o:hr="t"/>
        </w:pict>
      </w:r>
    </w:p>
    <w:bookmarkEnd w:id="493"/>
    <w:bookmarkEnd w:id="494"/>
    <w:bookmarkStart w:id="501" w:name="X1544b65c97f534ef7199da9f6cd378132e917c3"/>
    <w:p>
      <w:pPr>
        <w:pStyle w:val="Heading2"/>
      </w:pPr>
      <w:r>
        <w:t xml:space="preserve">Case Study 3: State HMIS Platform -</w:t>
      </w:r>
      <w:r>
        <w:t xml:space="preserve"> </w:t>
      </w:r>
      <w:r>
        <w:t xml:space="preserve">“SwasthyaMitra”</w:t>
      </w:r>
    </w:p>
    <w:bookmarkStart w:id="495" w:name="entity-profile-8"/>
    <w:p>
      <w:pPr>
        <w:pStyle w:val="Heading3"/>
      </w:pPr>
      <w:r>
        <w:t xml:space="preserve">Entity Profile</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jc w:val="left"/>
            </w:pPr>
            <w:r>
              <w:t xml:space="preserve">Attribute</w:t>
            </w:r>
          </w:p>
        </w:tc>
        <w:tc>
          <w:tcPr/>
          <w:p>
            <w:pPr>
              <w:pStyle w:val="Compact"/>
              <w:jc w:val="left"/>
            </w:pPr>
            <w:r>
              <w:t xml:space="preserve">Details</w:t>
            </w:r>
          </w:p>
        </w:tc>
      </w:tr>
      <w:tr>
        <w:tc>
          <w:tcPr/>
          <w:p>
            <w:pPr>
              <w:pStyle w:val="Compact"/>
              <w:jc w:val="left"/>
            </w:pPr>
            <w:r>
              <w:rPr>
                <w:b/>
                <w:bCs/>
              </w:rPr>
              <w:t xml:space="preserve">Name</w:t>
            </w:r>
          </w:p>
        </w:tc>
        <w:tc>
          <w:tcPr/>
          <w:p>
            <w:pPr>
              <w:pStyle w:val="Compact"/>
              <w:jc w:val="left"/>
            </w:pPr>
            <w:r>
              <w:t xml:space="preserve">SwasthyaMitra State HMIS Platform</w:t>
            </w:r>
          </w:p>
        </w:tc>
      </w:tr>
      <w:tr>
        <w:tc>
          <w:tcPr/>
          <w:p>
            <w:pPr>
              <w:pStyle w:val="Compact"/>
              <w:jc w:val="left"/>
            </w:pPr>
            <w:r>
              <w:rPr>
                <w:b/>
                <w:bCs/>
              </w:rPr>
              <w:t xml:space="preserve">Type</w:t>
            </w:r>
          </w:p>
        </w:tc>
        <w:tc>
          <w:tcPr/>
          <w:p>
            <w:pPr>
              <w:pStyle w:val="Compact"/>
              <w:jc w:val="left"/>
            </w:pPr>
            <w:r>
              <w:t xml:space="preserve">Hospital Management Information System serving state government hospitals</w:t>
            </w:r>
          </w:p>
        </w:tc>
      </w:tr>
      <w:tr>
        <w:tc>
          <w:tcPr/>
          <w:p>
            <w:pPr>
              <w:pStyle w:val="Compact"/>
              <w:jc w:val="left"/>
            </w:pPr>
            <w:r>
              <w:rPr>
                <w:b/>
                <w:bCs/>
              </w:rPr>
              <w:t xml:space="preserve">Operator</w:t>
            </w:r>
          </w:p>
        </w:tc>
        <w:tc>
          <w:tcPr/>
          <w:p>
            <w:pPr>
              <w:pStyle w:val="Compact"/>
              <w:jc w:val="left"/>
            </w:pPr>
            <w:r>
              <w:t xml:space="preserve">State Health Department (via NIC/state IT agency)</w:t>
            </w:r>
          </w:p>
        </w:tc>
      </w:tr>
      <w:tr>
        <w:tc>
          <w:tcPr/>
          <w:p>
            <w:pPr>
              <w:pStyle w:val="Compact"/>
              <w:jc w:val="left"/>
            </w:pPr>
            <w:r>
              <w:rPr>
                <w:b/>
                <w:bCs/>
              </w:rPr>
              <w:t xml:space="preserve">Coverage</w:t>
            </w:r>
          </w:p>
        </w:tc>
        <w:tc>
          <w:tcPr/>
          <w:p>
            <w:pPr>
              <w:pStyle w:val="Compact"/>
              <w:jc w:val="left"/>
            </w:pPr>
            <w:r>
              <w:t xml:space="preserve">500+ district hospitals, sub-district hospitals, and CHCs across the state</w:t>
            </w:r>
          </w:p>
        </w:tc>
      </w:tr>
      <w:tr>
        <w:tc>
          <w:tcPr/>
          <w:p>
            <w:pPr>
              <w:pStyle w:val="Compact"/>
              <w:jc w:val="left"/>
            </w:pPr>
            <w:r>
              <w:rPr>
                <w:b/>
                <w:bCs/>
              </w:rPr>
              <w:t xml:space="preserve">Users</w:t>
            </w:r>
          </w:p>
        </w:tc>
        <w:tc>
          <w:tcPr/>
          <w:p>
            <w:pPr>
              <w:pStyle w:val="Compact"/>
              <w:jc w:val="left"/>
            </w:pPr>
            <w:r>
              <w:t xml:space="preserve">45,000 healthcare workers; 800 facility administrators</w:t>
            </w:r>
          </w:p>
        </w:tc>
      </w:tr>
      <w:tr>
        <w:tc>
          <w:tcPr/>
          <w:p>
            <w:pPr>
              <w:pStyle w:val="Compact"/>
              <w:jc w:val="left"/>
            </w:pPr>
            <w:r>
              <w:rPr>
                <w:b/>
                <w:bCs/>
              </w:rPr>
              <w:t xml:space="preserve">Functions</w:t>
            </w:r>
          </w:p>
        </w:tc>
        <w:tc>
          <w:tcPr/>
          <w:p>
            <w:pPr>
              <w:pStyle w:val="Compact"/>
              <w:jc w:val="left"/>
            </w:pPr>
            <w:r>
              <w:t xml:space="preserve">Patient registration, OPD/IPD management, lab, pharmacy, billing, HMIS reporting</w:t>
            </w:r>
          </w:p>
        </w:tc>
      </w:tr>
      <w:tr>
        <w:tc>
          <w:tcPr/>
          <w:p>
            <w:pPr>
              <w:pStyle w:val="Compact"/>
              <w:jc w:val="left"/>
            </w:pPr>
            <w:r>
              <w:rPr>
                <w:b/>
                <w:bCs/>
              </w:rPr>
              <w:t xml:space="preserve">Data volume</w:t>
            </w:r>
          </w:p>
        </w:tc>
        <w:tc>
          <w:tcPr/>
          <w:p>
            <w:pPr>
              <w:pStyle w:val="Compact"/>
              <w:jc w:val="left"/>
            </w:pPr>
            <w:r>
              <w:t xml:space="preserve">15 million patient records; 50 million annual transactions</w:t>
            </w:r>
          </w:p>
        </w:tc>
      </w:tr>
      <w:tr>
        <w:tc>
          <w:tcPr/>
          <w:p>
            <w:pPr>
              <w:pStyle w:val="Compact"/>
              <w:jc w:val="left"/>
            </w:pPr>
            <w:r>
              <w:rPr>
                <w:b/>
                <w:bCs/>
              </w:rPr>
              <w:t xml:space="preserve">Infrastructure</w:t>
            </w:r>
          </w:p>
        </w:tc>
        <w:tc>
          <w:tcPr/>
          <w:p>
            <w:pPr>
              <w:pStyle w:val="Compact"/>
              <w:jc w:val="left"/>
            </w:pPr>
            <w:r>
              <w:t xml:space="preserve">State Data Center; hybrid cloud backup</w:t>
            </w:r>
          </w:p>
        </w:tc>
      </w:tr>
      <w:tr>
        <w:tc>
          <w:tcPr/>
          <w:p>
            <w:pPr>
              <w:pStyle w:val="Compact"/>
              <w:jc w:val="left"/>
            </w:pPr>
            <w:r>
              <w:rPr>
                <w:b/>
                <w:bCs/>
              </w:rPr>
              <w:t xml:space="preserve">Integrations</w:t>
            </w:r>
          </w:p>
        </w:tc>
        <w:tc>
          <w:tcPr/>
          <w:p>
            <w:pPr>
              <w:pStyle w:val="Compact"/>
              <w:jc w:val="left"/>
            </w:pPr>
            <w:r>
              <w:t xml:space="preserve">Connected to national ABDM, state insurance, disease surveillance, referral network</w:t>
            </w:r>
          </w:p>
        </w:tc>
      </w:tr>
      <w:tr>
        <w:tc>
          <w:tcPr/>
          <w:p>
            <w:pPr>
              <w:pStyle w:val="Compact"/>
              <w:jc w:val="left"/>
            </w:pPr>
            <w:r>
              <w:rPr>
                <w:b/>
                <w:bCs/>
              </w:rPr>
              <w:t xml:space="preserve">Special consideration</w:t>
            </w:r>
          </w:p>
        </w:tc>
        <w:tc>
          <w:tcPr/>
          <w:p>
            <w:pPr>
              <w:pStyle w:val="Compact"/>
              <w:jc w:val="left"/>
            </w:pPr>
            <w:r>
              <w:rPr>
                <w:b/>
                <w:bCs/>
              </w:rPr>
              <w:t xml:space="preserve">Single platform for entire state public health system</w:t>
            </w:r>
          </w:p>
        </w:tc>
      </w:tr>
    </w:tbl>
    <w:bookmarkEnd w:id="495"/>
    <w:bookmarkStart w:id="498" w:name="cii-classification-assessment-8"/>
    <w:p>
      <w:pPr>
        <w:pStyle w:val="Heading3"/>
      </w:pPr>
      <w:r>
        <w:t xml:space="preserve">CII Classification Assessment</w:t>
      </w:r>
    </w:p>
    <w:bookmarkStart w:id="496" w:name="key-risk-factors-1"/>
    <w:p>
      <w:pPr>
        <w:pStyle w:val="Heading4"/>
      </w:pPr>
      <w:r>
        <w:t xml:space="preserve">Key Risk Factors</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jc w:val="left"/>
            </w:pPr>
            <w:r>
              <w:t xml:space="preserve">Factor</w:t>
            </w:r>
          </w:p>
        </w:tc>
        <w:tc>
          <w:tcPr/>
          <w:p>
            <w:pPr>
              <w:pStyle w:val="Compact"/>
              <w:jc w:val="left"/>
            </w:pPr>
            <w:r>
              <w:t xml:space="preserve">Assessment</w:t>
            </w:r>
          </w:p>
        </w:tc>
      </w:tr>
      <w:tr>
        <w:tc>
          <w:tcPr/>
          <w:p>
            <w:pPr>
              <w:pStyle w:val="Compact"/>
              <w:jc w:val="left"/>
            </w:pPr>
            <w:r>
              <w:rPr>
                <w:b/>
                <w:bCs/>
              </w:rPr>
              <w:t xml:space="preserve">Scale</w:t>
            </w:r>
          </w:p>
        </w:tc>
        <w:tc>
          <w:tcPr/>
          <w:p>
            <w:pPr>
              <w:pStyle w:val="Compact"/>
              <w:jc w:val="left"/>
            </w:pPr>
            <w:r>
              <w:t xml:space="preserve">500+ facilities; single point of failure for state healthcare</w:t>
            </w:r>
          </w:p>
        </w:tc>
      </w:tr>
      <w:tr>
        <w:tc>
          <w:tcPr/>
          <w:p>
            <w:pPr>
              <w:pStyle w:val="Compact"/>
              <w:jc w:val="left"/>
            </w:pPr>
            <w:r>
              <w:rPr>
                <w:b/>
                <w:bCs/>
              </w:rPr>
              <w:t xml:space="preserve">Dependency</w:t>
            </w:r>
          </w:p>
        </w:tc>
        <w:tc>
          <w:tcPr/>
          <w:p>
            <w:pPr>
              <w:pStyle w:val="Compact"/>
              <w:jc w:val="left"/>
            </w:pPr>
            <w:r>
              <w:t xml:space="preserve">All state government hospitals depend on this platform</w:t>
            </w:r>
          </w:p>
        </w:tc>
      </w:tr>
      <w:tr>
        <w:tc>
          <w:tcPr/>
          <w:p>
            <w:pPr>
              <w:pStyle w:val="Compact"/>
              <w:jc w:val="left"/>
            </w:pPr>
            <w:r>
              <w:rPr>
                <w:b/>
                <w:bCs/>
              </w:rPr>
              <w:t xml:space="preserve">Data concentration</w:t>
            </w:r>
          </w:p>
        </w:tc>
        <w:tc>
          <w:tcPr/>
          <w:p>
            <w:pPr>
              <w:pStyle w:val="Compact"/>
              <w:jc w:val="left"/>
            </w:pPr>
            <w:r>
              <w:t xml:space="preserve">15M patient records in single system</w:t>
            </w:r>
          </w:p>
        </w:tc>
      </w:tr>
      <w:tr>
        <w:tc>
          <w:tcPr/>
          <w:p>
            <w:pPr>
              <w:pStyle w:val="Compact"/>
              <w:jc w:val="left"/>
            </w:pPr>
            <w:r>
              <w:rPr>
                <w:b/>
                <w:bCs/>
              </w:rPr>
              <w:t xml:space="preserve">Operational impact</w:t>
            </w:r>
          </w:p>
        </w:tc>
        <w:tc>
          <w:tcPr/>
          <w:p>
            <w:pPr>
              <w:pStyle w:val="Compact"/>
              <w:jc w:val="left"/>
            </w:pPr>
            <w:r>
              <w:t xml:space="preserve">Outage affects patient care statewide</w:t>
            </w:r>
          </w:p>
        </w:tc>
      </w:tr>
      <w:tr>
        <w:tc>
          <w:tcPr/>
          <w:p>
            <w:pPr>
              <w:pStyle w:val="Compact"/>
              <w:jc w:val="left"/>
            </w:pPr>
            <w:r>
              <w:rPr>
                <w:b/>
                <w:bCs/>
              </w:rPr>
              <w:t xml:space="preserve">Integration hub</w:t>
            </w:r>
          </w:p>
        </w:tc>
        <w:tc>
          <w:tcPr/>
          <w:p>
            <w:pPr>
              <w:pStyle w:val="Compact"/>
              <w:jc w:val="left"/>
            </w:pPr>
            <w:r>
              <w:t xml:space="preserve">Gateway to national systems (ABDM, insurance)</w:t>
            </w:r>
          </w:p>
        </w:tc>
      </w:tr>
    </w:tbl>
    <w:bookmarkEnd w:id="496"/>
    <w:bookmarkStart w:id="497" w:name="scoring-developing-country-framework-4"/>
    <w:p>
      <w:pPr>
        <w:pStyle w:val="Heading4"/>
      </w:pPr>
      <w:r>
        <w:t xml:space="preserve">Scoring (Developing Country Framework)</w:t>
      </w:r>
    </w:p>
    <w:tbl>
      <w:tblPr>
        <w:tblStyle w:val="Table"/>
        <w:tblW w:type="pct" w:w="5000"/>
        <w:tblLayout w:type="fixed"/>
        <w:tblLook w:firstRow="1" w:lastRow="0" w:firstColumn="0" w:lastColumn="0" w:noHBand="0" w:noVBand="0" w:val="0020"/>
      </w:tblPr>
      <w:tblGrid>
        <w:gridCol w:w="1863"/>
        <w:gridCol w:w="2562"/>
        <w:gridCol w:w="3494"/>
      </w:tblGrid>
      <w:tr>
        <w:trPr>
          <w:tblHeader w:val="on"/>
        </w:trPr>
        <w:tc>
          <w:tcPr/>
          <w:p>
            <w:pPr>
              <w:pStyle w:val="Compact"/>
              <w:jc w:val="left"/>
            </w:pPr>
            <w:r>
              <w:t xml:space="preserve">Domain</w:t>
            </w:r>
          </w:p>
        </w:tc>
        <w:tc>
          <w:tcPr/>
          <w:p>
            <w:pPr>
              <w:pStyle w:val="Compact"/>
              <w:jc w:val="left"/>
            </w:pPr>
            <w:r>
              <w:t xml:space="preserve">Criterion</w:t>
            </w:r>
          </w:p>
        </w:tc>
        <w:tc>
          <w:tcPr/>
          <w:p>
            <w:pPr>
              <w:pStyle w:val="Compact"/>
              <w:jc w:val="center"/>
            </w:pPr>
            <w:r>
              <w:t xml:space="preserve">Points Scored</w:t>
            </w:r>
          </w:p>
        </w:tc>
      </w:tr>
      <w:tr>
        <w:tc>
          <w:tcPr/>
          <w:p>
            <w:pPr>
              <w:pStyle w:val="Compact"/>
              <w:jc w:val="left"/>
            </w:pPr>
            <w:r>
              <w:rPr>
                <w:b/>
                <w:bCs/>
              </w:rPr>
              <w:t xml:space="preserve">A. Scale</w:t>
            </w:r>
          </w:p>
        </w:tc>
        <w:tc>
          <w:tcPr/>
          <w:p>
            <w:pPr>
              <w:pStyle w:val="Compact"/>
              <w:jc w:val="left"/>
            </w:pPr>
            <w:r>
              <w:t xml:space="preserve">500+ facilities; 15M patient records</w:t>
            </w:r>
          </w:p>
        </w:tc>
        <w:tc>
          <w:tcPr/>
          <w:p>
            <w:pPr>
              <w:pStyle w:val="Compact"/>
              <w:jc w:val="center"/>
            </w:pPr>
            <w:r>
              <w:t xml:space="preserve">30</w:t>
            </w:r>
          </w:p>
        </w:tc>
      </w:tr>
      <w:tr>
        <w:tc>
          <w:tcPr/>
          <w:p>
            <w:pPr>
              <w:pStyle w:val="Compact"/>
              <w:jc w:val="left"/>
            </w:pPr>
            <w:r>
              <w:rPr>
                <w:b/>
                <w:bCs/>
              </w:rPr>
              <w:t xml:space="preserve">B. System Dependency</w:t>
            </w:r>
          </w:p>
        </w:tc>
        <w:tc>
          <w:tcPr/>
          <w:p>
            <w:pPr>
              <w:pStyle w:val="Compact"/>
              <w:jc w:val="left"/>
            </w:pPr>
            <w:r>
              <w:t xml:space="preserve">Single platform for all state public hospitals</w:t>
            </w:r>
          </w:p>
        </w:tc>
        <w:tc>
          <w:tcPr/>
          <w:p>
            <w:pPr>
              <w:pStyle w:val="Compact"/>
              <w:jc w:val="center"/>
            </w:pPr>
            <w:r>
              <w:t xml:space="preserve">25</w:t>
            </w:r>
          </w:p>
        </w:tc>
      </w:tr>
      <w:tr>
        <w:tc>
          <w:tcPr/>
          <w:p>
            <w:pPr>
              <w:pStyle w:val="Compact"/>
              <w:jc w:val="left"/>
            </w:pPr>
            <w:r>
              <w:rPr>
                <w:b/>
                <w:bCs/>
              </w:rPr>
              <w:t xml:space="preserve">C. Integration Role</w:t>
            </w:r>
          </w:p>
        </w:tc>
        <w:tc>
          <w:tcPr/>
          <w:p>
            <w:pPr>
              <w:pStyle w:val="Compact"/>
              <w:jc w:val="left"/>
            </w:pPr>
            <w:r>
              <w:t xml:space="preserve">Hub connecting facilities to national systems</w:t>
            </w:r>
          </w:p>
        </w:tc>
        <w:tc>
          <w:tcPr/>
          <w:p>
            <w:pPr>
              <w:pStyle w:val="Compact"/>
              <w:jc w:val="center"/>
            </w:pPr>
            <w:r>
              <w:t xml:space="preserve">15</w:t>
            </w:r>
          </w:p>
        </w:tc>
      </w:tr>
      <w:tr>
        <w:tc>
          <w:tcPr/>
          <w:p>
            <w:pPr>
              <w:pStyle w:val="Compact"/>
              <w:jc w:val="left"/>
            </w:pPr>
            <w:r>
              <w:rPr>
                <w:b/>
                <w:bCs/>
              </w:rPr>
              <w:t xml:space="preserve">D. User Base</w:t>
            </w:r>
          </w:p>
        </w:tc>
        <w:tc>
          <w:tcPr/>
          <w:p>
            <w:pPr>
              <w:pStyle w:val="Compact"/>
              <w:jc w:val="left"/>
            </w:pPr>
            <w:r>
              <w:t xml:space="preserve">45,000 healthcare workers depend on system</w:t>
            </w:r>
          </w:p>
        </w:tc>
        <w:tc>
          <w:tcPr/>
          <w:p>
            <w:pPr>
              <w:pStyle w:val="Compact"/>
              <w:jc w:val="center"/>
            </w:pPr>
            <w:r>
              <w:t xml:space="preserve">10</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80</w:t>
            </w:r>
          </w:p>
        </w:tc>
      </w:tr>
    </w:tbl>
    <w:bookmarkEnd w:id="497"/>
    <w:bookmarkEnd w:id="498"/>
    <w:bookmarkStart w:id="499" w:name="classification-result-8"/>
    <w:p>
      <w:pPr>
        <w:pStyle w:val="Heading3"/>
      </w:pPr>
      <w:r>
        <w:t xml:space="preserve">Classification Result</w:t>
      </w:r>
    </w:p>
    <w:tbl>
      <w:tblPr>
        <w:tblStyle w:val="Table"/>
        <w:tblW w:type="pct" w:w="5000"/>
        <w:tblLayout w:type="fixed"/>
        <w:tblLook w:firstRow="1" w:lastRow="0" w:firstColumn="0" w:lastColumn="0" w:noHBand="0" w:noVBand="0" w:val="0020"/>
      </w:tblPr>
      <w:tblGrid>
        <w:gridCol w:w="2489"/>
        <w:gridCol w:w="1584"/>
        <w:gridCol w:w="1357"/>
        <w:gridCol w:w="2489"/>
      </w:tblGrid>
      <w:tr>
        <w:trPr>
          <w:tblHeader w:val="on"/>
        </w:trPr>
        <w:tc>
          <w:tcPr/>
          <w:p>
            <w:pPr>
              <w:pStyle w:val="Compact"/>
              <w:jc w:val="left"/>
            </w:pPr>
            <w:r>
              <w:t xml:space="preserve">Framework</w:t>
            </w:r>
          </w:p>
        </w:tc>
        <w:tc>
          <w:tcPr/>
          <w:p>
            <w:pPr>
              <w:pStyle w:val="Compact"/>
              <w:jc w:val="left"/>
            </w:pPr>
            <w:r>
              <w:t xml:space="preserve">Score</w:t>
            </w:r>
          </w:p>
        </w:tc>
        <w:tc>
          <w:tcPr/>
          <w:p>
            <w:pPr>
              <w:pStyle w:val="Compact"/>
              <w:jc w:val="left"/>
            </w:pPr>
            <w:r>
              <w:t xml:space="preserve">Tier</w:t>
            </w:r>
          </w:p>
        </w:tc>
        <w:tc>
          <w:tcPr/>
          <w:p>
            <w:pPr>
              <w:pStyle w:val="Compact"/>
              <w:jc w:val="left"/>
            </w:pPr>
            <w:r>
              <w:t xml:space="preserve">Rationale</w:t>
            </w:r>
          </w:p>
        </w:tc>
      </w:tr>
      <w:tr>
        <w:tc>
          <w:tcPr/>
          <w:p>
            <w:pPr>
              <w:pStyle w:val="Compact"/>
              <w:jc w:val="left"/>
            </w:pPr>
            <w:r>
              <w:rPr>
                <w:b/>
                <w:bCs/>
              </w:rPr>
              <w:t xml:space="preserve">Developing Country</w:t>
            </w:r>
          </w:p>
        </w:tc>
        <w:tc>
          <w:tcPr/>
          <w:p>
            <w:pPr>
              <w:pStyle w:val="Compact"/>
              <w:jc w:val="left"/>
            </w:pPr>
            <w:r>
              <w:t xml:space="preserve">80</w:t>
            </w:r>
          </w:p>
        </w:tc>
        <w:tc>
          <w:tcPr/>
          <w:p>
            <w:pPr>
              <w:pStyle w:val="Compact"/>
              <w:jc w:val="left"/>
            </w:pPr>
            <w:r>
              <w:rPr>
                <w:b/>
                <w:bCs/>
              </w:rPr>
              <w:t xml:space="preserve">Tier 1 (Essential)</w:t>
            </w:r>
          </w:p>
        </w:tc>
        <w:tc>
          <w:tcPr/>
          <w:p>
            <w:pPr>
              <w:pStyle w:val="Compact"/>
              <w:jc w:val="left"/>
            </w:pPr>
            <w:r>
              <w:t xml:space="preserve">State-wide system; single point of failure for 500+ facilities</w:t>
            </w:r>
          </w:p>
        </w:tc>
      </w:tr>
    </w:tbl>
    <w:p>
      <w:pPr>
        <w:pStyle w:val="BlockText"/>
      </w:pPr>
      <w:r>
        <w:t xml:space="preserve">[!IMPORTANT]</w:t>
      </w:r>
      <w:r>
        <w:t xml:space="preserve"> </w:t>
      </w:r>
      <w:r>
        <w:t xml:space="preserve">Large-scale HMIS platforms serving hundreds of facilities are</w:t>
      </w:r>
      <w:r>
        <w:t xml:space="preserve"> </w:t>
      </w:r>
      <w:r>
        <w:rPr>
          <w:b/>
          <w:bCs/>
        </w:rPr>
        <w:t xml:space="preserve">system-level CII</w:t>
      </w:r>
      <w:r>
        <w:t xml:space="preserve"> </w:t>
      </w:r>
      <w:r>
        <w:t xml:space="preserve">regardless of whether individual facilities would independently qualify. The</w:t>
      </w:r>
      <w:r>
        <w:t xml:space="preserve"> </w:t>
      </w:r>
      <w:r>
        <w:rPr>
          <w:b/>
          <w:bCs/>
        </w:rPr>
        <w:t xml:space="preserve">concentration risk</w:t>
      </w:r>
      <w:r>
        <w:t xml:space="preserve"> </w:t>
      </w:r>
      <w:r>
        <w:t xml:space="preserve">of a shared platform elevates criticality significantly.</w:t>
      </w:r>
    </w:p>
    <w:bookmarkEnd w:id="499"/>
    <w:bookmarkStart w:id="500" w:name="applicable-obligations-5"/>
    <w:p>
      <w:pPr>
        <w:pStyle w:val="Heading3"/>
      </w:pPr>
      <w:r>
        <w:t xml:space="preserve">Applicable Obligations</w:t>
      </w:r>
    </w:p>
    <w:p>
      <w:pPr>
        <w:pStyle w:val="Compact"/>
        <w:numPr>
          <w:ilvl w:val="0"/>
          <w:numId w:val="1342"/>
        </w:numPr>
      </w:pPr>
      <w:r>
        <w:t xml:space="preserve">Dedicated security team (not just focal point)</w:t>
      </w:r>
    </w:p>
    <w:p>
      <w:pPr>
        <w:pStyle w:val="Compact"/>
        <w:numPr>
          <w:ilvl w:val="0"/>
          <w:numId w:val="1342"/>
        </w:numPr>
      </w:pPr>
      <w:r>
        <w:t xml:space="preserve">Continuous security monitoring (24/7 SOC)</w:t>
      </w:r>
    </w:p>
    <w:p>
      <w:pPr>
        <w:pStyle w:val="Compact"/>
        <w:numPr>
          <w:ilvl w:val="0"/>
          <w:numId w:val="1342"/>
        </w:numPr>
      </w:pPr>
      <w:r>
        <w:t xml:space="preserve">12-24 hour incident reporting</w:t>
      </w:r>
    </w:p>
    <w:p>
      <w:pPr>
        <w:pStyle w:val="Compact"/>
        <w:numPr>
          <w:ilvl w:val="0"/>
          <w:numId w:val="1342"/>
        </w:numPr>
      </w:pPr>
      <w:r>
        <w:t xml:space="preserve">Disaster recovery with state-level failover</w:t>
      </w:r>
    </w:p>
    <w:p>
      <w:pPr>
        <w:pStyle w:val="Compact"/>
        <w:numPr>
          <w:ilvl w:val="0"/>
          <w:numId w:val="1342"/>
        </w:numPr>
      </w:pPr>
      <w:r>
        <w:t xml:space="preserve">Annual third-party penetration testing</w:t>
      </w:r>
    </w:p>
    <w:p>
      <w:pPr>
        <w:pStyle w:val="Compact"/>
        <w:numPr>
          <w:ilvl w:val="0"/>
          <w:numId w:val="1342"/>
        </w:numPr>
      </w:pPr>
      <w:r>
        <w:t xml:space="preserve">Change management security controls</w:t>
      </w:r>
    </w:p>
    <w:p>
      <w:pPr>
        <w:pStyle w:val="Compact"/>
        <w:numPr>
          <w:ilvl w:val="0"/>
          <w:numId w:val="1342"/>
        </w:numPr>
      </w:pPr>
      <w:r>
        <w:t xml:space="preserve">User access audit (45,000 users)</w:t>
      </w:r>
    </w:p>
    <w:p>
      <w:pPr>
        <w:pStyle w:val="Compact"/>
        <w:numPr>
          <w:ilvl w:val="0"/>
          <w:numId w:val="1342"/>
        </w:numPr>
      </w:pPr>
      <w:r>
        <w:t xml:space="preserve">API security for national integrations</w:t>
      </w:r>
    </w:p>
    <w:p>
      <w:pPr>
        <w:pStyle w:val="Compact"/>
        <w:numPr>
          <w:ilvl w:val="0"/>
          <w:numId w:val="1342"/>
        </w:numPr>
      </w:pPr>
      <w:r>
        <w:t xml:space="preserve">Backup and recovery testing (quarterly)</w:t>
      </w:r>
    </w:p>
    <w:p>
      <w:pPr>
        <w:pStyle w:val="Compact"/>
        <w:numPr>
          <w:ilvl w:val="0"/>
          <w:numId w:val="1342"/>
        </w:numPr>
      </w:pPr>
      <w:r>
        <w:t xml:space="preserve">Vendor security assessment (NIC/SI partners)</w:t>
      </w:r>
    </w:p>
    <w:p>
      <w:r>
        <w:pict>
          <v:rect style="width:0;height:1.5pt" o:hralign="center" o:hrstd="t" o:hr="t"/>
        </w:pict>
      </w:r>
    </w:p>
    <w:bookmarkEnd w:id="500"/>
    <w:bookmarkEnd w:id="501"/>
    <w:bookmarkStart w:id="508" w:name="X3476d7bfacaa3d014508eba2dca1925b343edbb"/>
    <w:p>
      <w:pPr>
        <w:pStyle w:val="Heading2"/>
      </w:pPr>
      <w:r>
        <w:t xml:space="preserve">Case Study 4: Multi-Hospital HMIS -</w:t>
      </w:r>
      <w:r>
        <w:t xml:space="preserve"> </w:t>
      </w:r>
      <w:r>
        <w:t xml:space="preserve">“CareSync Enterprise”</w:t>
      </w:r>
    </w:p>
    <w:bookmarkStart w:id="502" w:name="entity-profile-9"/>
    <w:p>
      <w:pPr>
        <w:pStyle w:val="Heading3"/>
      </w:pPr>
      <w:r>
        <w:t xml:space="preserve">Entity Profile</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jc w:val="left"/>
            </w:pPr>
            <w:r>
              <w:t xml:space="preserve">Attribute</w:t>
            </w:r>
          </w:p>
        </w:tc>
        <w:tc>
          <w:tcPr/>
          <w:p>
            <w:pPr>
              <w:pStyle w:val="Compact"/>
              <w:jc w:val="left"/>
            </w:pPr>
            <w:r>
              <w:t xml:space="preserve">Details</w:t>
            </w:r>
          </w:p>
        </w:tc>
      </w:tr>
      <w:tr>
        <w:tc>
          <w:tcPr/>
          <w:p>
            <w:pPr>
              <w:pStyle w:val="Compact"/>
              <w:jc w:val="left"/>
            </w:pPr>
            <w:r>
              <w:rPr>
                <w:b/>
                <w:bCs/>
              </w:rPr>
              <w:t xml:space="preserve">Name</w:t>
            </w:r>
          </w:p>
        </w:tc>
        <w:tc>
          <w:tcPr/>
          <w:p>
            <w:pPr>
              <w:pStyle w:val="Compact"/>
              <w:jc w:val="left"/>
            </w:pPr>
            <w:r>
              <w:t xml:space="preserve">CareSync Enterprise HMIS</w:t>
            </w:r>
          </w:p>
        </w:tc>
      </w:tr>
      <w:tr>
        <w:tc>
          <w:tcPr/>
          <w:p>
            <w:pPr>
              <w:pStyle w:val="Compact"/>
              <w:jc w:val="left"/>
            </w:pPr>
            <w:r>
              <w:rPr>
                <w:b/>
                <w:bCs/>
              </w:rPr>
              <w:t xml:space="preserve">Type</w:t>
            </w:r>
          </w:p>
        </w:tc>
        <w:tc>
          <w:tcPr/>
          <w:p>
            <w:pPr>
              <w:pStyle w:val="Compact"/>
              <w:jc w:val="left"/>
            </w:pPr>
            <w:r>
              <w:t xml:space="preserve">Hospital Management Information System for private hospital group</w:t>
            </w:r>
          </w:p>
        </w:tc>
      </w:tr>
      <w:tr>
        <w:tc>
          <w:tcPr/>
          <w:p>
            <w:pPr>
              <w:pStyle w:val="Compact"/>
              <w:jc w:val="left"/>
            </w:pPr>
            <w:r>
              <w:rPr>
                <w:b/>
                <w:bCs/>
              </w:rPr>
              <w:t xml:space="preserve">Operator</w:t>
            </w:r>
          </w:p>
        </w:tc>
        <w:tc>
          <w:tcPr/>
          <w:p>
            <w:pPr>
              <w:pStyle w:val="Compact"/>
              <w:jc w:val="left"/>
            </w:pPr>
            <w:r>
              <w:t xml:space="preserve">CareSync Hospitals Private Limited</w:t>
            </w:r>
          </w:p>
        </w:tc>
      </w:tr>
      <w:tr>
        <w:tc>
          <w:tcPr/>
          <w:p>
            <w:pPr>
              <w:pStyle w:val="Compact"/>
              <w:jc w:val="left"/>
            </w:pPr>
            <w:r>
              <w:rPr>
                <w:b/>
                <w:bCs/>
              </w:rPr>
              <w:t xml:space="preserve">Coverage</w:t>
            </w:r>
          </w:p>
        </w:tc>
        <w:tc>
          <w:tcPr/>
          <w:p>
            <w:pPr>
              <w:pStyle w:val="Compact"/>
              <w:jc w:val="left"/>
            </w:pPr>
            <w:r>
              <w:t xml:space="preserve">5 large hospitals (average 400 beds each; 2,000 total beds)</w:t>
            </w:r>
          </w:p>
        </w:tc>
      </w:tr>
      <w:tr>
        <w:tc>
          <w:tcPr/>
          <w:p>
            <w:pPr>
              <w:pStyle w:val="Compact"/>
              <w:jc w:val="left"/>
            </w:pPr>
            <w:r>
              <w:rPr>
                <w:b/>
                <w:bCs/>
              </w:rPr>
              <w:t xml:space="preserve">Users</w:t>
            </w:r>
          </w:p>
        </w:tc>
        <w:tc>
          <w:tcPr/>
          <w:p>
            <w:pPr>
              <w:pStyle w:val="Compact"/>
              <w:jc w:val="left"/>
            </w:pPr>
            <w:r>
              <w:t xml:space="preserve">4,000 healthcare workers; 150 administrators</w:t>
            </w:r>
          </w:p>
        </w:tc>
      </w:tr>
      <w:tr>
        <w:tc>
          <w:tcPr/>
          <w:p>
            <w:pPr>
              <w:pStyle w:val="Compact"/>
              <w:jc w:val="left"/>
            </w:pPr>
            <w:r>
              <w:rPr>
                <w:b/>
                <w:bCs/>
              </w:rPr>
              <w:t xml:space="preserve">Functions</w:t>
            </w:r>
          </w:p>
        </w:tc>
        <w:tc>
          <w:tcPr/>
          <w:p>
            <w:pPr>
              <w:pStyle w:val="Compact"/>
              <w:jc w:val="left"/>
            </w:pPr>
            <w:r>
              <w:t xml:space="preserve">EMR, OPD/IPD, lab, radiology, pharmacy, billing, HR, analytics</w:t>
            </w:r>
          </w:p>
        </w:tc>
      </w:tr>
      <w:tr>
        <w:tc>
          <w:tcPr/>
          <w:p>
            <w:pPr>
              <w:pStyle w:val="Compact"/>
              <w:jc w:val="left"/>
            </w:pPr>
            <w:r>
              <w:rPr>
                <w:b/>
                <w:bCs/>
              </w:rPr>
              <w:t xml:space="preserve">Data volume</w:t>
            </w:r>
          </w:p>
        </w:tc>
        <w:tc>
          <w:tcPr/>
          <w:p>
            <w:pPr>
              <w:pStyle w:val="Compact"/>
              <w:jc w:val="left"/>
            </w:pPr>
            <w:r>
              <w:t xml:space="preserve">2 million patient records; 8 million annual transactions</w:t>
            </w:r>
          </w:p>
        </w:tc>
      </w:tr>
      <w:tr>
        <w:tc>
          <w:tcPr/>
          <w:p>
            <w:pPr>
              <w:pStyle w:val="Compact"/>
              <w:jc w:val="left"/>
            </w:pPr>
            <w:r>
              <w:rPr>
                <w:b/>
                <w:bCs/>
              </w:rPr>
              <w:t xml:space="preserve">Infrastructure</w:t>
            </w:r>
          </w:p>
        </w:tc>
        <w:tc>
          <w:tcPr/>
          <w:p>
            <w:pPr>
              <w:pStyle w:val="Compact"/>
              <w:jc w:val="left"/>
            </w:pPr>
            <w:r>
              <w:t xml:space="preserve">Private cloud; DR site</w:t>
            </w:r>
          </w:p>
        </w:tc>
      </w:tr>
      <w:tr>
        <w:tc>
          <w:tcPr/>
          <w:p>
            <w:pPr>
              <w:pStyle w:val="Compact"/>
              <w:jc w:val="left"/>
            </w:pPr>
            <w:r>
              <w:rPr>
                <w:b/>
                <w:bCs/>
              </w:rPr>
              <w:t xml:space="preserve">Integrations</w:t>
            </w:r>
          </w:p>
        </w:tc>
        <w:tc>
          <w:tcPr/>
          <w:p>
            <w:pPr>
              <w:pStyle w:val="Compact"/>
              <w:jc w:val="left"/>
            </w:pPr>
            <w:r>
              <w:t xml:space="preserve">Insurance TPA, ABDM, lab aggregators</w:t>
            </w:r>
          </w:p>
        </w:tc>
      </w:tr>
      <w:tr>
        <w:tc>
          <w:tcPr/>
          <w:p>
            <w:pPr>
              <w:pStyle w:val="Compact"/>
              <w:jc w:val="left"/>
            </w:pPr>
            <w:r>
              <w:rPr>
                <w:b/>
                <w:bCs/>
              </w:rPr>
              <w:t xml:space="preserve">Special consideration</w:t>
            </w:r>
          </w:p>
        </w:tc>
        <w:tc>
          <w:tcPr/>
          <w:p>
            <w:pPr>
              <w:pStyle w:val="Compact"/>
              <w:jc w:val="left"/>
            </w:pPr>
            <w:r>
              <w:rPr>
                <w:b/>
                <w:bCs/>
              </w:rPr>
              <w:t xml:space="preserve">Centralized system for mid-size hospital chain</w:t>
            </w:r>
          </w:p>
        </w:tc>
      </w:tr>
    </w:tbl>
    <w:bookmarkEnd w:id="502"/>
    <w:bookmarkStart w:id="505" w:name="cii-classification-assessment-9"/>
    <w:p>
      <w:pPr>
        <w:pStyle w:val="Heading3"/>
      </w:pPr>
      <w:r>
        <w:t xml:space="preserve">CII Classification Assessment</w:t>
      </w:r>
    </w:p>
    <w:bookmarkStart w:id="503" w:name="key-risk-factors-2"/>
    <w:p>
      <w:pPr>
        <w:pStyle w:val="Heading4"/>
      </w:pPr>
      <w:r>
        <w:t xml:space="preserve">Key Risk Factors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Factor</w:t>
            </w:r>
          </w:p>
        </w:tc>
        <w:tc>
          <w:tcPr/>
          <w:p>
            <w:pPr>
              <w:pStyle w:val="Compact"/>
              <w:jc w:val="left"/>
            </w:pPr>
            <w:r>
              <w:t xml:space="preserve">Assessment</w:t>
            </w:r>
          </w:p>
        </w:tc>
      </w:tr>
      <w:tr>
        <w:tc>
          <w:tcPr/>
          <w:p>
            <w:pPr>
              <w:pStyle w:val="Compact"/>
              <w:jc w:val="left"/>
            </w:pPr>
            <w:r>
              <w:rPr>
                <w:b/>
                <w:bCs/>
              </w:rPr>
              <w:t xml:space="preserve">Scale</w:t>
            </w:r>
          </w:p>
        </w:tc>
        <w:tc>
          <w:tcPr/>
          <w:p>
            <w:pPr>
              <w:pStyle w:val="Compact"/>
              <w:jc w:val="left"/>
            </w:pPr>
            <w:r>
              <w:t xml:space="preserve">5 hospitals; 2,000 beds total</w:t>
            </w:r>
          </w:p>
        </w:tc>
      </w:tr>
      <w:tr>
        <w:tc>
          <w:tcPr/>
          <w:p>
            <w:pPr>
              <w:pStyle w:val="Compact"/>
              <w:jc w:val="left"/>
            </w:pPr>
            <w:r>
              <w:rPr>
                <w:b/>
                <w:bCs/>
              </w:rPr>
              <w:t xml:space="preserve">Dependency</w:t>
            </w:r>
          </w:p>
        </w:tc>
        <w:tc>
          <w:tcPr/>
          <w:p>
            <w:pPr>
              <w:pStyle w:val="Compact"/>
              <w:jc w:val="left"/>
            </w:pPr>
            <w:r>
              <w:t xml:space="preserve">All 5 hospitals share single platform</w:t>
            </w:r>
          </w:p>
        </w:tc>
      </w:tr>
      <w:tr>
        <w:tc>
          <w:tcPr/>
          <w:p>
            <w:pPr>
              <w:pStyle w:val="Compact"/>
              <w:jc w:val="left"/>
            </w:pPr>
            <w:r>
              <w:rPr>
                <w:b/>
                <w:bCs/>
              </w:rPr>
              <w:t xml:space="preserve">Data concentration</w:t>
            </w:r>
          </w:p>
        </w:tc>
        <w:tc>
          <w:tcPr/>
          <w:p>
            <w:pPr>
              <w:pStyle w:val="Compact"/>
              <w:jc w:val="left"/>
            </w:pPr>
            <w:r>
              <w:t xml:space="preserve">2M patient records</w:t>
            </w:r>
          </w:p>
        </w:tc>
      </w:tr>
      <w:tr>
        <w:tc>
          <w:tcPr/>
          <w:p>
            <w:pPr>
              <w:pStyle w:val="Compact"/>
              <w:jc w:val="left"/>
            </w:pPr>
            <w:r>
              <w:rPr>
                <w:b/>
                <w:bCs/>
              </w:rPr>
              <w:t xml:space="preserve">Operational impact</w:t>
            </w:r>
          </w:p>
        </w:tc>
        <w:tc>
          <w:tcPr/>
          <w:p>
            <w:pPr>
              <w:pStyle w:val="Compact"/>
              <w:jc w:val="left"/>
            </w:pPr>
            <w:r>
              <w:t xml:space="preserve">Outage affects 5 facilities simultaneously</w:t>
            </w:r>
          </w:p>
        </w:tc>
      </w:tr>
      <w:tr>
        <w:tc>
          <w:tcPr/>
          <w:p>
            <w:pPr>
              <w:pStyle w:val="Compact"/>
              <w:jc w:val="left"/>
            </w:pPr>
            <w:r>
              <w:rPr>
                <w:b/>
                <w:bCs/>
              </w:rPr>
              <w:t xml:space="preserve">Market position</w:t>
            </w:r>
          </w:p>
        </w:tc>
        <w:tc>
          <w:tcPr/>
          <w:p>
            <w:pPr>
              <w:pStyle w:val="Compact"/>
              <w:jc w:val="left"/>
            </w:pPr>
            <w:r>
              <w:t xml:space="preserve">Regional player; not nationally critical</w:t>
            </w:r>
          </w:p>
        </w:tc>
      </w:tr>
    </w:tbl>
    <w:bookmarkEnd w:id="503"/>
    <w:bookmarkStart w:id="504" w:name="scoring-developing-country-framework-5"/>
    <w:p>
      <w:pPr>
        <w:pStyle w:val="Heading4"/>
      </w:pPr>
      <w:r>
        <w:t xml:space="preserve">Scoring (Developing Country Framework)</w:t>
      </w:r>
    </w:p>
    <w:tbl>
      <w:tblPr>
        <w:tblStyle w:val="Table"/>
        <w:tblW w:type="pct" w:w="5000"/>
        <w:tblLayout w:type="fixed"/>
        <w:tblLook w:firstRow="1" w:lastRow="0" w:firstColumn="0" w:lastColumn="0" w:noHBand="0" w:noVBand="0" w:val="0020"/>
      </w:tblPr>
      <w:tblGrid>
        <w:gridCol w:w="1863"/>
        <w:gridCol w:w="2562"/>
        <w:gridCol w:w="3494"/>
      </w:tblGrid>
      <w:tr>
        <w:trPr>
          <w:tblHeader w:val="on"/>
        </w:trPr>
        <w:tc>
          <w:tcPr/>
          <w:p>
            <w:pPr>
              <w:pStyle w:val="Compact"/>
              <w:jc w:val="left"/>
            </w:pPr>
            <w:r>
              <w:t xml:space="preserve">Domain</w:t>
            </w:r>
          </w:p>
        </w:tc>
        <w:tc>
          <w:tcPr/>
          <w:p>
            <w:pPr>
              <w:pStyle w:val="Compact"/>
              <w:jc w:val="left"/>
            </w:pPr>
            <w:r>
              <w:t xml:space="preserve">Criterion</w:t>
            </w:r>
          </w:p>
        </w:tc>
        <w:tc>
          <w:tcPr/>
          <w:p>
            <w:pPr>
              <w:pStyle w:val="Compact"/>
              <w:jc w:val="center"/>
            </w:pPr>
            <w:r>
              <w:t xml:space="preserve">Points Scored</w:t>
            </w:r>
          </w:p>
        </w:tc>
      </w:tr>
      <w:tr>
        <w:tc>
          <w:tcPr/>
          <w:p>
            <w:pPr>
              <w:pStyle w:val="Compact"/>
              <w:jc w:val="left"/>
            </w:pPr>
            <w:r>
              <w:rPr>
                <w:b/>
                <w:bCs/>
              </w:rPr>
              <w:t xml:space="preserve">A. Scale</w:t>
            </w:r>
          </w:p>
        </w:tc>
        <w:tc>
          <w:tcPr/>
          <w:p>
            <w:pPr>
              <w:pStyle w:val="Compact"/>
              <w:jc w:val="left"/>
            </w:pPr>
            <w:r>
              <w:t xml:space="preserve">5 facilities; 2M patient records</w:t>
            </w:r>
          </w:p>
        </w:tc>
        <w:tc>
          <w:tcPr/>
          <w:p>
            <w:pPr>
              <w:pStyle w:val="Compact"/>
              <w:jc w:val="center"/>
            </w:pPr>
            <w:r>
              <w:t xml:space="preserve">20</w:t>
            </w:r>
          </w:p>
        </w:tc>
      </w:tr>
      <w:tr>
        <w:tc>
          <w:tcPr/>
          <w:p>
            <w:pPr>
              <w:pStyle w:val="Compact"/>
              <w:jc w:val="left"/>
            </w:pPr>
            <w:r>
              <w:rPr>
                <w:b/>
                <w:bCs/>
              </w:rPr>
              <w:t xml:space="preserve">B. System Dependency</w:t>
            </w:r>
          </w:p>
        </w:tc>
        <w:tc>
          <w:tcPr/>
          <w:p>
            <w:pPr>
              <w:pStyle w:val="Compact"/>
              <w:jc w:val="left"/>
            </w:pPr>
            <w:r>
              <w:t xml:space="preserve">Centralized platform for hospital chain</w:t>
            </w:r>
          </w:p>
        </w:tc>
        <w:tc>
          <w:tcPr/>
          <w:p>
            <w:pPr>
              <w:pStyle w:val="Compact"/>
              <w:jc w:val="center"/>
            </w:pPr>
            <w:r>
              <w:t xml:space="preserve">15</w:t>
            </w:r>
          </w:p>
        </w:tc>
      </w:tr>
      <w:tr>
        <w:tc>
          <w:tcPr/>
          <w:p>
            <w:pPr>
              <w:pStyle w:val="Compact"/>
              <w:jc w:val="left"/>
            </w:pPr>
            <w:r>
              <w:rPr>
                <w:b/>
                <w:bCs/>
              </w:rPr>
              <w:t xml:space="preserve">C. Geographic Criticality</w:t>
            </w:r>
          </w:p>
        </w:tc>
        <w:tc>
          <w:tcPr/>
          <w:p>
            <w:pPr>
              <w:pStyle w:val="Compact"/>
              <w:jc w:val="left"/>
            </w:pPr>
            <w:r>
              <w:t xml:space="preserve">Regional presence; alternative providers exist</w:t>
            </w:r>
          </w:p>
        </w:tc>
        <w:tc>
          <w:tcPr/>
          <w:p>
            <w:pPr>
              <w:pStyle w:val="Compact"/>
              <w:jc w:val="center"/>
            </w:pPr>
            <w:r>
              <w:t xml:space="preserve">5</w:t>
            </w:r>
          </w:p>
        </w:tc>
      </w:tr>
      <w:tr>
        <w:tc>
          <w:tcPr/>
          <w:p>
            <w:pPr>
              <w:pStyle w:val="Compact"/>
              <w:jc w:val="left"/>
            </w:pPr>
            <w:r>
              <w:rPr>
                <w:b/>
                <w:bCs/>
              </w:rPr>
              <w:t xml:space="preserve">D. National Integration</w:t>
            </w:r>
          </w:p>
        </w:tc>
        <w:tc>
          <w:tcPr/>
          <w:p>
            <w:pPr>
              <w:pStyle w:val="Compact"/>
              <w:jc w:val="left"/>
            </w:pPr>
            <w:r>
              <w:t xml:space="preserve">ABDM connected but not sole gateway</w:t>
            </w:r>
          </w:p>
        </w:tc>
        <w:tc>
          <w:tcPr/>
          <w:p>
            <w:pPr>
              <w:pStyle w:val="Compact"/>
              <w:jc w:val="center"/>
            </w:pPr>
            <w:r>
              <w:t xml:space="preserve">5</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45</w:t>
            </w:r>
          </w:p>
        </w:tc>
      </w:tr>
    </w:tbl>
    <w:bookmarkEnd w:id="504"/>
    <w:bookmarkEnd w:id="505"/>
    <w:bookmarkStart w:id="506" w:name="classification-result-9"/>
    <w:p>
      <w:pPr>
        <w:pStyle w:val="Heading3"/>
      </w:pPr>
      <w:r>
        <w:t xml:space="preserve">Classification Result</w:t>
      </w:r>
    </w:p>
    <w:tbl>
      <w:tblPr>
        <w:tblStyle w:val="Table"/>
        <w:tblW w:type="pct" w:w="5000"/>
        <w:tblLayout w:type="fixed"/>
        <w:tblLook w:firstRow="1" w:lastRow="0" w:firstColumn="0" w:lastColumn="0" w:noHBand="0" w:noVBand="0" w:val="0020"/>
      </w:tblPr>
      <w:tblGrid>
        <w:gridCol w:w="2489"/>
        <w:gridCol w:w="1584"/>
        <w:gridCol w:w="1357"/>
        <w:gridCol w:w="2489"/>
      </w:tblGrid>
      <w:tr>
        <w:trPr>
          <w:tblHeader w:val="on"/>
        </w:trPr>
        <w:tc>
          <w:tcPr/>
          <w:p>
            <w:pPr>
              <w:pStyle w:val="Compact"/>
              <w:jc w:val="left"/>
            </w:pPr>
            <w:r>
              <w:t xml:space="preserve">Framework</w:t>
            </w:r>
          </w:p>
        </w:tc>
        <w:tc>
          <w:tcPr/>
          <w:p>
            <w:pPr>
              <w:pStyle w:val="Compact"/>
              <w:jc w:val="left"/>
            </w:pPr>
            <w:r>
              <w:t xml:space="preserve">Score</w:t>
            </w:r>
          </w:p>
        </w:tc>
        <w:tc>
          <w:tcPr/>
          <w:p>
            <w:pPr>
              <w:pStyle w:val="Compact"/>
              <w:jc w:val="left"/>
            </w:pPr>
            <w:r>
              <w:t xml:space="preserve">Tier</w:t>
            </w:r>
          </w:p>
        </w:tc>
        <w:tc>
          <w:tcPr/>
          <w:p>
            <w:pPr>
              <w:pStyle w:val="Compact"/>
              <w:jc w:val="left"/>
            </w:pPr>
            <w:r>
              <w:t xml:space="preserve">Rationale</w:t>
            </w:r>
          </w:p>
        </w:tc>
      </w:tr>
      <w:tr>
        <w:tc>
          <w:tcPr/>
          <w:p>
            <w:pPr>
              <w:pStyle w:val="Compact"/>
              <w:jc w:val="left"/>
            </w:pPr>
            <w:r>
              <w:rPr>
                <w:b/>
                <w:bCs/>
              </w:rPr>
              <w:t xml:space="preserve">Developing Country</w:t>
            </w:r>
          </w:p>
        </w:tc>
        <w:tc>
          <w:tcPr/>
          <w:p>
            <w:pPr>
              <w:pStyle w:val="Compact"/>
              <w:jc w:val="left"/>
            </w:pPr>
            <w:r>
              <w:t xml:space="preserve">45</w:t>
            </w:r>
          </w:p>
        </w:tc>
        <w:tc>
          <w:tcPr/>
          <w:p>
            <w:pPr>
              <w:pStyle w:val="Compact"/>
              <w:jc w:val="left"/>
            </w:pPr>
            <w:r>
              <w:rPr>
                <w:b/>
                <w:bCs/>
              </w:rPr>
              <w:t xml:space="preserve">Tier 2 (Important)</w:t>
            </w:r>
          </w:p>
        </w:tc>
        <w:tc>
          <w:tcPr/>
          <w:p>
            <w:pPr>
              <w:pStyle w:val="Compact"/>
              <w:jc w:val="left"/>
            </w:pPr>
            <w:r>
              <w:t xml:space="preserve">Mid-scale platform; regional not national impact</w:t>
            </w:r>
          </w:p>
        </w:tc>
      </w:tr>
    </w:tbl>
    <w:p>
      <w:pPr>
        <w:pStyle w:val="BlockText"/>
      </w:pPr>
      <w:r>
        <w:t xml:space="preserve">[!NOTE]</w:t>
      </w:r>
      <w:r>
        <w:t xml:space="preserve"> </w:t>
      </w:r>
      <w:r>
        <w:t xml:space="preserve">Smaller multi-hospital HMIS platforms like CareSync are</w:t>
      </w:r>
      <w:r>
        <w:t xml:space="preserve"> </w:t>
      </w:r>
      <w:r>
        <w:rPr>
          <w:b/>
          <w:bCs/>
        </w:rPr>
        <w:t xml:space="preserve">Tier 2</w:t>
      </w:r>
      <w:r>
        <w:t xml:space="preserve"> </w:t>
      </w:r>
      <w:r>
        <w:t xml:space="preserve">rather than Tier 1. The key differentiator from SwasthyaMitra is</w:t>
      </w:r>
      <w:r>
        <w:t xml:space="preserve"> </w:t>
      </w:r>
      <w:r>
        <w:rPr>
          <w:b/>
          <w:bCs/>
        </w:rPr>
        <w:t xml:space="preserve">scale and concentration</w:t>
      </w:r>
      <w:r>
        <w:t xml:space="preserve">: 5 hospitals vs 500+, regional vs statewide impact, and presence of alternative providers.</w:t>
      </w:r>
    </w:p>
    <w:bookmarkEnd w:id="506"/>
    <w:bookmarkStart w:id="507" w:name="applicable-obligations-6"/>
    <w:p>
      <w:pPr>
        <w:pStyle w:val="Heading3"/>
      </w:pPr>
      <w:r>
        <w:t xml:space="preserve">Applicable Obligations</w:t>
      </w:r>
    </w:p>
    <w:p>
      <w:pPr>
        <w:pStyle w:val="Compact"/>
        <w:numPr>
          <w:ilvl w:val="0"/>
          <w:numId w:val="1343"/>
        </w:numPr>
      </w:pPr>
      <w:r>
        <w:t xml:space="preserve">Security focal point (may be shared CISO for group)</w:t>
      </w:r>
    </w:p>
    <w:p>
      <w:pPr>
        <w:pStyle w:val="Compact"/>
        <w:numPr>
          <w:ilvl w:val="0"/>
          <w:numId w:val="1343"/>
        </w:numPr>
      </w:pPr>
      <w:r>
        <w:t xml:space="preserve">Biennial third-party audit</w:t>
      </w:r>
    </w:p>
    <w:p>
      <w:pPr>
        <w:pStyle w:val="Compact"/>
        <w:numPr>
          <w:ilvl w:val="0"/>
          <w:numId w:val="1343"/>
        </w:numPr>
      </w:pPr>
      <w:r>
        <w:t xml:space="preserve">72-96 hour incident reporting</w:t>
      </w:r>
    </w:p>
    <w:p>
      <w:pPr>
        <w:pStyle w:val="Compact"/>
        <w:numPr>
          <w:ilvl w:val="0"/>
          <w:numId w:val="1343"/>
        </w:numPr>
      </w:pPr>
      <w:r>
        <w:t xml:space="preserve">Business continuity plan with tested failover</w:t>
      </w:r>
    </w:p>
    <w:p>
      <w:pPr>
        <w:pStyle w:val="Compact"/>
        <w:numPr>
          <w:ilvl w:val="0"/>
          <w:numId w:val="1343"/>
        </w:numPr>
      </w:pPr>
      <w:r>
        <w:t xml:space="preserve">User access management</w:t>
      </w:r>
    </w:p>
    <w:p>
      <w:pPr>
        <w:pStyle w:val="Compact"/>
        <w:numPr>
          <w:ilvl w:val="0"/>
          <w:numId w:val="1343"/>
        </w:numPr>
      </w:pPr>
      <w:r>
        <w:t xml:space="preserve">Vendor security requirements</w:t>
      </w:r>
    </w:p>
    <w:p>
      <w:pPr>
        <w:pStyle w:val="Compact"/>
        <w:numPr>
          <w:ilvl w:val="0"/>
          <w:numId w:val="1343"/>
        </w:numPr>
      </w:pPr>
      <w:r>
        <w:t xml:space="preserve">ABDM integration security</w:t>
      </w:r>
    </w:p>
    <w:p>
      <w:r>
        <w:pict>
          <v:rect style="width:0;height:1.5pt" o:hralign="center" o:hrstd="t" o:hr="t"/>
        </w:pict>
      </w:r>
    </w:p>
    <w:bookmarkEnd w:id="507"/>
    <w:bookmarkEnd w:id="508"/>
    <w:bookmarkStart w:id="509" w:name="comparison-large-vs-small-hmis"/>
    <w:p>
      <w:pPr>
        <w:pStyle w:val="Heading2"/>
      </w:pPr>
      <w:r>
        <w:t xml:space="preserve">Comparison: Large vs Small HMIS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Factor</w:t>
            </w:r>
          </w:p>
        </w:tc>
        <w:tc>
          <w:tcPr/>
          <w:p>
            <w:pPr>
              <w:pStyle w:val="Compact"/>
              <w:jc w:val="left"/>
            </w:pPr>
            <w:r>
              <w:t xml:space="preserve">SwasthyaMitra (Large)</w:t>
            </w:r>
          </w:p>
        </w:tc>
        <w:tc>
          <w:tcPr/>
          <w:p>
            <w:pPr>
              <w:pStyle w:val="Compact"/>
              <w:jc w:val="left"/>
            </w:pPr>
            <w:r>
              <w:t xml:space="preserve">CareSync (Small)</w:t>
            </w:r>
          </w:p>
        </w:tc>
      </w:tr>
      <w:tr>
        <w:tc>
          <w:tcPr/>
          <w:p>
            <w:pPr>
              <w:pStyle w:val="Compact"/>
              <w:jc w:val="left"/>
            </w:pPr>
            <w:r>
              <w:rPr>
                <w:b/>
                <w:bCs/>
              </w:rPr>
              <w:t xml:space="preserve">Facilities</w:t>
            </w:r>
          </w:p>
        </w:tc>
        <w:tc>
          <w:tcPr/>
          <w:p>
            <w:pPr>
              <w:pStyle w:val="Compact"/>
              <w:jc w:val="left"/>
            </w:pPr>
            <w:r>
              <w:t xml:space="preserve">500+</w:t>
            </w:r>
          </w:p>
        </w:tc>
        <w:tc>
          <w:tcPr/>
          <w:p>
            <w:pPr>
              <w:pStyle w:val="Compact"/>
              <w:jc w:val="left"/>
            </w:pPr>
            <w:r>
              <w:t xml:space="preserve">5</w:t>
            </w:r>
          </w:p>
        </w:tc>
      </w:tr>
      <w:tr>
        <w:tc>
          <w:tcPr/>
          <w:p>
            <w:pPr>
              <w:pStyle w:val="Compact"/>
              <w:jc w:val="left"/>
            </w:pPr>
            <w:r>
              <w:rPr>
                <w:b/>
                <w:bCs/>
              </w:rPr>
              <w:t xml:space="preserve">Patient records</w:t>
            </w:r>
          </w:p>
        </w:tc>
        <w:tc>
          <w:tcPr/>
          <w:p>
            <w:pPr>
              <w:pStyle w:val="Compact"/>
              <w:jc w:val="left"/>
            </w:pPr>
            <w:r>
              <w:t xml:space="preserve">15M</w:t>
            </w:r>
          </w:p>
        </w:tc>
        <w:tc>
          <w:tcPr/>
          <w:p>
            <w:pPr>
              <w:pStyle w:val="Compact"/>
              <w:jc w:val="left"/>
            </w:pPr>
            <w:r>
              <w:t xml:space="preserve">2M</w:t>
            </w:r>
          </w:p>
        </w:tc>
      </w:tr>
      <w:tr>
        <w:tc>
          <w:tcPr/>
          <w:p>
            <w:pPr>
              <w:pStyle w:val="Compact"/>
              <w:jc w:val="left"/>
            </w:pPr>
            <w:r>
              <w:rPr>
                <w:b/>
                <w:bCs/>
              </w:rPr>
              <w:t xml:space="preserve">Users</w:t>
            </w:r>
          </w:p>
        </w:tc>
        <w:tc>
          <w:tcPr/>
          <w:p>
            <w:pPr>
              <w:pStyle w:val="Compact"/>
              <w:jc w:val="left"/>
            </w:pPr>
            <w:r>
              <w:t xml:space="preserve">45,000</w:t>
            </w:r>
          </w:p>
        </w:tc>
        <w:tc>
          <w:tcPr/>
          <w:p>
            <w:pPr>
              <w:pStyle w:val="Compact"/>
              <w:jc w:val="left"/>
            </w:pPr>
            <w:r>
              <w:t xml:space="preserve">4,000</w:t>
            </w:r>
          </w:p>
        </w:tc>
      </w:tr>
      <w:tr>
        <w:tc>
          <w:tcPr/>
          <w:p>
            <w:pPr>
              <w:pStyle w:val="Compact"/>
              <w:jc w:val="left"/>
            </w:pPr>
            <w:r>
              <w:rPr>
                <w:b/>
                <w:bCs/>
              </w:rPr>
              <w:t xml:space="preserve">Geographic scope</w:t>
            </w:r>
          </w:p>
        </w:tc>
        <w:tc>
          <w:tcPr/>
          <w:p>
            <w:pPr>
              <w:pStyle w:val="Compact"/>
              <w:jc w:val="left"/>
            </w:pPr>
            <w:r>
              <w:t xml:space="preserve">State-wide</w:t>
            </w:r>
          </w:p>
        </w:tc>
        <w:tc>
          <w:tcPr/>
          <w:p>
            <w:pPr>
              <w:pStyle w:val="Compact"/>
              <w:jc w:val="left"/>
            </w:pPr>
            <w:r>
              <w:t xml:space="preserve">Regional</w:t>
            </w:r>
          </w:p>
        </w:tc>
      </w:tr>
      <w:tr>
        <w:tc>
          <w:tcPr/>
          <w:p>
            <w:pPr>
              <w:pStyle w:val="Compact"/>
              <w:jc w:val="left"/>
            </w:pPr>
            <w:r>
              <w:rPr>
                <w:b/>
                <w:bCs/>
              </w:rPr>
              <w:t xml:space="preserve">Alternative providers</w:t>
            </w:r>
          </w:p>
        </w:tc>
        <w:tc>
          <w:tcPr/>
          <w:p>
            <w:pPr>
              <w:pStyle w:val="Compact"/>
              <w:jc w:val="left"/>
            </w:pPr>
            <w:r>
              <w:t xml:space="preserve">No (sole state system)</w:t>
            </w:r>
          </w:p>
        </w:tc>
        <w:tc>
          <w:tcPr/>
          <w:p>
            <w:pPr>
              <w:pStyle w:val="Compact"/>
              <w:jc w:val="left"/>
            </w:pPr>
            <w:r>
              <w:t xml:space="preserve">Yes</w:t>
            </w:r>
          </w:p>
        </w:tc>
      </w:tr>
      <w:tr>
        <w:tc>
          <w:tcPr/>
          <w:p>
            <w:pPr>
              <w:pStyle w:val="Compact"/>
              <w:jc w:val="left"/>
            </w:pPr>
            <w:r>
              <w:rPr>
                <w:b/>
                <w:bCs/>
              </w:rPr>
              <w:t xml:space="preserve">Tier</w:t>
            </w:r>
          </w:p>
        </w:tc>
        <w:tc>
          <w:tcPr/>
          <w:p>
            <w:pPr>
              <w:pStyle w:val="Compact"/>
              <w:jc w:val="left"/>
            </w:pPr>
            <w:r>
              <w:rPr>
                <w:b/>
                <w:bCs/>
              </w:rPr>
              <w:t xml:space="preserve">Tier 1</w:t>
            </w:r>
          </w:p>
        </w:tc>
        <w:tc>
          <w:tcPr/>
          <w:p>
            <w:pPr>
              <w:pStyle w:val="Compact"/>
              <w:jc w:val="left"/>
            </w:pPr>
            <w:r>
              <w:rPr>
                <w:b/>
                <w:bCs/>
              </w:rPr>
              <w:t xml:space="preserve">Tier 2</w:t>
            </w:r>
          </w:p>
        </w:tc>
      </w:tr>
      <w:tr>
        <w:tc>
          <w:tcPr/>
          <w:p>
            <w:pPr>
              <w:pStyle w:val="Compact"/>
              <w:jc w:val="left"/>
            </w:pPr>
            <w:r>
              <w:rPr>
                <w:b/>
                <w:bCs/>
              </w:rPr>
              <w:t xml:space="preserve">Audit frequency</w:t>
            </w:r>
          </w:p>
        </w:tc>
        <w:tc>
          <w:tcPr/>
          <w:p>
            <w:pPr>
              <w:pStyle w:val="Compact"/>
              <w:jc w:val="left"/>
            </w:pPr>
            <w:r>
              <w:t xml:space="preserve">Annual</w:t>
            </w:r>
          </w:p>
        </w:tc>
        <w:tc>
          <w:tcPr/>
          <w:p>
            <w:pPr>
              <w:pStyle w:val="Compact"/>
              <w:jc w:val="left"/>
            </w:pPr>
            <w:r>
              <w:t xml:space="preserve">Biennial</w:t>
            </w:r>
          </w:p>
        </w:tc>
      </w:tr>
      <w:tr>
        <w:tc>
          <w:tcPr/>
          <w:p>
            <w:pPr>
              <w:pStyle w:val="Compact"/>
              <w:jc w:val="left"/>
            </w:pPr>
            <w:r>
              <w:rPr>
                <w:b/>
                <w:bCs/>
              </w:rPr>
              <w:t xml:space="preserve">Reporting timeline</w:t>
            </w:r>
          </w:p>
        </w:tc>
        <w:tc>
          <w:tcPr/>
          <w:p>
            <w:pPr>
              <w:pStyle w:val="Compact"/>
              <w:jc w:val="left"/>
            </w:pPr>
            <w:r>
              <w:t xml:space="preserve">12-24 hours</w:t>
            </w:r>
          </w:p>
        </w:tc>
        <w:tc>
          <w:tcPr/>
          <w:p>
            <w:pPr>
              <w:pStyle w:val="Compact"/>
              <w:jc w:val="left"/>
            </w:pPr>
            <w:r>
              <w:t xml:space="preserve">72-96 hours</w:t>
            </w:r>
          </w:p>
        </w:tc>
      </w:tr>
      <w:tr>
        <w:tc>
          <w:tcPr/>
          <w:p>
            <w:pPr>
              <w:pStyle w:val="Compact"/>
              <w:jc w:val="left"/>
            </w:pPr>
            <w:r>
              <w:rPr>
                <w:b/>
                <w:bCs/>
              </w:rPr>
              <w:t xml:space="preserve">SOC requirement</w:t>
            </w:r>
          </w:p>
        </w:tc>
        <w:tc>
          <w:tcPr/>
          <w:p>
            <w:pPr>
              <w:pStyle w:val="Compact"/>
              <w:jc w:val="left"/>
            </w:pPr>
            <w:r>
              <w:t xml:space="preserve">24/7 dedicated</w:t>
            </w:r>
          </w:p>
        </w:tc>
        <w:tc>
          <w:tcPr/>
          <w:p>
            <w:pPr>
              <w:pStyle w:val="Compact"/>
              <w:jc w:val="left"/>
            </w:pPr>
            <w:r>
              <w:t xml:space="preserve">Shared/outsourced</w:t>
            </w:r>
          </w:p>
        </w:tc>
      </w:tr>
    </w:tbl>
    <w:p>
      <w:r>
        <w:pict>
          <v:rect style="width:0;height:1.5pt" o:hralign="center" o:hrstd="t" o:hr="t"/>
        </w:pict>
      </w:r>
    </w:p>
    <w:bookmarkEnd w:id="509"/>
    <w:bookmarkStart w:id="511" w:name="X4294193ee404eb3c5b0810578dedd48d19e8664"/>
    <w:p>
      <w:pPr>
        <w:pStyle w:val="Heading2"/>
      </w:pPr>
      <w:r>
        <w:t xml:space="preserve">Summary: Digital Health Platform Classification</w:t>
      </w:r>
    </w:p>
    <w:tbl>
      <w:tblPr>
        <w:tblStyle w:val="Table"/>
        <w:tblW w:type="pct" w:w="5000"/>
        <w:tblLayout w:type="fixed"/>
        <w:tblLook w:firstRow="1" w:lastRow="0" w:firstColumn="0" w:lastColumn="0" w:noHBand="0" w:noVBand="0" w:val="0020"/>
      </w:tblPr>
      <w:tblGrid>
        <w:gridCol w:w="2376"/>
        <w:gridCol w:w="2970"/>
        <w:gridCol w:w="1386"/>
        <w:gridCol w:w="1188"/>
      </w:tblGrid>
      <w:tr>
        <w:trPr>
          <w:tblHeader w:val="on"/>
        </w:trPr>
        <w:tc>
          <w:tcPr/>
          <w:p>
            <w:pPr>
              <w:pStyle w:val="Compact"/>
              <w:jc w:val="left"/>
            </w:pPr>
            <w:r>
              <w:t xml:space="preserve">Case Study</w:t>
            </w:r>
          </w:p>
        </w:tc>
        <w:tc>
          <w:tcPr/>
          <w:p>
            <w:pPr>
              <w:pStyle w:val="Compact"/>
              <w:jc w:val="left"/>
            </w:pPr>
            <w:r>
              <w:t xml:space="preserve">Platform Type</w:t>
            </w:r>
          </w:p>
        </w:tc>
        <w:tc>
          <w:tcPr/>
          <w:p>
            <w:pPr>
              <w:pStyle w:val="Compact"/>
              <w:jc w:val="center"/>
            </w:pPr>
            <w:r>
              <w:t xml:space="preserve">Score</w:t>
            </w:r>
          </w:p>
        </w:tc>
        <w:tc>
          <w:tcPr/>
          <w:p>
            <w:pPr>
              <w:pStyle w:val="Compact"/>
              <w:jc w:val="center"/>
            </w:pPr>
            <w:r>
              <w:t xml:space="preserve">Tier</w:t>
            </w:r>
          </w:p>
        </w:tc>
      </w:tr>
      <w:tr>
        <w:tc>
          <w:tcPr/>
          <w:p>
            <w:pPr>
              <w:pStyle w:val="Compact"/>
              <w:jc w:val="left"/>
            </w:pPr>
            <w:r>
              <w:t xml:space="preserve">SwasthyaSetu</w:t>
            </w:r>
          </w:p>
        </w:tc>
        <w:tc>
          <w:tcPr/>
          <w:p>
            <w:pPr>
              <w:pStyle w:val="Compact"/>
              <w:jc w:val="left"/>
            </w:pPr>
            <w:r>
              <w:t xml:space="preserve">National digital health</w:t>
            </w:r>
          </w:p>
        </w:tc>
        <w:tc>
          <w:tcPr/>
          <w:p>
            <w:pPr>
              <w:pStyle w:val="Compact"/>
              <w:jc w:val="center"/>
            </w:pPr>
            <w:r>
              <w:t xml:space="preserve">Auto</w:t>
            </w:r>
          </w:p>
        </w:tc>
        <w:tc>
          <w:tcPr/>
          <w:p>
            <w:pPr>
              <w:pStyle w:val="Compact"/>
              <w:jc w:val="center"/>
            </w:pPr>
            <w:r>
              <w:rPr>
                <w:b/>
                <w:bCs/>
              </w:rPr>
              <w:t xml:space="preserve">Tier 1</w:t>
            </w:r>
            <w:r>
              <w:t xml:space="preserve"> </w:t>
            </w:r>
            <w:r>
              <w:t xml:space="preserve">(auto)</w:t>
            </w:r>
          </w:p>
        </w:tc>
      </w:tr>
      <w:tr>
        <w:tc>
          <w:tcPr/>
          <w:p>
            <w:pPr>
              <w:pStyle w:val="Compact"/>
              <w:jc w:val="left"/>
            </w:pPr>
            <w:r>
              <w:t xml:space="preserve">MyHealthVault</w:t>
            </w:r>
          </w:p>
        </w:tc>
        <w:tc>
          <w:tcPr/>
          <w:p>
            <w:pPr>
              <w:pStyle w:val="Compact"/>
              <w:jc w:val="left"/>
            </w:pPr>
            <w:r>
              <w:t xml:space="preserve">PHR/health data aggregator</w:t>
            </w:r>
          </w:p>
        </w:tc>
        <w:tc>
          <w:tcPr/>
          <w:p>
            <w:pPr>
              <w:pStyle w:val="Compact"/>
              <w:jc w:val="center"/>
            </w:pPr>
            <w:r>
              <w:t xml:space="preserve">70</w:t>
            </w:r>
          </w:p>
        </w:tc>
        <w:tc>
          <w:tcPr/>
          <w:p>
            <w:pPr>
              <w:pStyle w:val="Compact"/>
              <w:jc w:val="center"/>
            </w:pPr>
            <w:r>
              <w:rPr>
                <w:b/>
                <w:bCs/>
              </w:rPr>
              <w:t xml:space="preserve">Tier 1</w:t>
            </w:r>
          </w:p>
        </w:tc>
      </w:tr>
      <w:tr>
        <w:tc>
          <w:tcPr/>
          <w:p>
            <w:pPr>
              <w:pStyle w:val="Compact"/>
              <w:jc w:val="left"/>
            </w:pPr>
            <w:r>
              <w:t xml:space="preserve">SwasthyaMitra</w:t>
            </w:r>
          </w:p>
        </w:tc>
        <w:tc>
          <w:tcPr/>
          <w:p>
            <w:pPr>
              <w:pStyle w:val="Compact"/>
              <w:jc w:val="left"/>
            </w:pPr>
            <w:r>
              <w:t xml:space="preserve">State HMIS (500+ hospitals)</w:t>
            </w:r>
          </w:p>
        </w:tc>
        <w:tc>
          <w:tcPr/>
          <w:p>
            <w:pPr>
              <w:pStyle w:val="Compact"/>
              <w:jc w:val="center"/>
            </w:pPr>
            <w:r>
              <w:t xml:space="preserve">80</w:t>
            </w:r>
          </w:p>
        </w:tc>
        <w:tc>
          <w:tcPr/>
          <w:p>
            <w:pPr>
              <w:pStyle w:val="Compact"/>
              <w:jc w:val="center"/>
            </w:pPr>
            <w:r>
              <w:rPr>
                <w:b/>
                <w:bCs/>
              </w:rPr>
              <w:t xml:space="preserve">Tier 1</w:t>
            </w:r>
          </w:p>
        </w:tc>
      </w:tr>
      <w:tr>
        <w:tc>
          <w:tcPr/>
          <w:p>
            <w:pPr>
              <w:pStyle w:val="Compact"/>
              <w:jc w:val="left"/>
            </w:pPr>
            <w:r>
              <w:t xml:space="preserve">CareSync Enterprise</w:t>
            </w:r>
          </w:p>
        </w:tc>
        <w:tc>
          <w:tcPr/>
          <w:p>
            <w:pPr>
              <w:pStyle w:val="Compact"/>
              <w:jc w:val="left"/>
            </w:pPr>
            <w:r>
              <w:t xml:space="preserve">Multi-hospital HMIS (5 hospitals)</w:t>
            </w:r>
          </w:p>
        </w:tc>
        <w:tc>
          <w:tcPr/>
          <w:p>
            <w:pPr>
              <w:pStyle w:val="Compact"/>
              <w:jc w:val="center"/>
            </w:pPr>
            <w:r>
              <w:t xml:space="preserve">45</w:t>
            </w:r>
          </w:p>
        </w:tc>
        <w:tc>
          <w:tcPr/>
          <w:p>
            <w:pPr>
              <w:pStyle w:val="Compact"/>
              <w:jc w:val="center"/>
            </w:pPr>
            <w:r>
              <w:rPr>
                <w:b/>
                <w:bCs/>
              </w:rPr>
              <w:t xml:space="preserve">Tier 2</w:t>
            </w:r>
          </w:p>
        </w:tc>
      </w:tr>
    </w:tbl>
    <w:bookmarkStart w:id="510" w:name="key-insights-1"/>
    <w:p>
      <w:pPr>
        <w:pStyle w:val="Heading3"/>
      </w:pPr>
      <w:r>
        <w:t xml:space="preserve">Key Insights</w:t>
      </w:r>
    </w:p>
    <w:p>
      <w:pPr>
        <w:pStyle w:val="Compact"/>
        <w:numPr>
          <w:ilvl w:val="0"/>
          <w:numId w:val="1344"/>
        </w:numPr>
      </w:pPr>
      <w:r>
        <w:rPr>
          <w:b/>
          <w:bCs/>
        </w:rPr>
        <w:t xml:space="preserve">National platforms are automatic Tier 1</w:t>
      </w:r>
      <w:r>
        <w:t xml:space="preserve">: Any national-level health information system triggers automatic classification</w:t>
      </w:r>
    </w:p>
    <w:p>
      <w:pPr>
        <w:pStyle w:val="Compact"/>
        <w:numPr>
          <w:ilvl w:val="0"/>
          <w:numId w:val="1344"/>
        </w:numPr>
      </w:pPr>
      <w:r>
        <w:rPr>
          <w:b/>
          <w:bCs/>
        </w:rPr>
        <w:t xml:space="preserve">Data aggregation creates concentrated risk</w:t>
      </w:r>
      <w:r>
        <w:t xml:space="preserve">: PHR platforms aggregating from thousands of sources have unique criticality</w:t>
      </w:r>
    </w:p>
    <w:p>
      <w:pPr>
        <w:pStyle w:val="Compact"/>
        <w:numPr>
          <w:ilvl w:val="0"/>
          <w:numId w:val="1344"/>
        </w:numPr>
      </w:pPr>
      <w:r>
        <w:rPr>
          <w:b/>
          <w:bCs/>
        </w:rPr>
        <w:t xml:space="preserve">HMIS scale determines tier</w:t>
      </w:r>
      <w:r>
        <w:t xml:space="preserve">: 500+ facilities is Tier 1; 5 facilities is Tier 2—a 100x difference justifies different classification</w:t>
      </w:r>
    </w:p>
    <w:p>
      <w:pPr>
        <w:pStyle w:val="Compact"/>
        <w:numPr>
          <w:ilvl w:val="0"/>
          <w:numId w:val="1344"/>
        </w:numPr>
      </w:pPr>
      <w:r>
        <w:rPr>
          <w:b/>
          <w:bCs/>
        </w:rPr>
        <w:t xml:space="preserve">System-level assessment matters</w:t>
      </w:r>
      <w:r>
        <w:t xml:space="preserve">: A platform’s criticality exceeds the sum of its connected facilities</w:t>
      </w:r>
    </w:p>
    <w:p>
      <w:pPr>
        <w:sectPr>
          <w:footerReference w:type="first" r:id="rId13"/>
          <w:footerReference w:type="default" r:id="rId11"/>
          <w:footerReference w:type="even" r:id="rId10"/>
          <w:type w:val="nextPage"/>
        </w:sectPr>
      </w:pPr>
    </w:p>
    <w:bookmarkEnd w:id="510"/>
    <w:bookmarkEnd w:id="511"/>
    <w:bookmarkEnd w:id="512"/>
    <w:bookmarkStart w:id="542" w:name="X35f9207c733a724070b8f6e444fe25b32f2fb75"/>
    <w:p>
      <w:pPr>
        <w:pStyle w:val="Heading1"/>
      </w:pPr>
      <w:r>
        <w:t xml:space="preserve">CII Case Studies: Diagnostics, Pharma, and Biotech</w:t>
      </w:r>
    </w:p>
    <w:p>
      <w:pPr>
        <w:pStyle w:val="FirstParagraph"/>
      </w:pPr>
      <w:r>
        <w:t xml:space="preserve">This chapter presents case studies for</w:t>
      </w:r>
      <w:r>
        <w:t xml:space="preserve"> </w:t>
      </w:r>
      <w:r>
        <w:rPr>
          <w:b/>
          <w:bCs/>
        </w:rPr>
        <w:t xml:space="preserve">diagnostic services, pharmaceutical manufacturing, and biotechnology research</w:t>
      </w:r>
      <w:r>
        <w:t xml:space="preserve"> </w:t>
      </w:r>
      <w:r>
        <w:t xml:space="preserve">entities.</w:t>
      </w:r>
    </w:p>
    <w:p>
      <w:r>
        <w:pict>
          <v:rect style="width:0;height:1.5pt" o:hralign="center" o:hrstd="t" o:hr="t"/>
        </w:pict>
      </w:r>
    </w:p>
    <w:bookmarkStart w:id="518" w:name="X09838e89dd10bb65963c6858afd0ed806780099"/>
    <w:p>
      <w:pPr>
        <w:pStyle w:val="Heading2"/>
      </w:pPr>
      <w:r>
        <w:t xml:space="preserve">Case Study 1: Private Laboratory Chain -</w:t>
      </w:r>
      <w:r>
        <w:t xml:space="preserve"> </w:t>
      </w:r>
      <w:r>
        <w:t xml:space="preserve">“DiagnoFirst”</w:t>
      </w:r>
    </w:p>
    <w:bookmarkStart w:id="513" w:name="entity-profile-10"/>
    <w:p>
      <w:pPr>
        <w:pStyle w:val="Heading3"/>
      </w:pPr>
      <w:r>
        <w:t xml:space="preserve">Entity Profile</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jc w:val="left"/>
            </w:pPr>
            <w:r>
              <w:t xml:space="preserve">Attribute</w:t>
            </w:r>
          </w:p>
        </w:tc>
        <w:tc>
          <w:tcPr/>
          <w:p>
            <w:pPr>
              <w:pStyle w:val="Compact"/>
              <w:jc w:val="left"/>
            </w:pPr>
            <w:r>
              <w:t xml:space="preserve">Details</w:t>
            </w:r>
          </w:p>
        </w:tc>
      </w:tr>
      <w:tr>
        <w:tc>
          <w:tcPr/>
          <w:p>
            <w:pPr>
              <w:pStyle w:val="Compact"/>
              <w:jc w:val="left"/>
            </w:pPr>
            <w:r>
              <w:rPr>
                <w:b/>
                <w:bCs/>
              </w:rPr>
              <w:t xml:space="preserve">Name</w:t>
            </w:r>
          </w:p>
        </w:tc>
        <w:tc>
          <w:tcPr/>
          <w:p>
            <w:pPr>
              <w:pStyle w:val="Compact"/>
              <w:jc w:val="left"/>
            </w:pPr>
            <w:r>
              <w:t xml:space="preserve">DiagnoFirst Laboratory Network</w:t>
            </w:r>
          </w:p>
        </w:tc>
      </w:tr>
      <w:tr>
        <w:tc>
          <w:tcPr/>
          <w:p>
            <w:pPr>
              <w:pStyle w:val="Compact"/>
              <w:jc w:val="left"/>
            </w:pPr>
            <w:r>
              <w:rPr>
                <w:b/>
                <w:bCs/>
              </w:rPr>
              <w:t xml:space="preserve">Type</w:t>
            </w:r>
          </w:p>
        </w:tc>
        <w:tc>
          <w:tcPr/>
          <w:p>
            <w:pPr>
              <w:pStyle w:val="Compact"/>
              <w:jc w:val="left"/>
            </w:pPr>
            <w:r>
              <w:t xml:space="preserve">Private diagnostic laboratory chain</w:t>
            </w:r>
          </w:p>
        </w:tc>
      </w:tr>
      <w:tr>
        <w:tc>
          <w:tcPr/>
          <w:p>
            <w:pPr>
              <w:pStyle w:val="Compact"/>
              <w:jc w:val="left"/>
            </w:pPr>
            <w:r>
              <w:rPr>
                <w:b/>
                <w:bCs/>
              </w:rPr>
              <w:t xml:space="preserve">Coverage</w:t>
            </w:r>
          </w:p>
        </w:tc>
        <w:tc>
          <w:tcPr/>
          <w:p>
            <w:pPr>
              <w:pStyle w:val="Compact"/>
              <w:jc w:val="left"/>
            </w:pPr>
            <w:r>
              <w:t xml:space="preserve">500 collection centres; 25 processing labs</w:t>
            </w:r>
          </w:p>
        </w:tc>
      </w:tr>
      <w:tr>
        <w:tc>
          <w:tcPr/>
          <w:p>
            <w:pPr>
              <w:pStyle w:val="Compact"/>
              <w:jc w:val="left"/>
            </w:pPr>
            <w:r>
              <w:rPr>
                <w:b/>
                <w:bCs/>
              </w:rPr>
              <w:t xml:space="preserve">Tests performed</w:t>
            </w:r>
          </w:p>
        </w:tc>
        <w:tc>
          <w:tcPr/>
          <w:p>
            <w:pPr>
              <w:pStyle w:val="Compact"/>
              <w:jc w:val="left"/>
            </w:pPr>
            <w:r>
              <w:t xml:space="preserve">15 million per year</w:t>
            </w:r>
          </w:p>
        </w:tc>
      </w:tr>
      <w:tr>
        <w:tc>
          <w:tcPr/>
          <w:p>
            <w:pPr>
              <w:pStyle w:val="Compact"/>
              <w:jc w:val="left"/>
            </w:pPr>
            <w:r>
              <w:rPr>
                <w:b/>
                <w:bCs/>
              </w:rPr>
              <w:t xml:space="preserve">Employees</w:t>
            </w:r>
          </w:p>
        </w:tc>
        <w:tc>
          <w:tcPr/>
          <w:p>
            <w:pPr>
              <w:pStyle w:val="Compact"/>
              <w:jc w:val="left"/>
            </w:pPr>
            <w:r>
              <w:t xml:space="preserve">4,000</w:t>
            </w:r>
          </w:p>
        </w:tc>
      </w:tr>
      <w:tr>
        <w:tc>
          <w:tcPr/>
          <w:p>
            <w:pPr>
              <w:pStyle w:val="Compact"/>
              <w:jc w:val="left"/>
            </w:pPr>
            <w:r>
              <w:rPr>
                <w:b/>
                <w:bCs/>
              </w:rPr>
              <w:t xml:space="preserve">Key services</w:t>
            </w:r>
          </w:p>
        </w:tc>
        <w:tc>
          <w:tcPr/>
          <w:p>
            <w:pPr>
              <w:pStyle w:val="Compact"/>
              <w:jc w:val="left"/>
            </w:pPr>
            <w:r>
              <w:t xml:space="preserve">Pathology, radiology, molecular diagnostics</w:t>
            </w:r>
          </w:p>
        </w:tc>
      </w:tr>
      <w:tr>
        <w:tc>
          <w:tcPr/>
          <w:p>
            <w:pPr>
              <w:pStyle w:val="Compact"/>
              <w:jc w:val="left"/>
            </w:pPr>
            <w:r>
              <w:rPr>
                <w:b/>
                <w:bCs/>
              </w:rPr>
              <w:t xml:space="preserve">Digital systems</w:t>
            </w:r>
          </w:p>
        </w:tc>
        <w:tc>
          <w:tcPr/>
          <w:p>
            <w:pPr>
              <w:pStyle w:val="Compact"/>
              <w:jc w:val="left"/>
            </w:pPr>
            <w:r>
              <w:t xml:space="preserve">Centralized LIMS; patient portal; doctor portal</w:t>
            </w:r>
          </w:p>
        </w:tc>
      </w:tr>
      <w:tr>
        <w:tc>
          <w:tcPr/>
          <w:p>
            <w:pPr>
              <w:pStyle w:val="Compact"/>
              <w:jc w:val="left"/>
            </w:pPr>
            <w:r>
              <w:rPr>
                <w:b/>
                <w:bCs/>
              </w:rPr>
              <w:t xml:space="preserve">Integrations</w:t>
            </w:r>
          </w:p>
        </w:tc>
        <w:tc>
          <w:tcPr/>
          <w:p>
            <w:pPr>
              <w:pStyle w:val="Compact"/>
              <w:jc w:val="left"/>
            </w:pPr>
            <w:r>
              <w:t xml:space="preserve">Connected to 200+ hospitals; insurance platforms</w:t>
            </w:r>
          </w:p>
        </w:tc>
      </w:tr>
    </w:tbl>
    <w:bookmarkEnd w:id="513"/>
    <w:bookmarkStart w:id="515" w:name="cii-classification-assessment-10"/>
    <w:p>
      <w:pPr>
        <w:pStyle w:val="Heading3"/>
      </w:pPr>
      <w:r>
        <w:t xml:space="preserve">CII Classification Assessment</w:t>
      </w:r>
    </w:p>
    <w:bookmarkStart w:id="514" w:name="scoring-developing-country-framework-6"/>
    <w:p>
      <w:pPr>
        <w:pStyle w:val="Heading4"/>
      </w:pPr>
      <w:r>
        <w:t xml:space="preserve">Scoring (Developing Country Framework)</w:t>
      </w:r>
    </w:p>
    <w:tbl>
      <w:tblPr>
        <w:tblStyle w:val="Table"/>
        <w:tblW w:type="pct" w:w="5000"/>
        <w:tblLayout w:type="fixed"/>
        <w:tblLook w:firstRow="1" w:lastRow="0" w:firstColumn="0" w:lastColumn="0" w:noHBand="0" w:noVBand="0" w:val="0020"/>
      </w:tblPr>
      <w:tblGrid>
        <w:gridCol w:w="1863"/>
        <w:gridCol w:w="2562"/>
        <w:gridCol w:w="3494"/>
      </w:tblGrid>
      <w:tr>
        <w:trPr>
          <w:tblHeader w:val="on"/>
        </w:trPr>
        <w:tc>
          <w:tcPr/>
          <w:p>
            <w:pPr>
              <w:pStyle w:val="Compact"/>
              <w:jc w:val="left"/>
            </w:pPr>
            <w:r>
              <w:t xml:space="preserve">Domain</w:t>
            </w:r>
          </w:p>
        </w:tc>
        <w:tc>
          <w:tcPr/>
          <w:p>
            <w:pPr>
              <w:pStyle w:val="Compact"/>
              <w:jc w:val="left"/>
            </w:pPr>
            <w:r>
              <w:t xml:space="preserve">Criterion</w:t>
            </w:r>
          </w:p>
        </w:tc>
        <w:tc>
          <w:tcPr/>
          <w:p>
            <w:pPr>
              <w:pStyle w:val="Compact"/>
              <w:jc w:val="center"/>
            </w:pPr>
            <w:r>
              <w:t xml:space="preserve">Points Scored</w:t>
            </w:r>
          </w:p>
        </w:tc>
      </w:tr>
      <w:tr>
        <w:tc>
          <w:tcPr/>
          <w:p>
            <w:pPr>
              <w:pStyle w:val="Compact"/>
              <w:jc w:val="left"/>
            </w:pPr>
            <w:r>
              <w:rPr>
                <w:b/>
                <w:bCs/>
              </w:rPr>
              <w:t xml:space="preserve">A. Scale</w:t>
            </w:r>
          </w:p>
        </w:tc>
        <w:tc>
          <w:tcPr/>
          <w:p>
            <w:pPr>
              <w:pStyle w:val="Compact"/>
              <w:jc w:val="left"/>
            </w:pPr>
            <w:r>
              <w:t xml:space="preserve">15M tests/year (major national diagnostic player)</w:t>
            </w:r>
          </w:p>
        </w:tc>
        <w:tc>
          <w:tcPr/>
          <w:p>
            <w:pPr>
              <w:pStyle w:val="Compact"/>
              <w:jc w:val="center"/>
            </w:pPr>
            <w:r>
              <w:t xml:space="preserve">25</w:t>
            </w:r>
          </w:p>
        </w:tc>
      </w:tr>
      <w:tr>
        <w:tc>
          <w:tcPr/>
          <w:p>
            <w:pPr>
              <w:pStyle w:val="Compact"/>
              <w:jc w:val="left"/>
            </w:pPr>
            <w:r>
              <w:rPr>
                <w:b/>
                <w:bCs/>
              </w:rPr>
              <w:t xml:space="preserve">B. Capability</w:t>
            </w:r>
          </w:p>
        </w:tc>
        <w:tc>
          <w:tcPr/>
          <w:p>
            <w:pPr>
              <w:pStyle w:val="Compact"/>
              <w:jc w:val="left"/>
            </w:pPr>
            <w:r>
              <w:t xml:space="preserve">Reference laboratory for complex diagnostics</w:t>
            </w:r>
          </w:p>
        </w:tc>
        <w:tc>
          <w:tcPr/>
          <w:p>
            <w:pPr>
              <w:pStyle w:val="Compact"/>
              <w:jc w:val="center"/>
            </w:pPr>
            <w:r>
              <w:t xml:space="preserve">15</w:t>
            </w:r>
          </w:p>
        </w:tc>
      </w:tr>
      <w:tr>
        <w:tc>
          <w:tcPr/>
          <w:p>
            <w:pPr>
              <w:pStyle w:val="Compact"/>
              <w:jc w:val="left"/>
            </w:pPr>
            <w:r>
              <w:rPr>
                <w:b/>
                <w:bCs/>
              </w:rPr>
              <w:t xml:space="preserve">C. Geographic Criticality</w:t>
            </w:r>
          </w:p>
        </w:tc>
        <w:tc>
          <w:tcPr/>
          <w:p>
            <w:pPr>
              <w:pStyle w:val="Compact"/>
              <w:jc w:val="left"/>
            </w:pPr>
            <w:r>
              <w:t xml:space="preserve">Alternative labs available in most areas</w:t>
            </w:r>
          </w:p>
        </w:tc>
        <w:tc>
          <w:tcPr/>
          <w:p>
            <w:pPr>
              <w:pStyle w:val="Compact"/>
              <w:jc w:val="center"/>
            </w:pPr>
            <w:r>
              <w:t xml:space="preserve">5</w:t>
            </w:r>
          </w:p>
        </w:tc>
      </w:tr>
      <w:tr>
        <w:tc>
          <w:tcPr/>
          <w:p>
            <w:pPr>
              <w:pStyle w:val="Compact"/>
              <w:jc w:val="left"/>
            </w:pPr>
            <w:r>
              <w:rPr>
                <w:b/>
                <w:bCs/>
              </w:rPr>
              <w:t xml:space="preserve">D. National Program Integration</w:t>
            </w:r>
          </w:p>
        </w:tc>
        <w:tc>
          <w:tcPr/>
          <w:p>
            <w:pPr>
              <w:pStyle w:val="Compact"/>
              <w:jc w:val="left"/>
            </w:pPr>
            <w:r>
              <w:t xml:space="preserve">Disease surveillance contributor; insurance linked</w:t>
            </w:r>
          </w:p>
        </w:tc>
        <w:tc>
          <w:tcPr/>
          <w:p>
            <w:pPr>
              <w:pStyle w:val="Compact"/>
              <w:jc w:val="center"/>
            </w:pPr>
            <w:r>
              <w:t xml:space="preserve">15</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60</w:t>
            </w:r>
          </w:p>
        </w:tc>
      </w:tr>
    </w:tbl>
    <w:bookmarkEnd w:id="514"/>
    <w:bookmarkEnd w:id="515"/>
    <w:bookmarkStart w:id="516" w:name="classification-result-10"/>
    <w:p>
      <w:pPr>
        <w:pStyle w:val="Heading3"/>
      </w:pPr>
      <w:r>
        <w:t xml:space="preserve">Classification Result</w:t>
      </w:r>
    </w:p>
    <w:tbl>
      <w:tblPr>
        <w:tblStyle w:val="Table"/>
        <w:tblW w:type="pct" w:w="5000"/>
        <w:tblLayout w:type="fixed"/>
        <w:tblLook w:firstRow="1" w:lastRow="0" w:firstColumn="0" w:lastColumn="0" w:noHBand="0" w:noVBand="0" w:val="0020"/>
      </w:tblPr>
      <w:tblGrid>
        <w:gridCol w:w="2489"/>
        <w:gridCol w:w="1584"/>
        <w:gridCol w:w="1357"/>
        <w:gridCol w:w="2489"/>
      </w:tblGrid>
      <w:tr>
        <w:trPr>
          <w:tblHeader w:val="on"/>
        </w:trPr>
        <w:tc>
          <w:tcPr/>
          <w:p>
            <w:pPr>
              <w:pStyle w:val="Compact"/>
              <w:jc w:val="left"/>
            </w:pPr>
            <w:r>
              <w:t xml:space="preserve">Framework</w:t>
            </w:r>
          </w:p>
        </w:tc>
        <w:tc>
          <w:tcPr/>
          <w:p>
            <w:pPr>
              <w:pStyle w:val="Compact"/>
              <w:jc w:val="left"/>
            </w:pPr>
            <w:r>
              <w:t xml:space="preserve">Score</w:t>
            </w:r>
          </w:p>
        </w:tc>
        <w:tc>
          <w:tcPr/>
          <w:p>
            <w:pPr>
              <w:pStyle w:val="Compact"/>
              <w:jc w:val="left"/>
            </w:pPr>
            <w:r>
              <w:t xml:space="preserve">Tier</w:t>
            </w:r>
          </w:p>
        </w:tc>
        <w:tc>
          <w:tcPr/>
          <w:p>
            <w:pPr>
              <w:pStyle w:val="Compact"/>
              <w:jc w:val="left"/>
            </w:pPr>
            <w:r>
              <w:t xml:space="preserve">Rationale</w:t>
            </w:r>
          </w:p>
        </w:tc>
      </w:tr>
      <w:tr>
        <w:tc>
          <w:tcPr/>
          <w:p>
            <w:pPr>
              <w:pStyle w:val="Compact"/>
              <w:jc w:val="left"/>
            </w:pPr>
            <w:r>
              <w:rPr>
                <w:b/>
                <w:bCs/>
              </w:rPr>
              <w:t xml:space="preserve">Developing Country</w:t>
            </w:r>
          </w:p>
        </w:tc>
        <w:tc>
          <w:tcPr/>
          <w:p>
            <w:pPr>
              <w:pStyle w:val="Compact"/>
              <w:jc w:val="left"/>
            </w:pPr>
            <w:r>
              <w:t xml:space="preserve">60</w:t>
            </w:r>
          </w:p>
        </w:tc>
        <w:tc>
          <w:tcPr/>
          <w:p>
            <w:pPr>
              <w:pStyle w:val="Compact"/>
              <w:jc w:val="left"/>
            </w:pPr>
            <w:r>
              <w:rPr>
                <w:b/>
                <w:bCs/>
              </w:rPr>
              <w:t xml:space="preserve">Tier 1 (Essential)</w:t>
            </w:r>
          </w:p>
        </w:tc>
        <w:tc>
          <w:tcPr/>
          <w:p>
            <w:pPr>
              <w:pStyle w:val="Compact"/>
              <w:jc w:val="left"/>
            </w:pPr>
            <w:r>
              <w:t xml:space="preserve">Major diagnostic infrastructure; disease surveillance role</w:t>
            </w:r>
          </w:p>
        </w:tc>
      </w:tr>
    </w:tbl>
    <w:bookmarkEnd w:id="516"/>
    <w:bookmarkStart w:id="517" w:name="applicable-obligations-7"/>
    <w:p>
      <w:pPr>
        <w:pStyle w:val="Heading3"/>
      </w:pPr>
      <w:r>
        <w:t xml:space="preserve">Applicable Obligations</w:t>
      </w:r>
    </w:p>
    <w:p>
      <w:pPr>
        <w:pStyle w:val="Compact"/>
        <w:numPr>
          <w:ilvl w:val="0"/>
          <w:numId w:val="1345"/>
        </w:numPr>
      </w:pPr>
      <w:r>
        <w:t xml:space="preserve">Group CISO for network</w:t>
      </w:r>
    </w:p>
    <w:p>
      <w:pPr>
        <w:pStyle w:val="Compact"/>
        <w:numPr>
          <w:ilvl w:val="0"/>
          <w:numId w:val="1345"/>
        </w:numPr>
      </w:pPr>
      <w:r>
        <w:t xml:space="preserve">Annual audit of centralized LIMS</w:t>
      </w:r>
    </w:p>
    <w:p>
      <w:pPr>
        <w:pStyle w:val="Compact"/>
        <w:numPr>
          <w:ilvl w:val="0"/>
          <w:numId w:val="1345"/>
        </w:numPr>
      </w:pPr>
      <w:r>
        <w:t xml:space="preserve">24-48 hour incident reporting</w:t>
      </w:r>
    </w:p>
    <w:p>
      <w:pPr>
        <w:pStyle w:val="Compact"/>
        <w:numPr>
          <w:ilvl w:val="0"/>
          <w:numId w:val="1345"/>
        </w:numPr>
      </w:pPr>
      <w:r>
        <w:t xml:space="preserve">Supply chain security for IT vendors</w:t>
      </w:r>
    </w:p>
    <w:p>
      <w:pPr>
        <w:pStyle w:val="Compact"/>
        <w:numPr>
          <w:ilvl w:val="0"/>
          <w:numId w:val="1345"/>
        </w:numPr>
      </w:pPr>
      <w:r>
        <w:t xml:space="preserve">Data protection compliance (patient reports)</w:t>
      </w:r>
    </w:p>
    <w:p>
      <w:r>
        <w:pict>
          <v:rect style="width:0;height:1.5pt" o:hralign="center" o:hrstd="t" o:hr="t"/>
        </w:pict>
      </w:r>
    </w:p>
    <w:bookmarkEnd w:id="517"/>
    <w:bookmarkEnd w:id="518"/>
    <w:bookmarkStart w:id="525" w:name="X7f5486383a841a19fd58af5181afede91d4ced0"/>
    <w:p>
      <w:pPr>
        <w:pStyle w:val="Heading2"/>
      </w:pPr>
      <w:r>
        <w:t xml:space="preserve">Case Study 2: Genomic Sequencing Laboratory -</w:t>
      </w:r>
      <w:r>
        <w:t xml:space="preserve"> </w:t>
      </w:r>
      <w:r>
        <w:t xml:space="preserve">“GenomeIndia Labs”</w:t>
      </w:r>
    </w:p>
    <w:bookmarkStart w:id="519" w:name="entity-profile-11"/>
    <w:p>
      <w:pPr>
        <w:pStyle w:val="Heading3"/>
      </w:pPr>
      <w:r>
        <w:t xml:space="preserve">Entity Profile</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jc w:val="left"/>
            </w:pPr>
            <w:r>
              <w:t xml:space="preserve">Attribute</w:t>
            </w:r>
          </w:p>
        </w:tc>
        <w:tc>
          <w:tcPr/>
          <w:p>
            <w:pPr>
              <w:pStyle w:val="Compact"/>
              <w:jc w:val="left"/>
            </w:pPr>
            <w:r>
              <w:t xml:space="preserve">Details</w:t>
            </w:r>
          </w:p>
        </w:tc>
      </w:tr>
      <w:tr>
        <w:tc>
          <w:tcPr/>
          <w:p>
            <w:pPr>
              <w:pStyle w:val="Compact"/>
              <w:jc w:val="left"/>
            </w:pPr>
            <w:r>
              <w:rPr>
                <w:b/>
                <w:bCs/>
              </w:rPr>
              <w:t xml:space="preserve">Name</w:t>
            </w:r>
          </w:p>
        </w:tc>
        <w:tc>
          <w:tcPr/>
          <w:p>
            <w:pPr>
              <w:pStyle w:val="Compact"/>
              <w:jc w:val="left"/>
            </w:pPr>
            <w:r>
              <w:t xml:space="preserve">GenomeIndia Labs</w:t>
            </w:r>
          </w:p>
        </w:tc>
      </w:tr>
      <w:tr>
        <w:tc>
          <w:tcPr/>
          <w:p>
            <w:pPr>
              <w:pStyle w:val="Compact"/>
              <w:jc w:val="left"/>
            </w:pPr>
            <w:r>
              <w:rPr>
                <w:b/>
                <w:bCs/>
              </w:rPr>
              <w:t xml:space="preserve">Type</w:t>
            </w:r>
          </w:p>
        </w:tc>
        <w:tc>
          <w:tcPr/>
          <w:p>
            <w:pPr>
              <w:pStyle w:val="Compact"/>
              <w:jc w:val="left"/>
            </w:pPr>
            <w:r>
              <w:t xml:space="preserve">Genomic sequencing and analysis laboratory</w:t>
            </w:r>
          </w:p>
        </w:tc>
      </w:tr>
      <w:tr>
        <w:tc>
          <w:tcPr/>
          <w:p>
            <w:pPr>
              <w:pStyle w:val="Compact"/>
              <w:jc w:val="left"/>
            </w:pPr>
            <w:r>
              <w:rPr>
                <w:b/>
                <w:bCs/>
              </w:rPr>
              <w:t xml:space="preserve">Operator</w:t>
            </w:r>
          </w:p>
        </w:tc>
        <w:tc>
          <w:tcPr/>
          <w:p>
            <w:pPr>
              <w:pStyle w:val="Compact"/>
              <w:jc w:val="left"/>
            </w:pPr>
            <w:r>
              <w:t xml:space="preserve">Public-private partnership (government + research institute)</w:t>
            </w:r>
          </w:p>
        </w:tc>
      </w:tr>
      <w:tr>
        <w:tc>
          <w:tcPr/>
          <w:p>
            <w:pPr>
              <w:pStyle w:val="Compact"/>
              <w:jc w:val="left"/>
            </w:pPr>
            <w:r>
              <w:rPr>
                <w:b/>
                <w:bCs/>
              </w:rPr>
              <w:t xml:space="preserve">Capacity</w:t>
            </w:r>
          </w:p>
        </w:tc>
        <w:tc>
          <w:tcPr/>
          <w:p>
            <w:pPr>
              <w:pStyle w:val="Compact"/>
              <w:jc w:val="left"/>
            </w:pPr>
            <w:r>
              <w:t xml:space="preserve">500,000 whole genome sequences/year</w:t>
            </w:r>
          </w:p>
        </w:tc>
      </w:tr>
      <w:tr>
        <w:tc>
          <w:tcPr/>
          <w:p>
            <w:pPr>
              <w:pStyle w:val="Compact"/>
              <w:jc w:val="left"/>
            </w:pPr>
            <w:r>
              <w:rPr>
                <w:b/>
                <w:bCs/>
              </w:rPr>
              <w:t xml:space="preserve">Data holdings</w:t>
            </w:r>
          </w:p>
        </w:tc>
        <w:tc>
          <w:tcPr/>
          <w:p>
            <w:pPr>
              <w:pStyle w:val="Compact"/>
              <w:jc w:val="left"/>
            </w:pPr>
            <w:r>
              <w:t xml:space="preserve">2 million genomic sequences (national population diversity project)</w:t>
            </w:r>
          </w:p>
        </w:tc>
      </w:tr>
      <w:tr>
        <w:tc>
          <w:tcPr/>
          <w:p>
            <w:pPr>
              <w:pStyle w:val="Compact"/>
              <w:jc w:val="left"/>
            </w:pPr>
            <w:r>
              <w:rPr>
                <w:b/>
                <w:bCs/>
              </w:rPr>
              <w:t xml:space="preserve">Services</w:t>
            </w:r>
          </w:p>
        </w:tc>
        <w:tc>
          <w:tcPr/>
          <w:p>
            <w:pPr>
              <w:pStyle w:val="Compact"/>
              <w:jc w:val="left"/>
            </w:pPr>
            <w:r>
              <w:t xml:space="preserve">Clinical genomics, research sequencing, population genomics</w:t>
            </w:r>
          </w:p>
        </w:tc>
      </w:tr>
      <w:tr>
        <w:tc>
          <w:tcPr/>
          <w:p>
            <w:pPr>
              <w:pStyle w:val="Compact"/>
              <w:jc w:val="left"/>
            </w:pPr>
            <w:r>
              <w:rPr>
                <w:b/>
                <w:bCs/>
              </w:rPr>
              <w:t xml:space="preserve">Key infrastructure</w:t>
            </w:r>
          </w:p>
        </w:tc>
        <w:tc>
          <w:tcPr/>
          <w:p>
            <w:pPr>
              <w:pStyle w:val="Compact"/>
              <w:jc w:val="left"/>
            </w:pPr>
            <w:r>
              <w:t xml:space="preserve">High-performance computing cluster; petabyte-scale storage</w:t>
            </w:r>
          </w:p>
        </w:tc>
      </w:tr>
      <w:tr>
        <w:tc>
          <w:tcPr/>
          <w:p>
            <w:pPr>
              <w:pStyle w:val="Compact"/>
              <w:jc w:val="left"/>
            </w:pPr>
            <w:r>
              <w:rPr>
                <w:b/>
                <w:bCs/>
              </w:rPr>
              <w:t xml:space="preserve">Integrations</w:t>
            </w:r>
          </w:p>
        </w:tc>
        <w:tc>
          <w:tcPr/>
          <w:p>
            <w:pPr>
              <w:pStyle w:val="Compact"/>
              <w:jc w:val="left"/>
            </w:pPr>
            <w:r>
              <w:t xml:space="preserve">Connected to national biobank, cancer registry, rare disease network</w:t>
            </w:r>
          </w:p>
        </w:tc>
      </w:tr>
      <w:tr>
        <w:tc>
          <w:tcPr/>
          <w:p>
            <w:pPr>
              <w:pStyle w:val="Compact"/>
              <w:jc w:val="left"/>
            </w:pPr>
            <w:r>
              <w:rPr>
                <w:b/>
                <w:bCs/>
              </w:rPr>
              <w:t xml:space="preserve">Special consideration</w:t>
            </w:r>
          </w:p>
        </w:tc>
        <w:tc>
          <w:tcPr/>
          <w:p>
            <w:pPr>
              <w:pStyle w:val="Compact"/>
              <w:jc w:val="left"/>
            </w:pPr>
            <w:r>
              <w:rPr>
                <w:b/>
                <w:bCs/>
              </w:rPr>
              <w:t xml:space="preserve">National population genomic data asset</w:t>
            </w:r>
          </w:p>
        </w:tc>
      </w:tr>
    </w:tbl>
    <w:bookmarkEnd w:id="519"/>
    <w:bookmarkStart w:id="522" w:name="cii-classification-assessment-11"/>
    <w:p>
      <w:pPr>
        <w:pStyle w:val="Heading3"/>
      </w:pPr>
      <w:r>
        <w:t xml:space="preserve">CII Classification Assessment</w:t>
      </w:r>
    </w:p>
    <w:bookmarkStart w:id="520" w:name="key-risk-factors-3"/>
    <w:p>
      <w:pPr>
        <w:pStyle w:val="Heading4"/>
      </w:pPr>
      <w:r>
        <w:t xml:space="preserve">Key Risk Factors</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jc w:val="left"/>
            </w:pPr>
            <w:r>
              <w:t xml:space="preserve">Factor</w:t>
            </w:r>
          </w:p>
        </w:tc>
        <w:tc>
          <w:tcPr/>
          <w:p>
            <w:pPr>
              <w:pStyle w:val="Compact"/>
              <w:jc w:val="left"/>
            </w:pPr>
            <w:r>
              <w:t xml:space="preserve">Assessment</w:t>
            </w:r>
          </w:p>
        </w:tc>
      </w:tr>
      <w:tr>
        <w:tc>
          <w:tcPr/>
          <w:p>
            <w:pPr>
              <w:pStyle w:val="Compact"/>
              <w:jc w:val="left"/>
            </w:pPr>
            <w:r>
              <w:rPr>
                <w:b/>
                <w:bCs/>
              </w:rPr>
              <w:t xml:space="preserve">Data uniqueness</w:t>
            </w:r>
          </w:p>
        </w:tc>
        <w:tc>
          <w:tcPr/>
          <w:p>
            <w:pPr>
              <w:pStyle w:val="Compact"/>
              <w:jc w:val="left"/>
            </w:pPr>
            <w:r>
              <w:t xml:space="preserve">Population-representative genomic data is irreplaceable national asset</w:t>
            </w:r>
          </w:p>
        </w:tc>
      </w:tr>
      <w:tr>
        <w:tc>
          <w:tcPr/>
          <w:p>
            <w:pPr>
              <w:pStyle w:val="Compact"/>
              <w:jc w:val="left"/>
            </w:pPr>
            <w:r>
              <w:rPr>
                <w:b/>
                <w:bCs/>
              </w:rPr>
              <w:t xml:space="preserve">Sensitivity</w:t>
            </w:r>
          </w:p>
        </w:tc>
        <w:tc>
          <w:tcPr/>
          <w:p>
            <w:pPr>
              <w:pStyle w:val="Compact"/>
              <w:jc w:val="left"/>
            </w:pPr>
            <w:r>
              <w:t xml:space="preserve">Genomic data is uniquely identifying and immutable</w:t>
            </w:r>
          </w:p>
        </w:tc>
      </w:tr>
      <w:tr>
        <w:tc>
          <w:tcPr/>
          <w:p>
            <w:pPr>
              <w:pStyle w:val="Compact"/>
              <w:jc w:val="left"/>
            </w:pPr>
            <w:r>
              <w:rPr>
                <w:b/>
                <w:bCs/>
              </w:rPr>
              <w:t xml:space="preserve">Research value</w:t>
            </w:r>
          </w:p>
        </w:tc>
        <w:tc>
          <w:tcPr/>
          <w:p>
            <w:pPr>
              <w:pStyle w:val="Compact"/>
              <w:jc w:val="left"/>
            </w:pPr>
            <w:r>
              <w:t xml:space="preserve">Supports drug development, disease research, personalized medicine</w:t>
            </w:r>
          </w:p>
        </w:tc>
      </w:tr>
      <w:tr>
        <w:tc>
          <w:tcPr/>
          <w:p>
            <w:pPr>
              <w:pStyle w:val="Compact"/>
              <w:jc w:val="left"/>
            </w:pPr>
            <w:r>
              <w:rPr>
                <w:b/>
                <w:bCs/>
              </w:rPr>
              <w:t xml:space="preserve">Sovereignty concern</w:t>
            </w:r>
          </w:p>
        </w:tc>
        <w:tc>
          <w:tcPr/>
          <w:p>
            <w:pPr>
              <w:pStyle w:val="Compact"/>
              <w:jc w:val="left"/>
            </w:pPr>
            <w:r>
              <w:t xml:space="preserve">Foreign access to population genomics is national security issue</w:t>
            </w:r>
          </w:p>
        </w:tc>
      </w:tr>
      <w:tr>
        <w:tc>
          <w:tcPr/>
          <w:p>
            <w:pPr>
              <w:pStyle w:val="Compact"/>
              <w:jc w:val="left"/>
            </w:pPr>
            <w:r>
              <w:rPr>
                <w:b/>
                <w:bCs/>
              </w:rPr>
              <w:t xml:space="preserve">Re-identification risk</w:t>
            </w:r>
          </w:p>
        </w:tc>
        <w:tc>
          <w:tcPr/>
          <w:p>
            <w:pPr>
              <w:pStyle w:val="Compact"/>
              <w:jc w:val="left"/>
            </w:pPr>
            <w:r>
              <w:t xml:space="preserve">Genomic data cannot be truly anonymized</w:t>
            </w:r>
          </w:p>
        </w:tc>
      </w:tr>
    </w:tbl>
    <w:bookmarkEnd w:id="520"/>
    <w:bookmarkStart w:id="521" w:name="scoring-developing-country-framework-7"/>
    <w:p>
      <w:pPr>
        <w:pStyle w:val="Heading4"/>
      </w:pPr>
      <w:r>
        <w:t xml:space="preserve">Scoring (Developing Country Framework)</w:t>
      </w:r>
    </w:p>
    <w:tbl>
      <w:tblPr>
        <w:tblStyle w:val="Table"/>
        <w:tblW w:type="pct" w:w="5000"/>
        <w:tblLayout w:type="fixed"/>
        <w:tblLook w:firstRow="1" w:lastRow="0" w:firstColumn="0" w:lastColumn="0" w:noHBand="0" w:noVBand="0" w:val="0020"/>
      </w:tblPr>
      <w:tblGrid>
        <w:gridCol w:w="1863"/>
        <w:gridCol w:w="2562"/>
        <w:gridCol w:w="3494"/>
      </w:tblGrid>
      <w:tr>
        <w:trPr>
          <w:tblHeader w:val="on"/>
        </w:trPr>
        <w:tc>
          <w:tcPr/>
          <w:p>
            <w:pPr>
              <w:pStyle w:val="Compact"/>
              <w:jc w:val="left"/>
            </w:pPr>
            <w:r>
              <w:t xml:space="preserve">Domain</w:t>
            </w:r>
          </w:p>
        </w:tc>
        <w:tc>
          <w:tcPr/>
          <w:p>
            <w:pPr>
              <w:pStyle w:val="Compact"/>
              <w:jc w:val="left"/>
            </w:pPr>
            <w:r>
              <w:t xml:space="preserve">Criterion</w:t>
            </w:r>
          </w:p>
        </w:tc>
        <w:tc>
          <w:tcPr/>
          <w:p>
            <w:pPr>
              <w:pStyle w:val="Compact"/>
              <w:jc w:val="center"/>
            </w:pPr>
            <w:r>
              <w:t xml:space="preserve">Points Scored</w:t>
            </w:r>
          </w:p>
        </w:tc>
      </w:tr>
      <w:tr>
        <w:tc>
          <w:tcPr/>
          <w:p>
            <w:pPr>
              <w:pStyle w:val="Compact"/>
              <w:jc w:val="left"/>
            </w:pPr>
            <w:r>
              <w:rPr>
                <w:b/>
                <w:bCs/>
              </w:rPr>
              <w:t xml:space="preserve">A. Data Uniqueness</w:t>
            </w:r>
          </w:p>
        </w:tc>
        <w:tc>
          <w:tcPr/>
          <w:p>
            <w:pPr>
              <w:pStyle w:val="Compact"/>
              <w:jc w:val="left"/>
            </w:pPr>
            <w:r>
              <w:t xml:space="preserve">2M population genomic sequences (irreplaceable)</w:t>
            </w:r>
          </w:p>
        </w:tc>
        <w:tc>
          <w:tcPr/>
          <w:p>
            <w:pPr>
              <w:pStyle w:val="Compact"/>
              <w:jc w:val="center"/>
            </w:pPr>
            <w:r>
              <w:t xml:space="preserve">30</w:t>
            </w:r>
          </w:p>
        </w:tc>
      </w:tr>
      <w:tr>
        <w:tc>
          <w:tcPr/>
          <w:p>
            <w:pPr>
              <w:pStyle w:val="Compact"/>
              <w:jc w:val="left"/>
            </w:pPr>
            <w:r>
              <w:rPr>
                <w:b/>
                <w:bCs/>
              </w:rPr>
              <w:t xml:space="preserve">B. Data Sensitivity</w:t>
            </w:r>
          </w:p>
        </w:tc>
        <w:tc>
          <w:tcPr/>
          <w:p>
            <w:pPr>
              <w:pStyle w:val="Compact"/>
              <w:jc w:val="left"/>
            </w:pPr>
            <w:r>
              <w:t xml:space="preserve">Genomic data (highest sensitivity health data)</w:t>
            </w:r>
          </w:p>
        </w:tc>
        <w:tc>
          <w:tcPr/>
          <w:p>
            <w:pPr>
              <w:pStyle w:val="Compact"/>
              <w:jc w:val="center"/>
            </w:pPr>
            <w:r>
              <w:t xml:space="preserve">25</w:t>
            </w:r>
          </w:p>
        </w:tc>
      </w:tr>
      <w:tr>
        <w:tc>
          <w:tcPr/>
          <w:p>
            <w:pPr>
              <w:pStyle w:val="Compact"/>
              <w:jc w:val="left"/>
            </w:pPr>
            <w:r>
              <w:rPr>
                <w:b/>
                <w:bCs/>
              </w:rPr>
              <w:t xml:space="preserve">C. National Strategic Value</w:t>
            </w:r>
          </w:p>
        </w:tc>
        <w:tc>
          <w:tcPr/>
          <w:p>
            <w:pPr>
              <w:pStyle w:val="Compact"/>
              <w:jc w:val="left"/>
            </w:pPr>
            <w:r>
              <w:t xml:space="preserve">Population genomics as national asset</w:t>
            </w:r>
          </w:p>
        </w:tc>
        <w:tc>
          <w:tcPr/>
          <w:p>
            <w:pPr>
              <w:pStyle w:val="Compact"/>
              <w:jc w:val="center"/>
            </w:pPr>
            <w:r>
              <w:t xml:space="preserve">20</w:t>
            </w:r>
          </w:p>
        </w:tc>
      </w:tr>
      <w:tr>
        <w:tc>
          <w:tcPr/>
          <w:p>
            <w:pPr>
              <w:pStyle w:val="Compact"/>
              <w:jc w:val="left"/>
            </w:pPr>
            <w:r>
              <w:rPr>
                <w:b/>
                <w:bCs/>
              </w:rPr>
              <w:t xml:space="preserve">D. Research Infrastructure</w:t>
            </w:r>
          </w:p>
        </w:tc>
        <w:tc>
          <w:tcPr/>
          <w:p>
            <w:pPr>
              <w:pStyle w:val="Compact"/>
              <w:jc w:val="left"/>
            </w:pPr>
            <w:r>
              <w:t xml:space="preserve">Supports national health research ecosystem</w:t>
            </w:r>
          </w:p>
        </w:tc>
        <w:tc>
          <w:tcPr/>
          <w:p>
            <w:pPr>
              <w:pStyle w:val="Compact"/>
              <w:jc w:val="center"/>
            </w:pPr>
            <w:r>
              <w:t xml:space="preserve">10</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85</w:t>
            </w:r>
          </w:p>
        </w:tc>
      </w:tr>
    </w:tbl>
    <w:bookmarkEnd w:id="521"/>
    <w:bookmarkEnd w:id="522"/>
    <w:bookmarkStart w:id="523" w:name="classification-result-11"/>
    <w:p>
      <w:pPr>
        <w:pStyle w:val="Heading3"/>
      </w:pPr>
      <w:r>
        <w:t xml:space="preserve">Classification Result</w:t>
      </w:r>
    </w:p>
    <w:tbl>
      <w:tblPr>
        <w:tblStyle w:val="Table"/>
        <w:tblW w:type="pct" w:w="5000"/>
        <w:tblLayout w:type="fixed"/>
        <w:tblLook w:firstRow="1" w:lastRow="0" w:firstColumn="0" w:lastColumn="0" w:noHBand="0" w:noVBand="0" w:val="0020"/>
      </w:tblPr>
      <w:tblGrid>
        <w:gridCol w:w="2489"/>
        <w:gridCol w:w="1584"/>
        <w:gridCol w:w="1357"/>
        <w:gridCol w:w="2489"/>
      </w:tblGrid>
      <w:tr>
        <w:trPr>
          <w:tblHeader w:val="on"/>
        </w:trPr>
        <w:tc>
          <w:tcPr/>
          <w:p>
            <w:pPr>
              <w:pStyle w:val="Compact"/>
              <w:jc w:val="left"/>
            </w:pPr>
            <w:r>
              <w:t xml:space="preserve">Framework</w:t>
            </w:r>
          </w:p>
        </w:tc>
        <w:tc>
          <w:tcPr/>
          <w:p>
            <w:pPr>
              <w:pStyle w:val="Compact"/>
              <w:jc w:val="left"/>
            </w:pPr>
            <w:r>
              <w:t xml:space="preserve">Score</w:t>
            </w:r>
          </w:p>
        </w:tc>
        <w:tc>
          <w:tcPr/>
          <w:p>
            <w:pPr>
              <w:pStyle w:val="Compact"/>
              <w:jc w:val="left"/>
            </w:pPr>
            <w:r>
              <w:t xml:space="preserve">Tier</w:t>
            </w:r>
          </w:p>
        </w:tc>
        <w:tc>
          <w:tcPr/>
          <w:p>
            <w:pPr>
              <w:pStyle w:val="Compact"/>
              <w:jc w:val="left"/>
            </w:pPr>
            <w:r>
              <w:t xml:space="preserve">Rationale</w:t>
            </w:r>
          </w:p>
        </w:tc>
      </w:tr>
      <w:tr>
        <w:tc>
          <w:tcPr/>
          <w:p>
            <w:pPr>
              <w:pStyle w:val="Compact"/>
              <w:jc w:val="left"/>
            </w:pPr>
            <w:r>
              <w:rPr>
                <w:b/>
                <w:bCs/>
              </w:rPr>
              <w:t xml:space="preserve">Developing Country</w:t>
            </w:r>
          </w:p>
        </w:tc>
        <w:tc>
          <w:tcPr/>
          <w:p>
            <w:pPr>
              <w:pStyle w:val="Compact"/>
              <w:jc w:val="left"/>
            </w:pPr>
            <w:r>
              <w:t xml:space="preserve">85</w:t>
            </w:r>
          </w:p>
        </w:tc>
        <w:tc>
          <w:tcPr/>
          <w:p>
            <w:pPr>
              <w:pStyle w:val="Compact"/>
              <w:jc w:val="left"/>
            </w:pPr>
            <w:r>
              <w:rPr>
                <w:b/>
                <w:bCs/>
              </w:rPr>
              <w:t xml:space="preserve">Tier 1 (Essential)</w:t>
            </w:r>
          </w:p>
        </w:tc>
        <w:tc>
          <w:tcPr/>
          <w:p>
            <w:pPr>
              <w:pStyle w:val="Compact"/>
              <w:jc w:val="left"/>
            </w:pPr>
            <w:r>
              <w:t xml:space="preserve">National genomic data asset; highest sensitivity data type</w:t>
            </w:r>
          </w:p>
        </w:tc>
      </w:tr>
    </w:tbl>
    <w:p>
      <w:pPr>
        <w:pStyle w:val="BlockText"/>
      </w:pPr>
      <w:r>
        <w:t xml:space="preserve">[!CAUTION]</w:t>
      </w:r>
      <w:r>
        <w:t xml:space="preserve"> </w:t>
      </w:r>
      <w:r>
        <w:t xml:space="preserve">Genomic data presents</w:t>
      </w:r>
      <w:r>
        <w:t xml:space="preserve"> </w:t>
      </w:r>
      <w:r>
        <w:rPr>
          <w:b/>
          <w:bCs/>
        </w:rPr>
        <w:t xml:space="preserve">unique risks</w:t>
      </w:r>
      <w:r>
        <w:t xml:space="preserve"> </w:t>
      </w:r>
      <w:r>
        <w:t xml:space="preserve">not fully captured by traditional health data frameworks. It is permanently identifying, affects biological relatives, and has sovereignty implications. Jurisdictions should consider</w:t>
      </w:r>
      <w:r>
        <w:t xml:space="preserve"> </w:t>
      </w:r>
      <w:r>
        <w:rPr>
          <w:b/>
          <w:bCs/>
        </w:rPr>
        <w:t xml:space="preserve">genomic-specific CII criteria</w:t>
      </w:r>
      <w:r>
        <w:t xml:space="preserve">.</w:t>
      </w:r>
    </w:p>
    <w:bookmarkEnd w:id="523"/>
    <w:bookmarkStart w:id="524" w:name="applicable-obligations-8"/>
    <w:p>
      <w:pPr>
        <w:pStyle w:val="Heading3"/>
      </w:pPr>
      <w:r>
        <w:t xml:space="preserve">Applicable Obligations</w:t>
      </w:r>
    </w:p>
    <w:p>
      <w:pPr>
        <w:pStyle w:val="Compact"/>
        <w:numPr>
          <w:ilvl w:val="0"/>
          <w:numId w:val="1346"/>
        </w:numPr>
      </w:pPr>
      <w:r>
        <w:t xml:space="preserve">Dedicated CISO with research data security expertise</w:t>
      </w:r>
    </w:p>
    <w:p>
      <w:pPr>
        <w:pStyle w:val="Compact"/>
        <w:numPr>
          <w:ilvl w:val="0"/>
          <w:numId w:val="1346"/>
        </w:numPr>
      </w:pPr>
      <w:r>
        <w:t xml:space="preserve">Annual third-party audit including HPC infrastructure</w:t>
      </w:r>
    </w:p>
    <w:p>
      <w:pPr>
        <w:pStyle w:val="Compact"/>
        <w:numPr>
          <w:ilvl w:val="0"/>
          <w:numId w:val="1346"/>
        </w:numPr>
      </w:pPr>
      <w:r>
        <w:t xml:space="preserve">24-hour incident reporting for any data exfiltration</w:t>
      </w:r>
    </w:p>
    <w:p>
      <w:pPr>
        <w:pStyle w:val="Compact"/>
        <w:numPr>
          <w:ilvl w:val="0"/>
          <w:numId w:val="1346"/>
        </w:numPr>
      </w:pPr>
      <w:r>
        <w:t xml:space="preserve">Access control: Tiered researcher access with approval workflow</w:t>
      </w:r>
    </w:p>
    <w:p>
      <w:pPr>
        <w:pStyle w:val="Compact"/>
        <w:numPr>
          <w:ilvl w:val="0"/>
          <w:numId w:val="1346"/>
        </w:numPr>
      </w:pPr>
      <w:r>
        <w:t xml:space="preserve">Data sovereignty: No unauthorized cross-border transfer</w:t>
      </w:r>
    </w:p>
    <w:p>
      <w:pPr>
        <w:pStyle w:val="Compact"/>
        <w:numPr>
          <w:ilvl w:val="0"/>
          <w:numId w:val="1346"/>
        </w:numPr>
      </w:pPr>
      <w:r>
        <w:t xml:space="preserve">Encryption: At-rest and in-transit for all genomic data</w:t>
      </w:r>
    </w:p>
    <w:p>
      <w:pPr>
        <w:pStyle w:val="Compact"/>
        <w:numPr>
          <w:ilvl w:val="0"/>
          <w:numId w:val="1346"/>
        </w:numPr>
      </w:pPr>
      <w:r>
        <w:t xml:space="preserve">Consent management audit</w:t>
      </w:r>
    </w:p>
    <w:p>
      <w:pPr>
        <w:pStyle w:val="Compact"/>
        <w:numPr>
          <w:ilvl w:val="0"/>
          <w:numId w:val="1346"/>
        </w:numPr>
      </w:pPr>
      <w:r>
        <w:t xml:space="preserve">International collaboration review (data sharing agreements)</w:t>
      </w:r>
    </w:p>
    <w:p>
      <w:r>
        <w:pict>
          <v:rect style="width:0;height:1.5pt" o:hralign="center" o:hrstd="t" o:hr="t"/>
        </w:pict>
      </w:r>
    </w:p>
    <w:bookmarkEnd w:id="524"/>
    <w:bookmarkEnd w:id="525"/>
    <w:bookmarkStart w:id="532" w:name="X1f5d3ac1841b0f933345c6c560fd2371a3e4023"/>
    <w:p>
      <w:pPr>
        <w:pStyle w:val="Heading2"/>
      </w:pPr>
      <w:r>
        <w:t xml:space="preserve">Case Study 3: Vaccine Manufacturer -</w:t>
      </w:r>
      <w:r>
        <w:t xml:space="preserve"> </w:t>
      </w:r>
      <w:r>
        <w:t xml:space="preserve">“BioShield Pharma”</w:t>
      </w:r>
    </w:p>
    <w:bookmarkStart w:id="526" w:name="entity-profile-12"/>
    <w:p>
      <w:pPr>
        <w:pStyle w:val="Heading3"/>
      </w:pPr>
      <w:r>
        <w:t xml:space="preserve">Entity Profile</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jc w:val="left"/>
            </w:pPr>
            <w:r>
              <w:t xml:space="preserve">Attribute</w:t>
            </w:r>
          </w:p>
        </w:tc>
        <w:tc>
          <w:tcPr/>
          <w:p>
            <w:pPr>
              <w:pStyle w:val="Compact"/>
              <w:jc w:val="left"/>
            </w:pPr>
            <w:r>
              <w:t xml:space="preserve">Details</w:t>
            </w:r>
          </w:p>
        </w:tc>
      </w:tr>
      <w:tr>
        <w:tc>
          <w:tcPr/>
          <w:p>
            <w:pPr>
              <w:pStyle w:val="Compact"/>
              <w:jc w:val="left"/>
            </w:pPr>
            <w:r>
              <w:rPr>
                <w:b/>
                <w:bCs/>
              </w:rPr>
              <w:t xml:space="preserve">Name</w:t>
            </w:r>
          </w:p>
        </w:tc>
        <w:tc>
          <w:tcPr/>
          <w:p>
            <w:pPr>
              <w:pStyle w:val="Compact"/>
              <w:jc w:val="left"/>
            </w:pPr>
            <w:r>
              <w:t xml:space="preserve">BioShield Pharma Ltd.</w:t>
            </w:r>
          </w:p>
        </w:tc>
      </w:tr>
      <w:tr>
        <w:tc>
          <w:tcPr/>
          <w:p>
            <w:pPr>
              <w:pStyle w:val="Compact"/>
              <w:jc w:val="left"/>
            </w:pPr>
            <w:r>
              <w:rPr>
                <w:b/>
                <w:bCs/>
              </w:rPr>
              <w:t xml:space="preserve">Type</w:t>
            </w:r>
          </w:p>
        </w:tc>
        <w:tc>
          <w:tcPr/>
          <w:p>
            <w:pPr>
              <w:pStyle w:val="Compact"/>
              <w:jc w:val="left"/>
            </w:pPr>
            <w:r>
              <w:t xml:space="preserve">Vaccine and biologics manufacturer</w:t>
            </w:r>
          </w:p>
        </w:tc>
      </w:tr>
      <w:tr>
        <w:tc>
          <w:tcPr/>
          <w:p>
            <w:pPr>
              <w:pStyle w:val="Compact"/>
              <w:jc w:val="left"/>
            </w:pPr>
            <w:r>
              <w:rPr>
                <w:b/>
                <w:bCs/>
              </w:rPr>
              <w:t xml:space="preserve">Products</w:t>
            </w:r>
          </w:p>
        </w:tc>
        <w:tc>
          <w:tcPr/>
          <w:p>
            <w:pPr>
              <w:pStyle w:val="Compact"/>
              <w:jc w:val="left"/>
            </w:pPr>
            <w:r>
              <w:t xml:space="preserve">12 vaccines in portfolio (including childhood immunization, COVID-19)</w:t>
            </w:r>
          </w:p>
        </w:tc>
      </w:tr>
      <w:tr>
        <w:tc>
          <w:tcPr/>
          <w:p>
            <w:pPr>
              <w:pStyle w:val="Compact"/>
              <w:jc w:val="left"/>
            </w:pPr>
            <w:r>
              <w:rPr>
                <w:b/>
                <w:bCs/>
              </w:rPr>
              <w:t xml:space="preserve">Production capacity</w:t>
            </w:r>
          </w:p>
        </w:tc>
        <w:tc>
          <w:tcPr/>
          <w:p>
            <w:pPr>
              <w:pStyle w:val="Compact"/>
              <w:jc w:val="left"/>
            </w:pPr>
            <w:r>
              <w:t xml:space="preserve">500 million doses/year</w:t>
            </w:r>
          </w:p>
        </w:tc>
      </w:tr>
      <w:tr>
        <w:tc>
          <w:tcPr/>
          <w:p>
            <w:pPr>
              <w:pStyle w:val="Compact"/>
              <w:jc w:val="left"/>
            </w:pPr>
            <w:r>
              <w:rPr>
                <w:b/>
                <w:bCs/>
              </w:rPr>
              <w:t xml:space="preserve">Market share</w:t>
            </w:r>
          </w:p>
        </w:tc>
        <w:tc>
          <w:tcPr/>
          <w:p>
            <w:pPr>
              <w:pStyle w:val="Compact"/>
              <w:jc w:val="left"/>
            </w:pPr>
            <w:r>
              <w:t xml:space="preserve">35% of national vaccine supply; exports to 40 countries</w:t>
            </w:r>
          </w:p>
        </w:tc>
      </w:tr>
      <w:tr>
        <w:tc>
          <w:tcPr/>
          <w:p>
            <w:pPr>
              <w:pStyle w:val="Compact"/>
              <w:jc w:val="left"/>
            </w:pPr>
            <w:r>
              <w:rPr>
                <w:b/>
                <w:bCs/>
              </w:rPr>
              <w:t xml:space="preserve">Employees</w:t>
            </w:r>
          </w:p>
        </w:tc>
        <w:tc>
          <w:tcPr/>
          <w:p>
            <w:pPr>
              <w:pStyle w:val="Compact"/>
              <w:jc w:val="left"/>
            </w:pPr>
            <w:r>
              <w:t xml:space="preserve">8,000</w:t>
            </w:r>
          </w:p>
        </w:tc>
      </w:tr>
      <w:tr>
        <w:tc>
          <w:tcPr/>
          <w:p>
            <w:pPr>
              <w:pStyle w:val="Compact"/>
              <w:jc w:val="left"/>
            </w:pPr>
            <w:r>
              <w:rPr>
                <w:b/>
                <w:bCs/>
              </w:rPr>
              <w:t xml:space="preserve">Key systems</w:t>
            </w:r>
          </w:p>
        </w:tc>
        <w:tc>
          <w:tcPr/>
          <w:p>
            <w:pPr>
              <w:pStyle w:val="Compact"/>
              <w:jc w:val="left"/>
            </w:pPr>
            <w:r>
              <w:t xml:space="preserve">Manufacturing Execution System (MES), Quality Management System (QMS), Cold chain monitoring, Batch release systems</w:t>
            </w:r>
          </w:p>
        </w:tc>
      </w:tr>
      <w:tr>
        <w:tc>
          <w:tcPr/>
          <w:p>
            <w:pPr>
              <w:pStyle w:val="Compact"/>
              <w:jc w:val="left"/>
            </w:pPr>
            <w:r>
              <w:rPr>
                <w:b/>
                <w:bCs/>
              </w:rPr>
              <w:t xml:space="preserve">Regulatory status</w:t>
            </w:r>
          </w:p>
        </w:tc>
        <w:tc>
          <w:tcPr/>
          <w:p>
            <w:pPr>
              <w:pStyle w:val="Compact"/>
              <w:jc w:val="left"/>
            </w:pPr>
            <w:r>
              <w:t xml:space="preserve">WHO prequalified; national regulatory authority licensed</w:t>
            </w:r>
          </w:p>
        </w:tc>
      </w:tr>
      <w:tr>
        <w:tc>
          <w:tcPr/>
          <w:p>
            <w:pPr>
              <w:pStyle w:val="Compact"/>
              <w:jc w:val="left"/>
            </w:pPr>
            <w:r>
              <w:rPr>
                <w:b/>
                <w:bCs/>
              </w:rPr>
              <w:t xml:space="preserve">Special consideration</w:t>
            </w:r>
          </w:p>
        </w:tc>
        <w:tc>
          <w:tcPr/>
          <w:p>
            <w:pPr>
              <w:pStyle w:val="Compact"/>
              <w:jc w:val="left"/>
            </w:pPr>
            <w:r>
              <w:rPr>
                <w:b/>
                <w:bCs/>
              </w:rPr>
              <w:t xml:space="preserve">Critical to national immunization program</w:t>
            </w:r>
          </w:p>
        </w:tc>
      </w:tr>
    </w:tbl>
    <w:bookmarkEnd w:id="526"/>
    <w:bookmarkStart w:id="529" w:name="cii-classification-assessment-12"/>
    <w:p>
      <w:pPr>
        <w:pStyle w:val="Heading3"/>
      </w:pPr>
      <w:r>
        <w:t xml:space="preserve">CII Classification Assessment</w:t>
      </w:r>
    </w:p>
    <w:bookmarkStart w:id="527" w:name="automatic-tier-1-trigger-analysis-1"/>
    <w:p>
      <w:pPr>
        <w:pStyle w:val="Heading4"/>
      </w:pPr>
      <w:r>
        <w:t xml:space="preserve">Automatic Tier 1 Trigger Analysis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“Regardless of Size”</w:t>
            </w:r>
            <w:r>
              <w:t xml:space="preserve"> </w:t>
            </w:r>
            <w:r>
              <w:t xml:space="preserve">Criterion</w:t>
            </w:r>
          </w:p>
        </w:tc>
        <w:tc>
          <w:tcPr/>
          <w:p>
            <w:pPr>
              <w:pStyle w:val="Compact"/>
              <w:jc w:val="center"/>
            </w:pPr>
            <w:r>
              <w:t xml:space="preserve">Applies?</w:t>
            </w:r>
          </w:p>
        </w:tc>
      </w:tr>
      <w:tr>
        <w:tc>
          <w:tcPr/>
          <w:p>
            <w:pPr>
              <w:pStyle w:val="Compact"/>
              <w:jc w:val="left"/>
            </w:pPr>
            <w:r>
              <w:t xml:space="preserve">Critical to national immunization infrastructure</w:t>
            </w:r>
          </w:p>
        </w:tc>
        <w:tc>
          <w:tcPr/>
          <w:p>
            <w:pPr>
              <w:pStyle w:val="Compact"/>
              <w:jc w:val="center"/>
            </w:pPr>
            <w:r>
              <w:t xml:space="preserve">✓</w:t>
            </w:r>
          </w:p>
        </w:tc>
      </w:tr>
      <w:tr>
        <w:tc>
          <w:tcPr/>
          <w:p>
            <w:pPr>
              <w:pStyle w:val="Compact"/>
              <w:jc w:val="left"/>
            </w:pPr>
            <w:r>
              <w:t xml:space="preserve">Significant share (&gt;20%) of essential medicine supply</w:t>
            </w:r>
          </w:p>
        </w:tc>
        <w:tc>
          <w:tcPr/>
          <w:p>
            <w:pPr>
              <w:pStyle w:val="Compact"/>
              <w:jc w:val="center"/>
            </w:pPr>
            <w:r>
              <w:t xml:space="preserve">✓</w:t>
            </w:r>
          </w:p>
        </w:tc>
      </w:tr>
      <w:tr>
        <w:tc>
          <w:tcPr/>
          <w:p>
            <w:pPr>
              <w:pStyle w:val="Compact"/>
              <w:jc w:val="left"/>
            </w:pPr>
            <w:r>
              <w:t xml:space="preserve">Export dependency by other countries</w:t>
            </w:r>
          </w:p>
        </w:tc>
        <w:tc>
          <w:tcPr/>
          <w:p>
            <w:pPr>
              <w:pStyle w:val="Compact"/>
              <w:jc w:val="center"/>
            </w:pPr>
            <w:r>
              <w:t xml:space="preserve">✓</w:t>
            </w:r>
          </w:p>
        </w:tc>
      </w:tr>
      <w:tr>
        <w:tc>
          <w:tcPr/>
          <w:p>
            <w:pPr>
              <w:pStyle w:val="Compact"/>
              <w:jc w:val="left"/>
            </w:pPr>
            <w:r>
              <w:t xml:space="preserve">Pandemic preparedness role</w:t>
            </w:r>
          </w:p>
        </w:tc>
        <w:tc>
          <w:tcPr/>
          <w:p>
            <w:pPr>
              <w:pStyle w:val="Compact"/>
              <w:jc w:val="center"/>
            </w:pPr>
            <w:r>
              <w:t xml:space="preserve">✓</w:t>
            </w:r>
          </w:p>
        </w:tc>
      </w:tr>
    </w:tbl>
    <w:bookmarkEnd w:id="527"/>
    <w:bookmarkStart w:id="528" w:name="X0cba47f267d1b38e10810784a01046565259c81"/>
    <w:p>
      <w:pPr>
        <w:pStyle w:val="Heading4"/>
      </w:pPr>
      <w:r>
        <w:t xml:space="preserve">Scoring (Using EU NIS2 Annex II-inspired criteria)</w:t>
      </w:r>
    </w:p>
    <w:tbl>
      <w:tblPr>
        <w:tblStyle w:val="Table"/>
        <w:tblW w:type="pct" w:w="5000"/>
        <w:tblLayout w:type="fixed"/>
        <w:tblLook w:firstRow="1" w:lastRow="0" w:firstColumn="0" w:lastColumn="0" w:noHBand="0" w:noVBand="0" w:val="0020"/>
      </w:tblPr>
      <w:tblGrid>
        <w:gridCol w:w="1863"/>
        <w:gridCol w:w="2562"/>
        <w:gridCol w:w="3494"/>
      </w:tblGrid>
      <w:tr>
        <w:trPr>
          <w:tblHeader w:val="on"/>
        </w:trPr>
        <w:tc>
          <w:tcPr/>
          <w:p>
            <w:pPr>
              <w:pStyle w:val="Compact"/>
              <w:jc w:val="left"/>
            </w:pPr>
            <w:r>
              <w:t xml:space="preserve">Domain</w:t>
            </w:r>
          </w:p>
        </w:tc>
        <w:tc>
          <w:tcPr/>
          <w:p>
            <w:pPr>
              <w:pStyle w:val="Compact"/>
              <w:jc w:val="left"/>
            </w:pPr>
            <w:r>
              <w:t xml:space="preserve">Criterion</w:t>
            </w:r>
          </w:p>
        </w:tc>
        <w:tc>
          <w:tcPr/>
          <w:p>
            <w:pPr>
              <w:pStyle w:val="Compact"/>
              <w:jc w:val="center"/>
            </w:pPr>
            <w:r>
              <w:t xml:space="preserve">Points Scored</w:t>
            </w:r>
          </w:p>
        </w:tc>
      </w:tr>
      <w:tr>
        <w:tc>
          <w:tcPr/>
          <w:p>
            <w:pPr>
              <w:pStyle w:val="Compact"/>
              <w:jc w:val="left"/>
            </w:pPr>
            <w:r>
              <w:rPr>
                <w:b/>
                <w:bCs/>
              </w:rPr>
              <w:t xml:space="preserve">A. Supply Criticality</w:t>
            </w:r>
          </w:p>
        </w:tc>
        <w:tc>
          <w:tcPr/>
          <w:p>
            <w:pPr>
              <w:pStyle w:val="Compact"/>
              <w:jc w:val="left"/>
            </w:pPr>
            <w:r>
              <w:t xml:space="preserve">35% of national vaccine supply</w:t>
            </w:r>
          </w:p>
        </w:tc>
        <w:tc>
          <w:tcPr/>
          <w:p>
            <w:pPr>
              <w:pStyle w:val="Compact"/>
              <w:jc w:val="center"/>
            </w:pPr>
            <w:r>
              <w:t xml:space="preserve">30</w:t>
            </w:r>
          </w:p>
        </w:tc>
      </w:tr>
      <w:tr>
        <w:tc>
          <w:tcPr/>
          <w:p>
            <w:pPr>
              <w:pStyle w:val="Compact"/>
              <w:jc w:val="left"/>
            </w:pPr>
            <w:r>
              <w:rPr>
                <w:b/>
                <w:bCs/>
              </w:rPr>
              <w:t xml:space="preserve">B. Manufacturing Scale</w:t>
            </w:r>
          </w:p>
        </w:tc>
        <w:tc>
          <w:tcPr/>
          <w:p>
            <w:pPr>
              <w:pStyle w:val="Compact"/>
              <w:jc w:val="left"/>
            </w:pPr>
            <w:r>
              <w:t xml:space="preserve">500M doses/year</w:t>
            </w:r>
          </w:p>
        </w:tc>
        <w:tc>
          <w:tcPr/>
          <w:p>
            <w:pPr>
              <w:pStyle w:val="Compact"/>
              <w:jc w:val="center"/>
            </w:pPr>
            <w:r>
              <w:t xml:space="preserve">25</w:t>
            </w:r>
          </w:p>
        </w:tc>
      </w:tr>
      <w:tr>
        <w:tc>
          <w:tcPr/>
          <w:p>
            <w:pPr>
              <w:pStyle w:val="Compact"/>
              <w:jc w:val="left"/>
            </w:pPr>
            <w:r>
              <w:rPr>
                <w:b/>
                <w:bCs/>
              </w:rPr>
              <w:t xml:space="preserve">C. Essential Medicine</w:t>
            </w:r>
          </w:p>
        </w:tc>
        <w:tc>
          <w:tcPr/>
          <w:p>
            <w:pPr>
              <w:pStyle w:val="Compact"/>
              <w:jc w:val="left"/>
            </w:pPr>
            <w:r>
              <w:t xml:space="preserve">Childhood immunization vaccines</w:t>
            </w:r>
          </w:p>
        </w:tc>
        <w:tc>
          <w:tcPr/>
          <w:p>
            <w:pPr>
              <w:pStyle w:val="Compact"/>
              <w:jc w:val="center"/>
            </w:pPr>
            <w:r>
              <w:t xml:space="preserve">20</w:t>
            </w:r>
          </w:p>
        </w:tc>
      </w:tr>
      <w:tr>
        <w:tc>
          <w:tcPr/>
          <w:p>
            <w:pPr>
              <w:pStyle w:val="Compact"/>
              <w:jc w:val="left"/>
            </w:pPr>
            <w:r>
              <w:rPr>
                <w:b/>
                <w:bCs/>
              </w:rPr>
              <w:t xml:space="preserve">D. Export/International</w:t>
            </w:r>
          </w:p>
        </w:tc>
        <w:tc>
          <w:tcPr/>
          <w:p>
            <w:pPr>
              <w:pStyle w:val="Compact"/>
              <w:jc w:val="left"/>
            </w:pPr>
            <w:r>
              <w:t xml:space="preserve">WHO prequalified; 40 countries depend</w:t>
            </w:r>
          </w:p>
        </w:tc>
        <w:tc>
          <w:tcPr/>
          <w:p>
            <w:pPr>
              <w:pStyle w:val="Compact"/>
              <w:jc w:val="center"/>
            </w:pPr>
            <w:r>
              <w:t xml:space="preserve">15</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90</w:t>
            </w:r>
          </w:p>
        </w:tc>
      </w:tr>
    </w:tbl>
    <w:bookmarkEnd w:id="528"/>
    <w:bookmarkEnd w:id="529"/>
    <w:bookmarkStart w:id="530" w:name="classification-result-12"/>
    <w:p>
      <w:pPr>
        <w:pStyle w:val="Heading3"/>
      </w:pPr>
      <w:r>
        <w:t xml:space="preserve">Classification Result</w:t>
      </w:r>
    </w:p>
    <w:tbl>
      <w:tblPr>
        <w:tblStyle w:val="Table"/>
        <w:tblW w:type="pct" w:w="5000"/>
        <w:tblLayout w:type="fixed"/>
        <w:tblLook w:firstRow="1" w:lastRow="0" w:firstColumn="0" w:lastColumn="0" w:noHBand="0" w:noVBand="0" w:val="0020"/>
      </w:tblPr>
      <w:tblGrid>
        <w:gridCol w:w="2489"/>
        <w:gridCol w:w="1584"/>
        <w:gridCol w:w="1357"/>
        <w:gridCol w:w="2489"/>
      </w:tblGrid>
      <w:tr>
        <w:trPr>
          <w:tblHeader w:val="on"/>
        </w:trPr>
        <w:tc>
          <w:tcPr/>
          <w:p>
            <w:pPr>
              <w:pStyle w:val="Compact"/>
              <w:jc w:val="left"/>
            </w:pPr>
            <w:r>
              <w:t xml:space="preserve">Framework</w:t>
            </w:r>
          </w:p>
        </w:tc>
        <w:tc>
          <w:tcPr/>
          <w:p>
            <w:pPr>
              <w:pStyle w:val="Compact"/>
              <w:jc w:val="left"/>
            </w:pPr>
            <w:r>
              <w:t xml:space="preserve">Score</w:t>
            </w:r>
          </w:p>
        </w:tc>
        <w:tc>
          <w:tcPr/>
          <w:p>
            <w:pPr>
              <w:pStyle w:val="Compact"/>
              <w:jc w:val="left"/>
            </w:pPr>
            <w:r>
              <w:t xml:space="preserve">Tier</w:t>
            </w:r>
          </w:p>
        </w:tc>
        <w:tc>
          <w:tcPr/>
          <w:p>
            <w:pPr>
              <w:pStyle w:val="Compact"/>
              <w:jc w:val="left"/>
            </w:pPr>
            <w:r>
              <w:t xml:space="preserve">Rationale</w:t>
            </w:r>
          </w:p>
        </w:tc>
      </w:tr>
      <w:tr>
        <w:tc>
          <w:tcPr/>
          <w:p>
            <w:pPr>
              <w:pStyle w:val="Compact"/>
              <w:jc w:val="left"/>
            </w:pPr>
            <w:r>
              <w:rPr>
                <w:b/>
                <w:bCs/>
              </w:rPr>
              <w:t xml:space="preserve">Developing Country</w:t>
            </w:r>
          </w:p>
        </w:tc>
        <w:tc>
          <w:tcPr/>
          <w:p>
            <w:pPr>
              <w:pStyle w:val="Compact"/>
              <w:jc w:val="left"/>
            </w:pPr>
            <w:r>
              <w:t xml:space="preserve">90</w:t>
            </w:r>
          </w:p>
        </w:tc>
        <w:tc>
          <w:tcPr/>
          <w:p>
            <w:pPr>
              <w:pStyle w:val="Compact"/>
              <w:jc w:val="left"/>
            </w:pPr>
            <w:r>
              <w:rPr>
                <w:b/>
                <w:bCs/>
              </w:rPr>
              <w:t xml:space="preserve">Tier 1 (Essential)</w:t>
            </w:r>
          </w:p>
        </w:tc>
        <w:tc>
          <w:tcPr/>
          <w:p>
            <w:pPr>
              <w:pStyle w:val="Compact"/>
              <w:jc w:val="left"/>
            </w:pPr>
            <w:r>
              <w:t xml:space="preserve">Critical national supply; automatic trigger for essential medicine manufacturing</w:t>
            </w:r>
          </w:p>
        </w:tc>
      </w:tr>
    </w:tbl>
    <w:p>
      <w:pPr>
        <w:pStyle w:val="BlockText"/>
      </w:pPr>
      <w:r>
        <w:t xml:space="preserve">[!NOTE]</w:t>
      </w:r>
      <w:r>
        <w:t xml:space="preserve"> </w:t>
      </w:r>
      <w:r>
        <w:t xml:space="preserve">EU NIS2 Annex II explicitly includes</w:t>
      </w:r>
      <w:r>
        <w:t xml:space="preserve"> </w:t>
      </w:r>
      <w:r>
        <w:rPr>
          <w:b/>
          <w:bCs/>
        </w:rPr>
        <w:t xml:space="preserve">pharmaceutical manufacturers</w:t>
      </w:r>
      <w:r>
        <w:t xml:space="preserve"> </w:t>
      </w:r>
      <w:r>
        <w:t xml:space="preserve">and</w:t>
      </w:r>
      <w:r>
        <w:t xml:space="preserve"> </w:t>
      </w:r>
      <w:r>
        <w:rPr>
          <w:b/>
          <w:bCs/>
        </w:rPr>
        <w:t xml:space="preserve">medicinal products</w:t>
      </w:r>
      <w:r>
        <w:t xml:space="preserve">. This case demonstrates applying supply-chain criticality metrics beyond traditional healthcare delivery.</w:t>
      </w:r>
    </w:p>
    <w:bookmarkEnd w:id="530"/>
    <w:bookmarkStart w:id="531" w:name="applicable-obligations-9"/>
    <w:p>
      <w:pPr>
        <w:pStyle w:val="Heading3"/>
      </w:pPr>
      <w:r>
        <w:t xml:space="preserve">Applicable Obligations</w:t>
      </w:r>
    </w:p>
    <w:p>
      <w:pPr>
        <w:pStyle w:val="Compact"/>
        <w:numPr>
          <w:ilvl w:val="0"/>
          <w:numId w:val="1347"/>
        </w:numPr>
      </w:pPr>
      <w:r>
        <w:t xml:space="preserve">Dedicated CISO with OT/ICS security expertise</w:t>
      </w:r>
    </w:p>
    <w:p>
      <w:pPr>
        <w:pStyle w:val="Compact"/>
        <w:numPr>
          <w:ilvl w:val="0"/>
          <w:numId w:val="1347"/>
        </w:numPr>
      </w:pPr>
      <w:r>
        <w:t xml:space="preserve">Annual audit of manufacturing systems (MES, QMS)</w:t>
      </w:r>
    </w:p>
    <w:p>
      <w:pPr>
        <w:pStyle w:val="Compact"/>
        <w:numPr>
          <w:ilvl w:val="0"/>
          <w:numId w:val="1347"/>
        </w:numPr>
      </w:pPr>
      <w:r>
        <w:t xml:space="preserve">24-hour incident reporting for production disruptions</w:t>
      </w:r>
    </w:p>
    <w:p>
      <w:pPr>
        <w:pStyle w:val="Compact"/>
        <w:numPr>
          <w:ilvl w:val="0"/>
          <w:numId w:val="1347"/>
        </w:numPr>
      </w:pPr>
      <w:r>
        <w:t xml:space="preserve">Supply chain security for raw materials and packaging</w:t>
      </w:r>
    </w:p>
    <w:p>
      <w:pPr>
        <w:pStyle w:val="Compact"/>
        <w:numPr>
          <w:ilvl w:val="0"/>
          <w:numId w:val="1347"/>
        </w:numPr>
      </w:pPr>
      <w:r>
        <w:t xml:space="preserve">Business continuity: Redundant manufacturing capability</w:t>
      </w:r>
    </w:p>
    <w:p>
      <w:pPr>
        <w:pStyle w:val="Compact"/>
        <w:numPr>
          <w:ilvl w:val="0"/>
          <w:numId w:val="1347"/>
        </w:numPr>
      </w:pPr>
      <w:r>
        <w:t xml:space="preserve">Cold chain system monitoring and backup</w:t>
      </w:r>
    </w:p>
    <w:p>
      <w:pPr>
        <w:pStyle w:val="Compact"/>
        <w:numPr>
          <w:ilvl w:val="0"/>
          <w:numId w:val="1347"/>
        </w:numPr>
      </w:pPr>
      <w:r>
        <w:t xml:space="preserve">Coordination with national immunization program authority</w:t>
      </w:r>
    </w:p>
    <w:p>
      <w:r>
        <w:pict>
          <v:rect style="width:0;height:1.5pt" o:hralign="center" o:hrstd="t" o:hr="t"/>
        </w:pict>
      </w:r>
    </w:p>
    <w:bookmarkEnd w:id="531"/>
    <w:bookmarkEnd w:id="532"/>
    <w:bookmarkStart w:id="539" w:name="X26cfe7ec920788d8f32c5f6dd05d6fe0f468804"/>
    <w:p>
      <w:pPr>
        <w:pStyle w:val="Heading2"/>
      </w:pPr>
      <w:r>
        <w:t xml:space="preserve">Case Study 4: Biotech Research Company -</w:t>
      </w:r>
      <w:r>
        <w:t xml:space="preserve"> </w:t>
      </w:r>
      <w:r>
        <w:t xml:space="preserve">“GeneSys BioTech”</w:t>
      </w:r>
    </w:p>
    <w:bookmarkStart w:id="533" w:name="entity-profile-13"/>
    <w:p>
      <w:pPr>
        <w:pStyle w:val="Heading3"/>
      </w:pPr>
      <w:r>
        <w:t xml:space="preserve">Entity Profile</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jc w:val="left"/>
            </w:pPr>
            <w:r>
              <w:t xml:space="preserve">Attribute</w:t>
            </w:r>
          </w:p>
        </w:tc>
        <w:tc>
          <w:tcPr/>
          <w:p>
            <w:pPr>
              <w:pStyle w:val="Compact"/>
              <w:jc w:val="left"/>
            </w:pPr>
            <w:r>
              <w:t xml:space="preserve">Details</w:t>
            </w:r>
          </w:p>
        </w:tc>
      </w:tr>
      <w:tr>
        <w:tc>
          <w:tcPr/>
          <w:p>
            <w:pPr>
              <w:pStyle w:val="Compact"/>
              <w:jc w:val="left"/>
            </w:pPr>
            <w:r>
              <w:rPr>
                <w:b/>
                <w:bCs/>
              </w:rPr>
              <w:t xml:space="preserve">Name</w:t>
            </w:r>
          </w:p>
        </w:tc>
        <w:tc>
          <w:tcPr/>
          <w:p>
            <w:pPr>
              <w:pStyle w:val="Compact"/>
              <w:jc w:val="left"/>
            </w:pPr>
            <w:r>
              <w:t xml:space="preserve">GeneSys BioTech Private Limited</w:t>
            </w:r>
          </w:p>
        </w:tc>
      </w:tr>
      <w:tr>
        <w:tc>
          <w:tcPr/>
          <w:p>
            <w:pPr>
              <w:pStyle w:val="Compact"/>
              <w:jc w:val="left"/>
            </w:pPr>
            <w:r>
              <w:rPr>
                <w:b/>
                <w:bCs/>
              </w:rPr>
              <w:t xml:space="preserve">Type</w:t>
            </w:r>
          </w:p>
        </w:tc>
        <w:tc>
          <w:tcPr/>
          <w:p>
            <w:pPr>
              <w:pStyle w:val="Compact"/>
              <w:jc w:val="left"/>
            </w:pPr>
            <w:r>
              <w:t xml:space="preserve">Biotech research company developing biosimilars</w:t>
            </w:r>
          </w:p>
        </w:tc>
      </w:tr>
      <w:tr>
        <w:tc>
          <w:tcPr/>
          <w:p>
            <w:pPr>
              <w:pStyle w:val="Compact"/>
              <w:jc w:val="left"/>
            </w:pPr>
            <w:r>
              <w:rPr>
                <w:b/>
                <w:bCs/>
              </w:rPr>
              <w:t xml:space="preserve">Products in pipeline</w:t>
            </w:r>
          </w:p>
        </w:tc>
        <w:tc>
          <w:tcPr/>
          <w:p>
            <w:pPr>
              <w:pStyle w:val="Compact"/>
              <w:jc w:val="left"/>
            </w:pPr>
            <w:r>
              <w:t xml:space="preserve">8 biosimilars (oncology, autoimmune); 3 in Phase III trials</w:t>
            </w:r>
          </w:p>
        </w:tc>
      </w:tr>
      <w:tr>
        <w:tc>
          <w:tcPr/>
          <w:p>
            <w:pPr>
              <w:pStyle w:val="Compact"/>
              <w:jc w:val="left"/>
            </w:pPr>
            <w:r>
              <w:rPr>
                <w:b/>
                <w:bCs/>
              </w:rPr>
              <w:t xml:space="preserve">Key IP</w:t>
            </w:r>
          </w:p>
        </w:tc>
        <w:tc>
          <w:tcPr/>
          <w:p>
            <w:pPr>
              <w:pStyle w:val="Compact"/>
              <w:jc w:val="left"/>
            </w:pPr>
            <w:r>
              <w:t xml:space="preserve">Proprietary cell lines, manufacturing processes, clinical trial data</w:t>
            </w:r>
          </w:p>
        </w:tc>
      </w:tr>
      <w:tr>
        <w:tc>
          <w:tcPr/>
          <w:p>
            <w:pPr>
              <w:pStyle w:val="Compact"/>
              <w:jc w:val="left"/>
            </w:pPr>
            <w:r>
              <w:rPr>
                <w:b/>
                <w:bCs/>
              </w:rPr>
              <w:t xml:space="preserve">Employees</w:t>
            </w:r>
          </w:p>
        </w:tc>
        <w:tc>
          <w:tcPr/>
          <w:p>
            <w:pPr>
              <w:pStyle w:val="Compact"/>
              <w:jc w:val="left"/>
            </w:pPr>
            <w:r>
              <w:t xml:space="preserve">1,200</w:t>
            </w:r>
          </w:p>
        </w:tc>
      </w:tr>
      <w:tr>
        <w:tc>
          <w:tcPr/>
          <w:p>
            <w:pPr>
              <w:pStyle w:val="Compact"/>
              <w:jc w:val="left"/>
            </w:pPr>
            <w:r>
              <w:rPr>
                <w:b/>
                <w:bCs/>
              </w:rPr>
              <w:t xml:space="preserve">R&amp;D investment</w:t>
            </w:r>
          </w:p>
        </w:tc>
        <w:tc>
          <w:tcPr/>
          <w:p>
            <w:pPr>
              <w:pStyle w:val="Compact"/>
              <w:jc w:val="left"/>
            </w:pPr>
            <w:r>
              <w:t xml:space="preserve">$150M cumulative in current pipeline</w:t>
            </w:r>
          </w:p>
        </w:tc>
      </w:tr>
      <w:tr>
        <w:tc>
          <w:tcPr/>
          <w:p>
            <w:pPr>
              <w:pStyle w:val="Compact"/>
              <w:jc w:val="left"/>
            </w:pPr>
            <w:r>
              <w:rPr>
                <w:b/>
                <w:bCs/>
              </w:rPr>
              <w:t xml:space="preserve">Key systems</w:t>
            </w:r>
          </w:p>
        </w:tc>
        <w:tc>
          <w:tcPr/>
          <w:p>
            <w:pPr>
              <w:pStyle w:val="Compact"/>
              <w:jc w:val="left"/>
            </w:pPr>
            <w:r>
              <w:t xml:space="preserve">Electronic Lab Notebook (ELN), Clinical Trial Management System (CTMS), IP database, Bioinformatics cluster</w:t>
            </w:r>
          </w:p>
        </w:tc>
      </w:tr>
      <w:tr>
        <w:tc>
          <w:tcPr/>
          <w:p>
            <w:pPr>
              <w:pStyle w:val="Compact"/>
              <w:jc w:val="left"/>
            </w:pPr>
            <w:r>
              <w:rPr>
                <w:b/>
                <w:bCs/>
              </w:rPr>
              <w:t xml:space="preserve">Partnerships</w:t>
            </w:r>
          </w:p>
        </w:tc>
        <w:tc>
          <w:tcPr/>
          <w:p>
            <w:pPr>
              <w:pStyle w:val="Compact"/>
              <w:jc w:val="left"/>
            </w:pPr>
            <w:r>
              <w:t xml:space="preserve">Licensing agreements with 3 multinational pharma companies</w:t>
            </w:r>
          </w:p>
        </w:tc>
      </w:tr>
      <w:tr>
        <w:tc>
          <w:tcPr/>
          <w:p>
            <w:pPr>
              <w:pStyle w:val="Compact"/>
              <w:jc w:val="left"/>
            </w:pPr>
            <w:r>
              <w:rPr>
                <w:b/>
                <w:bCs/>
              </w:rPr>
              <w:t xml:space="preserve">Special consideration</w:t>
            </w:r>
          </w:p>
        </w:tc>
        <w:tc>
          <w:tcPr/>
          <w:p>
            <w:pPr>
              <w:pStyle w:val="Compact"/>
              <w:jc w:val="left"/>
            </w:pPr>
            <w:r>
              <w:rPr>
                <w:b/>
                <w:bCs/>
              </w:rPr>
              <w:t xml:space="preserve">High-value IP target; national biotech capability</w:t>
            </w:r>
          </w:p>
        </w:tc>
      </w:tr>
    </w:tbl>
    <w:bookmarkEnd w:id="533"/>
    <w:bookmarkStart w:id="536" w:name="cii-classification-assessment-13"/>
    <w:p>
      <w:pPr>
        <w:pStyle w:val="Heading3"/>
      </w:pPr>
      <w:r>
        <w:t xml:space="preserve">CII Classification Assessment</w:t>
      </w:r>
    </w:p>
    <w:bookmarkStart w:id="534" w:name="key-risk-factors-4"/>
    <w:p>
      <w:pPr>
        <w:pStyle w:val="Heading4"/>
      </w:pPr>
      <w:r>
        <w:t xml:space="preserve">Key Risk Factors</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jc w:val="left"/>
            </w:pPr>
            <w:r>
              <w:t xml:space="preserve">Factor</w:t>
            </w:r>
          </w:p>
        </w:tc>
        <w:tc>
          <w:tcPr/>
          <w:p>
            <w:pPr>
              <w:pStyle w:val="Compact"/>
              <w:jc w:val="left"/>
            </w:pPr>
            <w:r>
              <w:t xml:space="preserve">Assessment</w:t>
            </w:r>
          </w:p>
        </w:tc>
      </w:tr>
      <w:tr>
        <w:tc>
          <w:tcPr/>
          <w:p>
            <w:pPr>
              <w:pStyle w:val="Compact"/>
              <w:jc w:val="left"/>
            </w:pPr>
            <w:r>
              <w:rPr>
                <w:b/>
                <w:bCs/>
              </w:rPr>
              <w:t xml:space="preserve">IP value</w:t>
            </w:r>
          </w:p>
        </w:tc>
        <w:tc>
          <w:tcPr/>
          <w:p>
            <w:pPr>
              <w:pStyle w:val="Compact"/>
              <w:jc w:val="left"/>
            </w:pPr>
            <w:r>
              <w:t xml:space="preserve">$150M+ R&amp;D investment; biosimilar formulations are high-value targets</w:t>
            </w:r>
          </w:p>
        </w:tc>
      </w:tr>
      <w:tr>
        <w:tc>
          <w:tcPr/>
          <w:p>
            <w:pPr>
              <w:pStyle w:val="Compact"/>
              <w:jc w:val="left"/>
            </w:pPr>
            <w:r>
              <w:rPr>
                <w:b/>
                <w:bCs/>
              </w:rPr>
              <w:t xml:space="preserve">State-actor threat</w:t>
            </w:r>
          </w:p>
        </w:tc>
        <w:tc>
          <w:tcPr/>
          <w:p>
            <w:pPr>
              <w:pStyle w:val="Compact"/>
              <w:jc w:val="left"/>
            </w:pPr>
            <w:r>
              <w:t xml:space="preserve">Biosimilar development is target for economic espionage</w:t>
            </w:r>
          </w:p>
        </w:tc>
      </w:tr>
      <w:tr>
        <w:tc>
          <w:tcPr/>
          <w:p>
            <w:pPr>
              <w:pStyle w:val="Compact"/>
              <w:jc w:val="left"/>
            </w:pPr>
            <w:r>
              <w:rPr>
                <w:b/>
                <w:bCs/>
              </w:rPr>
              <w:t xml:space="preserve">National capability</w:t>
            </w:r>
          </w:p>
        </w:tc>
        <w:tc>
          <w:tcPr/>
          <w:p>
            <w:pPr>
              <w:pStyle w:val="Compact"/>
              <w:jc w:val="left"/>
            </w:pPr>
            <w:r>
              <w:t xml:space="preserve">One of few domestic companies with advanced biosimilar capability</w:t>
            </w:r>
          </w:p>
        </w:tc>
      </w:tr>
      <w:tr>
        <w:tc>
          <w:tcPr/>
          <w:p>
            <w:pPr>
              <w:pStyle w:val="Compact"/>
              <w:jc w:val="left"/>
            </w:pPr>
            <w:r>
              <w:rPr>
                <w:b/>
                <w:bCs/>
              </w:rPr>
              <w:t xml:space="preserve">Clinical data</w:t>
            </w:r>
          </w:p>
        </w:tc>
        <w:tc>
          <w:tcPr/>
          <w:p>
            <w:pPr>
              <w:pStyle w:val="Compact"/>
              <w:jc w:val="left"/>
            </w:pPr>
            <w:r>
              <w:t xml:space="preserve">Phase III trial data for thousands of patients</w:t>
            </w:r>
          </w:p>
        </w:tc>
      </w:tr>
      <w:tr>
        <w:tc>
          <w:tcPr/>
          <w:p>
            <w:pPr>
              <w:pStyle w:val="Compact"/>
              <w:jc w:val="left"/>
            </w:pPr>
            <w:r>
              <w:rPr>
                <w:b/>
                <w:bCs/>
              </w:rPr>
              <w:t xml:space="preserve">Supply chain</w:t>
            </w:r>
          </w:p>
        </w:tc>
        <w:tc>
          <w:tcPr/>
          <w:p>
            <w:pPr>
              <w:pStyle w:val="Compact"/>
              <w:jc w:val="left"/>
            </w:pPr>
            <w:r>
              <w:t xml:space="preserve">Potential future essential medicine supplier</w:t>
            </w:r>
          </w:p>
        </w:tc>
      </w:tr>
    </w:tbl>
    <w:bookmarkEnd w:id="534"/>
    <w:bookmarkStart w:id="535" w:name="scoring-developing-country-framework-8"/>
    <w:p>
      <w:pPr>
        <w:pStyle w:val="Heading4"/>
      </w:pPr>
      <w:r>
        <w:t xml:space="preserve">Scoring (Developing Country Framework)</w:t>
      </w:r>
    </w:p>
    <w:tbl>
      <w:tblPr>
        <w:tblStyle w:val="Table"/>
        <w:tblW w:type="pct" w:w="5000"/>
        <w:tblLayout w:type="fixed"/>
        <w:tblLook w:firstRow="1" w:lastRow="0" w:firstColumn="0" w:lastColumn="0" w:noHBand="0" w:noVBand="0" w:val="0020"/>
      </w:tblPr>
      <w:tblGrid>
        <w:gridCol w:w="1863"/>
        <w:gridCol w:w="2562"/>
        <w:gridCol w:w="3494"/>
      </w:tblGrid>
      <w:tr>
        <w:trPr>
          <w:tblHeader w:val="on"/>
        </w:trPr>
        <w:tc>
          <w:tcPr/>
          <w:p>
            <w:pPr>
              <w:pStyle w:val="Compact"/>
              <w:jc w:val="left"/>
            </w:pPr>
            <w:r>
              <w:t xml:space="preserve">Domain</w:t>
            </w:r>
          </w:p>
        </w:tc>
        <w:tc>
          <w:tcPr/>
          <w:p>
            <w:pPr>
              <w:pStyle w:val="Compact"/>
              <w:jc w:val="left"/>
            </w:pPr>
            <w:r>
              <w:t xml:space="preserve">Criterion</w:t>
            </w:r>
          </w:p>
        </w:tc>
        <w:tc>
          <w:tcPr/>
          <w:p>
            <w:pPr>
              <w:pStyle w:val="Compact"/>
              <w:jc w:val="center"/>
            </w:pPr>
            <w:r>
              <w:t xml:space="preserve">Points Scored</w:t>
            </w:r>
          </w:p>
        </w:tc>
      </w:tr>
      <w:tr>
        <w:tc>
          <w:tcPr/>
          <w:p>
            <w:pPr>
              <w:pStyle w:val="Compact"/>
              <w:jc w:val="left"/>
            </w:pPr>
            <w:r>
              <w:rPr>
                <w:b/>
                <w:bCs/>
              </w:rPr>
              <w:t xml:space="preserve">A. IP/Data Sensitivity</w:t>
            </w:r>
          </w:p>
        </w:tc>
        <w:tc>
          <w:tcPr/>
          <w:p>
            <w:pPr>
              <w:pStyle w:val="Compact"/>
              <w:jc w:val="left"/>
            </w:pPr>
            <w:r>
              <w:t xml:space="preserve">Proprietary biosimilar formulations; cell lines</w:t>
            </w:r>
          </w:p>
        </w:tc>
        <w:tc>
          <w:tcPr/>
          <w:p>
            <w:pPr>
              <w:pStyle w:val="Compact"/>
              <w:jc w:val="center"/>
            </w:pPr>
            <w:r>
              <w:t xml:space="preserve">25</w:t>
            </w:r>
          </w:p>
        </w:tc>
      </w:tr>
      <w:tr>
        <w:tc>
          <w:tcPr/>
          <w:p>
            <w:pPr>
              <w:pStyle w:val="Compact"/>
              <w:jc w:val="left"/>
            </w:pPr>
            <w:r>
              <w:rPr>
                <w:b/>
                <w:bCs/>
              </w:rPr>
              <w:t xml:space="preserve">B. National Strategic Value</w:t>
            </w:r>
          </w:p>
        </w:tc>
        <w:tc>
          <w:tcPr/>
          <w:p>
            <w:pPr>
              <w:pStyle w:val="Compact"/>
              <w:jc w:val="left"/>
            </w:pPr>
            <w:r>
              <w:t xml:space="preserve">Domestic biotech capability; import substitution potential</w:t>
            </w:r>
          </w:p>
        </w:tc>
        <w:tc>
          <w:tcPr/>
          <w:p>
            <w:pPr>
              <w:pStyle w:val="Compact"/>
              <w:jc w:val="center"/>
            </w:pPr>
            <w:r>
              <w:t xml:space="preserve">20</w:t>
            </w:r>
          </w:p>
        </w:tc>
      </w:tr>
      <w:tr>
        <w:tc>
          <w:tcPr/>
          <w:p>
            <w:pPr>
              <w:pStyle w:val="Compact"/>
              <w:jc w:val="left"/>
            </w:pPr>
            <w:r>
              <w:rPr>
                <w:b/>
                <w:bCs/>
              </w:rPr>
              <w:t xml:space="preserve">C. Clinical Trial Data</w:t>
            </w:r>
          </w:p>
        </w:tc>
        <w:tc>
          <w:tcPr/>
          <w:p>
            <w:pPr>
              <w:pStyle w:val="Compact"/>
              <w:jc w:val="left"/>
            </w:pPr>
            <w:r>
              <w:t xml:space="preserve">Multi-thousand patient trial data</w:t>
            </w:r>
          </w:p>
        </w:tc>
        <w:tc>
          <w:tcPr/>
          <w:p>
            <w:pPr>
              <w:pStyle w:val="Compact"/>
              <w:jc w:val="center"/>
            </w:pPr>
            <w:r>
              <w:t xml:space="preserve">15</w:t>
            </w:r>
          </w:p>
        </w:tc>
      </w:tr>
      <w:tr>
        <w:tc>
          <w:tcPr/>
          <w:p>
            <w:pPr>
              <w:pStyle w:val="Compact"/>
              <w:jc w:val="left"/>
            </w:pPr>
            <w:r>
              <w:rPr>
                <w:b/>
                <w:bCs/>
              </w:rPr>
              <w:t xml:space="preserve">D. Future Supply Chain Role</w:t>
            </w:r>
          </w:p>
        </w:tc>
        <w:tc>
          <w:tcPr/>
          <w:p>
            <w:pPr>
              <w:pStyle w:val="Compact"/>
              <w:jc w:val="left"/>
            </w:pPr>
            <w:r>
              <w:t xml:space="preserve">Pipeline products for oncology/autoimmune</w:t>
            </w:r>
          </w:p>
        </w:tc>
        <w:tc>
          <w:tcPr/>
          <w:p>
            <w:pPr>
              <w:pStyle w:val="Compact"/>
              <w:jc w:val="center"/>
            </w:pPr>
            <w:r>
              <w:t xml:space="preserve">10</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70</w:t>
            </w:r>
          </w:p>
        </w:tc>
      </w:tr>
    </w:tbl>
    <w:bookmarkEnd w:id="535"/>
    <w:bookmarkEnd w:id="536"/>
    <w:bookmarkStart w:id="537" w:name="classification-result-13"/>
    <w:p>
      <w:pPr>
        <w:pStyle w:val="Heading3"/>
      </w:pPr>
      <w:r>
        <w:t xml:space="preserve">Classification Result</w:t>
      </w:r>
    </w:p>
    <w:tbl>
      <w:tblPr>
        <w:tblStyle w:val="Table"/>
        <w:tblW w:type="pct" w:w="5000"/>
        <w:tblLayout w:type="fixed"/>
        <w:tblLook w:firstRow="1" w:lastRow="0" w:firstColumn="0" w:lastColumn="0" w:noHBand="0" w:noVBand="0" w:val="0020"/>
      </w:tblPr>
      <w:tblGrid>
        <w:gridCol w:w="2489"/>
        <w:gridCol w:w="1584"/>
        <w:gridCol w:w="1357"/>
        <w:gridCol w:w="2489"/>
      </w:tblGrid>
      <w:tr>
        <w:trPr>
          <w:tblHeader w:val="on"/>
        </w:trPr>
        <w:tc>
          <w:tcPr/>
          <w:p>
            <w:pPr>
              <w:pStyle w:val="Compact"/>
              <w:jc w:val="left"/>
            </w:pPr>
            <w:r>
              <w:t xml:space="preserve">Framework</w:t>
            </w:r>
          </w:p>
        </w:tc>
        <w:tc>
          <w:tcPr/>
          <w:p>
            <w:pPr>
              <w:pStyle w:val="Compact"/>
              <w:jc w:val="left"/>
            </w:pPr>
            <w:r>
              <w:t xml:space="preserve">Score</w:t>
            </w:r>
          </w:p>
        </w:tc>
        <w:tc>
          <w:tcPr/>
          <w:p>
            <w:pPr>
              <w:pStyle w:val="Compact"/>
              <w:jc w:val="left"/>
            </w:pPr>
            <w:r>
              <w:t xml:space="preserve">Tier</w:t>
            </w:r>
          </w:p>
        </w:tc>
        <w:tc>
          <w:tcPr/>
          <w:p>
            <w:pPr>
              <w:pStyle w:val="Compact"/>
              <w:jc w:val="left"/>
            </w:pPr>
            <w:r>
              <w:t xml:space="preserve">Rationale</w:t>
            </w:r>
          </w:p>
        </w:tc>
      </w:tr>
      <w:tr>
        <w:tc>
          <w:tcPr/>
          <w:p>
            <w:pPr>
              <w:pStyle w:val="Compact"/>
              <w:jc w:val="left"/>
            </w:pPr>
            <w:r>
              <w:rPr>
                <w:b/>
                <w:bCs/>
              </w:rPr>
              <w:t xml:space="preserve">Developing Country</w:t>
            </w:r>
          </w:p>
        </w:tc>
        <w:tc>
          <w:tcPr/>
          <w:p>
            <w:pPr>
              <w:pStyle w:val="Compact"/>
              <w:jc w:val="left"/>
            </w:pPr>
            <w:r>
              <w:t xml:space="preserve">70</w:t>
            </w:r>
          </w:p>
        </w:tc>
        <w:tc>
          <w:tcPr/>
          <w:p>
            <w:pPr>
              <w:pStyle w:val="Compact"/>
              <w:jc w:val="left"/>
            </w:pPr>
            <w:r>
              <w:rPr>
                <w:b/>
                <w:bCs/>
              </w:rPr>
              <w:t xml:space="preserve">Tier 1 (Essential)</w:t>
            </w:r>
          </w:p>
        </w:tc>
        <w:tc>
          <w:tcPr/>
          <w:p>
            <w:pPr>
              <w:pStyle w:val="Compact"/>
              <w:jc w:val="left"/>
            </w:pPr>
            <w:r>
              <w:t xml:space="preserve">Strategic IP value; national biotech capability</w:t>
            </w:r>
          </w:p>
        </w:tc>
      </w:tr>
    </w:tbl>
    <w:p>
      <w:pPr>
        <w:pStyle w:val="BlockText"/>
      </w:pPr>
      <w:r>
        <w:t xml:space="preserve">[!IMPORTANT]</w:t>
      </w:r>
      <w:r>
        <w:t xml:space="preserve"> </w:t>
      </w:r>
      <w:r>
        <w:t xml:space="preserve">This case illustrates</w:t>
      </w:r>
      <w:r>
        <w:t xml:space="preserve"> </w:t>
      </w:r>
      <w:r>
        <w:rPr>
          <w:b/>
          <w:bCs/>
        </w:rPr>
        <w:t xml:space="preserve">IP-based criticality</w:t>
      </w:r>
      <w:r>
        <w:t xml:space="preserve"> </w:t>
      </w:r>
      <w:r>
        <w:t xml:space="preserve">distinct from service delivery. Compromise of biosimilar development IP could set back national pharmaceutical capability by years and benefit foreign competitors.</w:t>
      </w:r>
      <w:r>
        <w:t xml:space="preserve"> </w:t>
      </w:r>
      <w:r>
        <w:rPr>
          <w:b/>
          <w:bCs/>
        </w:rPr>
        <w:t xml:space="preserve">Economic security</w:t>
      </w:r>
      <w:r>
        <w:t xml:space="preserve"> </w:t>
      </w:r>
      <w:r>
        <w:t xml:space="preserve">is a valid CII consideration.</w:t>
      </w:r>
    </w:p>
    <w:bookmarkEnd w:id="537"/>
    <w:bookmarkStart w:id="538" w:name="applicable-obligations-10"/>
    <w:p>
      <w:pPr>
        <w:pStyle w:val="Heading3"/>
      </w:pPr>
      <w:r>
        <w:t xml:space="preserve">Applicable Obligations</w:t>
      </w:r>
    </w:p>
    <w:p>
      <w:pPr>
        <w:pStyle w:val="Compact"/>
        <w:numPr>
          <w:ilvl w:val="0"/>
          <w:numId w:val="1348"/>
        </w:numPr>
      </w:pPr>
      <w:r>
        <w:t xml:space="preserve">Dedicated CISO with R&amp;D security focus</w:t>
      </w:r>
    </w:p>
    <w:p>
      <w:pPr>
        <w:pStyle w:val="Compact"/>
        <w:numPr>
          <w:ilvl w:val="0"/>
          <w:numId w:val="1348"/>
        </w:numPr>
      </w:pPr>
      <w:r>
        <w:t xml:space="preserve">IP protection controls (access management, DLP, insider threat)</w:t>
      </w:r>
    </w:p>
    <w:p>
      <w:pPr>
        <w:pStyle w:val="Compact"/>
        <w:numPr>
          <w:ilvl w:val="0"/>
          <w:numId w:val="1348"/>
        </w:numPr>
      </w:pPr>
      <w:r>
        <w:t xml:space="preserve">Annual security audit including research systems</w:t>
      </w:r>
    </w:p>
    <w:p>
      <w:pPr>
        <w:pStyle w:val="Compact"/>
        <w:numPr>
          <w:ilvl w:val="0"/>
          <w:numId w:val="1348"/>
        </w:numPr>
      </w:pPr>
      <w:r>
        <w:t xml:space="preserve">48-hour incident reporting (IP theft/exfiltration focus)</w:t>
      </w:r>
    </w:p>
    <w:p>
      <w:pPr>
        <w:pStyle w:val="Compact"/>
        <w:numPr>
          <w:ilvl w:val="0"/>
          <w:numId w:val="1348"/>
        </w:numPr>
      </w:pPr>
      <w:r>
        <w:t xml:space="preserve">Third-party research partner security assessment</w:t>
      </w:r>
    </w:p>
    <w:p>
      <w:pPr>
        <w:pStyle w:val="Compact"/>
        <w:numPr>
          <w:ilvl w:val="0"/>
          <w:numId w:val="1348"/>
        </w:numPr>
      </w:pPr>
      <w:r>
        <w:t xml:space="preserve">Bioinformatics infrastructure protection</w:t>
      </w:r>
    </w:p>
    <w:p>
      <w:pPr>
        <w:pStyle w:val="Compact"/>
        <w:numPr>
          <w:ilvl w:val="0"/>
          <w:numId w:val="1348"/>
        </w:numPr>
      </w:pPr>
      <w:r>
        <w:t xml:space="preserve">Secure collaboration protocols for international partners</w:t>
      </w:r>
    </w:p>
    <w:p>
      <w:r>
        <w:pict>
          <v:rect style="width:0;height:1.5pt" o:hralign="center" o:hrstd="t" o:hr="t"/>
        </w:pict>
      </w:r>
    </w:p>
    <w:bookmarkEnd w:id="538"/>
    <w:bookmarkEnd w:id="539"/>
    <w:bookmarkStart w:id="541" w:name="X7c04f191a06b1a73e934768157b5c37e4b60222"/>
    <w:p>
      <w:pPr>
        <w:pStyle w:val="Heading2"/>
      </w:pPr>
      <w:r>
        <w:t xml:space="preserve">Summary: Diagnostics, Pharma, and Biotech Classification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Case Study</w:t>
            </w:r>
          </w:p>
        </w:tc>
        <w:tc>
          <w:tcPr/>
          <w:p>
            <w:pPr>
              <w:pStyle w:val="Compact"/>
              <w:jc w:val="left"/>
            </w:pPr>
            <w:r>
              <w:t xml:space="preserve">Entity Type</w:t>
            </w:r>
          </w:p>
        </w:tc>
        <w:tc>
          <w:tcPr/>
          <w:p>
            <w:pPr>
              <w:pStyle w:val="Compact"/>
              <w:jc w:val="center"/>
            </w:pPr>
            <w:r>
              <w:t xml:space="preserve">Score</w:t>
            </w:r>
          </w:p>
        </w:tc>
        <w:tc>
          <w:tcPr/>
          <w:p>
            <w:pPr>
              <w:pStyle w:val="Compact"/>
              <w:jc w:val="center"/>
            </w:pPr>
            <w:r>
              <w:t xml:space="preserve">Tier</w:t>
            </w:r>
          </w:p>
        </w:tc>
      </w:tr>
      <w:tr>
        <w:tc>
          <w:tcPr/>
          <w:p>
            <w:pPr>
              <w:pStyle w:val="Compact"/>
              <w:jc w:val="left"/>
            </w:pPr>
            <w:r>
              <w:t xml:space="preserve">DiagnoFirst Labs</w:t>
            </w:r>
          </w:p>
        </w:tc>
        <w:tc>
          <w:tcPr/>
          <w:p>
            <w:pPr>
              <w:pStyle w:val="Compact"/>
              <w:jc w:val="left"/>
            </w:pPr>
            <w:r>
              <w:t xml:space="preserve">Private lab chain</w:t>
            </w:r>
          </w:p>
        </w:tc>
        <w:tc>
          <w:tcPr/>
          <w:p>
            <w:pPr>
              <w:pStyle w:val="Compact"/>
              <w:jc w:val="center"/>
            </w:pPr>
            <w:r>
              <w:t xml:space="preserve">60</w:t>
            </w:r>
          </w:p>
        </w:tc>
        <w:tc>
          <w:tcPr/>
          <w:p>
            <w:pPr>
              <w:pStyle w:val="Compact"/>
              <w:jc w:val="center"/>
            </w:pPr>
            <w:r>
              <w:rPr>
                <w:b/>
                <w:bCs/>
              </w:rPr>
              <w:t xml:space="preserve">Tier 1</w:t>
            </w:r>
          </w:p>
        </w:tc>
      </w:tr>
      <w:tr>
        <w:tc>
          <w:tcPr/>
          <w:p>
            <w:pPr>
              <w:pStyle w:val="Compact"/>
              <w:jc w:val="left"/>
            </w:pPr>
            <w:r>
              <w:t xml:space="preserve">GenomeIndia Labs</w:t>
            </w:r>
          </w:p>
        </w:tc>
        <w:tc>
          <w:tcPr/>
          <w:p>
            <w:pPr>
              <w:pStyle w:val="Compact"/>
              <w:jc w:val="left"/>
            </w:pPr>
            <w:r>
              <w:t xml:space="preserve">Genomic sequencing lab</w:t>
            </w:r>
          </w:p>
        </w:tc>
        <w:tc>
          <w:tcPr/>
          <w:p>
            <w:pPr>
              <w:pStyle w:val="Compact"/>
              <w:jc w:val="center"/>
            </w:pPr>
            <w:r>
              <w:t xml:space="preserve">85</w:t>
            </w:r>
          </w:p>
        </w:tc>
        <w:tc>
          <w:tcPr/>
          <w:p>
            <w:pPr>
              <w:pStyle w:val="Compact"/>
              <w:jc w:val="center"/>
            </w:pPr>
            <w:r>
              <w:rPr>
                <w:b/>
                <w:bCs/>
              </w:rPr>
              <w:t xml:space="preserve">Tier 1</w:t>
            </w:r>
          </w:p>
        </w:tc>
      </w:tr>
      <w:tr>
        <w:tc>
          <w:tcPr/>
          <w:p>
            <w:pPr>
              <w:pStyle w:val="Compact"/>
              <w:jc w:val="left"/>
            </w:pPr>
            <w:r>
              <w:t xml:space="preserve">BioShield Pharma</w:t>
            </w:r>
          </w:p>
        </w:tc>
        <w:tc>
          <w:tcPr/>
          <w:p>
            <w:pPr>
              <w:pStyle w:val="Compact"/>
              <w:jc w:val="left"/>
            </w:pPr>
            <w:r>
              <w:t xml:space="preserve">Vaccine manufacturer</w:t>
            </w:r>
          </w:p>
        </w:tc>
        <w:tc>
          <w:tcPr/>
          <w:p>
            <w:pPr>
              <w:pStyle w:val="Compact"/>
              <w:jc w:val="center"/>
            </w:pPr>
            <w:r>
              <w:t xml:space="preserve">90</w:t>
            </w:r>
          </w:p>
        </w:tc>
        <w:tc>
          <w:tcPr/>
          <w:p>
            <w:pPr>
              <w:pStyle w:val="Compact"/>
              <w:jc w:val="center"/>
            </w:pPr>
            <w:r>
              <w:rPr>
                <w:b/>
                <w:bCs/>
              </w:rPr>
              <w:t xml:space="preserve">Tier 1</w:t>
            </w:r>
            <w:r>
              <w:t xml:space="preserve"> </w:t>
            </w:r>
            <w:r>
              <w:t xml:space="preserve">(auto)</w:t>
            </w:r>
          </w:p>
        </w:tc>
      </w:tr>
      <w:tr>
        <w:tc>
          <w:tcPr/>
          <w:p>
            <w:pPr>
              <w:pStyle w:val="Compact"/>
              <w:jc w:val="left"/>
            </w:pPr>
            <w:r>
              <w:t xml:space="preserve">GeneSys BioTech</w:t>
            </w:r>
          </w:p>
        </w:tc>
        <w:tc>
          <w:tcPr/>
          <w:p>
            <w:pPr>
              <w:pStyle w:val="Compact"/>
              <w:jc w:val="left"/>
            </w:pPr>
            <w:r>
              <w:t xml:space="preserve">Biotech (biosimilars IP)</w:t>
            </w:r>
          </w:p>
        </w:tc>
        <w:tc>
          <w:tcPr/>
          <w:p>
            <w:pPr>
              <w:pStyle w:val="Compact"/>
              <w:jc w:val="center"/>
            </w:pPr>
            <w:r>
              <w:t xml:space="preserve">70</w:t>
            </w:r>
          </w:p>
        </w:tc>
        <w:tc>
          <w:tcPr/>
          <w:p>
            <w:pPr>
              <w:pStyle w:val="Compact"/>
              <w:jc w:val="center"/>
            </w:pPr>
            <w:r>
              <w:rPr>
                <w:b/>
                <w:bCs/>
              </w:rPr>
              <w:t xml:space="preserve">Tier 1</w:t>
            </w:r>
          </w:p>
        </w:tc>
      </w:tr>
    </w:tbl>
    <w:bookmarkStart w:id="540" w:name="key-insights-2"/>
    <w:p>
      <w:pPr>
        <w:pStyle w:val="Heading3"/>
      </w:pPr>
      <w:r>
        <w:t xml:space="preserve">Key Insights</w:t>
      </w:r>
    </w:p>
    <w:p>
      <w:pPr>
        <w:pStyle w:val="Compact"/>
        <w:numPr>
          <w:ilvl w:val="0"/>
          <w:numId w:val="1349"/>
        </w:numPr>
      </w:pPr>
      <w:r>
        <w:rPr>
          <w:b/>
          <w:bCs/>
        </w:rPr>
        <w:t xml:space="preserve">Major diagnostic chains are CII</w:t>
      </w:r>
      <w:r>
        <w:t xml:space="preserve">: Laboratories with significant market share and disease surveillance roles qualify for Tier 1</w:t>
      </w:r>
    </w:p>
    <w:p>
      <w:pPr>
        <w:pStyle w:val="Compact"/>
        <w:numPr>
          <w:ilvl w:val="0"/>
          <w:numId w:val="1349"/>
        </w:numPr>
      </w:pPr>
      <w:r>
        <w:rPr>
          <w:b/>
          <w:bCs/>
        </w:rPr>
        <w:t xml:space="preserve">Genomic data has unique sovereignty implications</w:t>
      </w:r>
      <w:r>
        <w:t xml:space="preserve">: Population genomics is a national asset requiring special protection</w:t>
      </w:r>
    </w:p>
    <w:p>
      <w:pPr>
        <w:pStyle w:val="Compact"/>
        <w:numPr>
          <w:ilvl w:val="0"/>
          <w:numId w:val="1349"/>
        </w:numPr>
      </w:pPr>
      <w:r>
        <w:rPr>
          <w:b/>
          <w:bCs/>
        </w:rPr>
        <w:t xml:space="preserve">Supply chain entities are CII</w:t>
      </w:r>
      <w:r>
        <w:t xml:space="preserve">: Vaccine/pharma manufacturers with significant market share are Critical Infrastructure</w:t>
      </w:r>
    </w:p>
    <w:p>
      <w:pPr>
        <w:pStyle w:val="Compact"/>
        <w:numPr>
          <w:ilvl w:val="0"/>
          <w:numId w:val="1349"/>
        </w:numPr>
      </w:pPr>
      <w:r>
        <w:rPr>
          <w:b/>
          <w:bCs/>
        </w:rPr>
        <w:t xml:space="preserve">IP-based criticality is valid</w:t>
      </w:r>
      <w:r>
        <w:t xml:space="preserve">: High-value biotech research IP warrants CII consideration for economic security</w:t>
      </w:r>
    </w:p>
    <w:p>
      <w:pPr>
        <w:sectPr>
          <w:footerReference w:type="first" r:id="rId13"/>
          <w:footerReference w:type="default" r:id="rId11"/>
          <w:footerReference w:type="even" r:id="rId10"/>
          <w:type w:val="nextPage"/>
        </w:sectPr>
      </w:pPr>
    </w:p>
    <w:bookmarkEnd w:id="540"/>
    <w:bookmarkEnd w:id="541"/>
    <w:bookmarkEnd w:id="542"/>
    <w:bookmarkStart w:id="581" w:name="X42b69eab653c1409a94600dce6df1261155e299"/>
    <w:p>
      <w:pPr>
        <w:pStyle w:val="Heading1"/>
      </w:pPr>
      <w:r>
        <w:t xml:space="preserve">CII Case Studies: Public Health Programs and Surveillance</w:t>
      </w:r>
    </w:p>
    <w:p>
      <w:pPr>
        <w:pStyle w:val="FirstParagraph"/>
      </w:pPr>
      <w:r>
        <w:t xml:space="preserve">This chapter presents case studies for</w:t>
      </w:r>
      <w:r>
        <w:t xml:space="preserve"> </w:t>
      </w:r>
      <w:r>
        <w:rPr>
          <w:b/>
          <w:bCs/>
        </w:rPr>
        <w:t xml:space="preserve">national public health programs</w:t>
      </w:r>
      <w:r>
        <w:t xml:space="preserve"> </w:t>
      </w:r>
      <w:r>
        <w:t xml:space="preserve">including disease control programs, surveillance systems, and population health initiatives.</w:t>
      </w:r>
    </w:p>
    <w:p>
      <w:r>
        <w:pict>
          <v:rect style="width:0;height:1.5pt" o:hralign="center" o:hrstd="t" o:hr="t"/>
        </w:pict>
      </w:r>
    </w:p>
    <w:bookmarkStart w:id="549" w:name="X65d06e3cb49ec2f950241a2562da6355c33080a"/>
    <w:p>
      <w:pPr>
        <w:pStyle w:val="Heading2"/>
      </w:pPr>
      <w:r>
        <w:t xml:space="preserve">Case Study 1: Population-Based Surveillance System -</w:t>
      </w:r>
      <w:r>
        <w:t xml:space="preserve"> </w:t>
      </w:r>
      <w:r>
        <w:t xml:space="preserve">“SurveilHealth”</w:t>
      </w:r>
    </w:p>
    <w:bookmarkStart w:id="543" w:name="entity-profile-14"/>
    <w:p>
      <w:pPr>
        <w:pStyle w:val="Heading3"/>
      </w:pPr>
      <w:r>
        <w:t xml:space="preserve">Entity Profile</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jc w:val="left"/>
            </w:pPr>
            <w:r>
              <w:t xml:space="preserve">Attribute</w:t>
            </w:r>
          </w:p>
        </w:tc>
        <w:tc>
          <w:tcPr/>
          <w:p>
            <w:pPr>
              <w:pStyle w:val="Compact"/>
              <w:jc w:val="left"/>
            </w:pPr>
            <w:r>
              <w:t xml:space="preserve">Details</w:t>
            </w:r>
          </w:p>
        </w:tc>
      </w:tr>
      <w:tr>
        <w:tc>
          <w:tcPr/>
          <w:p>
            <w:pPr>
              <w:pStyle w:val="Compact"/>
              <w:jc w:val="left"/>
            </w:pPr>
            <w:r>
              <w:rPr>
                <w:b/>
                <w:bCs/>
              </w:rPr>
              <w:t xml:space="preserve">Name</w:t>
            </w:r>
          </w:p>
        </w:tc>
        <w:tc>
          <w:tcPr/>
          <w:p>
            <w:pPr>
              <w:pStyle w:val="Compact"/>
              <w:jc w:val="left"/>
            </w:pPr>
            <w:r>
              <w:t xml:space="preserve">SurveilHealth Integrated Disease Surveillance Platform</w:t>
            </w:r>
          </w:p>
        </w:tc>
      </w:tr>
      <w:tr>
        <w:tc>
          <w:tcPr/>
          <w:p>
            <w:pPr>
              <w:pStyle w:val="Compact"/>
              <w:jc w:val="left"/>
            </w:pPr>
            <w:r>
              <w:rPr>
                <w:b/>
                <w:bCs/>
              </w:rPr>
              <w:t xml:space="preserve">Type</w:t>
            </w:r>
          </w:p>
        </w:tc>
        <w:tc>
          <w:tcPr/>
          <w:p>
            <w:pPr>
              <w:pStyle w:val="Compact"/>
              <w:jc w:val="left"/>
            </w:pPr>
            <w:r>
              <w:t xml:space="preserve">National real-time disease surveillance and outbreak detection</w:t>
            </w:r>
          </w:p>
        </w:tc>
      </w:tr>
      <w:tr>
        <w:tc>
          <w:tcPr/>
          <w:p>
            <w:pPr>
              <w:pStyle w:val="Compact"/>
              <w:jc w:val="left"/>
            </w:pPr>
            <w:r>
              <w:rPr>
                <w:b/>
                <w:bCs/>
              </w:rPr>
              <w:t xml:space="preserve">Operator</w:t>
            </w:r>
          </w:p>
        </w:tc>
        <w:tc>
          <w:tcPr/>
          <w:p>
            <w:pPr>
              <w:pStyle w:val="Compact"/>
              <w:jc w:val="left"/>
            </w:pPr>
            <w:r>
              <w:t xml:space="preserve">National Centre for Disease Control (government)</w:t>
            </w:r>
          </w:p>
        </w:tc>
      </w:tr>
      <w:tr>
        <w:tc>
          <w:tcPr/>
          <w:p>
            <w:pPr>
              <w:pStyle w:val="Compact"/>
              <w:jc w:val="left"/>
            </w:pPr>
            <w:r>
              <w:rPr>
                <w:b/>
                <w:bCs/>
              </w:rPr>
              <w:t xml:space="preserve">Coverage</w:t>
            </w:r>
          </w:p>
        </w:tc>
        <w:tc>
          <w:tcPr/>
          <w:p>
            <w:pPr>
              <w:pStyle w:val="Compact"/>
              <w:jc w:val="left"/>
            </w:pPr>
            <w:r>
              <w:t xml:space="preserve">All 28 states; 750 districts; 150,000 reporting units</w:t>
            </w:r>
          </w:p>
        </w:tc>
      </w:tr>
      <w:tr>
        <w:tc>
          <w:tcPr/>
          <w:p>
            <w:pPr>
              <w:pStyle w:val="Compact"/>
              <w:jc w:val="left"/>
            </w:pPr>
            <w:r>
              <w:rPr>
                <w:b/>
                <w:bCs/>
              </w:rPr>
              <w:t xml:space="preserve">Functions</w:t>
            </w:r>
          </w:p>
        </w:tc>
        <w:tc>
          <w:tcPr/>
          <w:p>
            <w:pPr>
              <w:pStyle w:val="Compact"/>
              <w:jc w:val="left"/>
            </w:pPr>
            <w:r>
              <w:t xml:space="preserve">Real-time syndromic surveillance, outbreak detection, alert generation, response coordination</w:t>
            </w:r>
          </w:p>
        </w:tc>
      </w:tr>
      <w:tr>
        <w:tc>
          <w:tcPr/>
          <w:p>
            <w:pPr>
              <w:pStyle w:val="Compact"/>
              <w:jc w:val="left"/>
            </w:pPr>
            <w:r>
              <w:rPr>
                <w:b/>
                <w:bCs/>
              </w:rPr>
              <w:t xml:space="preserve">Data volume</w:t>
            </w:r>
          </w:p>
        </w:tc>
        <w:tc>
          <w:tcPr/>
          <w:p>
            <w:pPr>
              <w:pStyle w:val="Compact"/>
              <w:jc w:val="left"/>
            </w:pPr>
            <w:r>
              <w:t xml:space="preserve">50 million surveillance reports/year</w:t>
            </w:r>
          </w:p>
        </w:tc>
      </w:tr>
      <w:tr>
        <w:tc>
          <w:tcPr/>
          <w:p>
            <w:pPr>
              <w:pStyle w:val="Compact"/>
              <w:jc w:val="left"/>
            </w:pPr>
            <w:r>
              <w:rPr>
                <w:b/>
                <w:bCs/>
              </w:rPr>
              <w:t xml:space="preserve">Integrations</w:t>
            </w:r>
          </w:p>
        </w:tc>
        <w:tc>
          <w:tcPr/>
          <w:p>
            <w:pPr>
              <w:pStyle w:val="Compact"/>
              <w:jc w:val="left"/>
            </w:pPr>
            <w:r>
              <w:t xml:space="preserve">Laboratory network, hospital reporting, mortality surveillance, veterinary surveillance (One Health)</w:t>
            </w:r>
          </w:p>
        </w:tc>
      </w:tr>
      <w:tr>
        <w:tc>
          <w:tcPr/>
          <w:p>
            <w:pPr>
              <w:pStyle w:val="Compact"/>
              <w:jc w:val="left"/>
            </w:pPr>
            <w:r>
              <w:rPr>
                <w:b/>
                <w:bCs/>
              </w:rPr>
              <w:t xml:space="preserve">Response capability</w:t>
            </w:r>
          </w:p>
        </w:tc>
        <w:tc>
          <w:tcPr/>
          <w:p>
            <w:pPr>
              <w:pStyle w:val="Compact"/>
              <w:jc w:val="left"/>
            </w:pPr>
            <w:r>
              <w:t xml:space="preserve">Automated alert escalation; rapid response team coordination</w:t>
            </w:r>
          </w:p>
        </w:tc>
      </w:tr>
      <w:tr>
        <w:tc>
          <w:tcPr/>
          <w:p>
            <w:pPr>
              <w:pStyle w:val="Compact"/>
              <w:jc w:val="left"/>
            </w:pPr>
            <w:r>
              <w:rPr>
                <w:b/>
                <w:bCs/>
              </w:rPr>
              <w:t xml:space="preserve">Special consideration</w:t>
            </w:r>
          </w:p>
        </w:tc>
        <w:tc>
          <w:tcPr/>
          <w:p>
            <w:pPr>
              <w:pStyle w:val="Compact"/>
              <w:jc w:val="left"/>
            </w:pPr>
            <w:r>
              <w:rPr>
                <w:b/>
                <w:bCs/>
              </w:rPr>
              <w:t xml:space="preserve">National epidemic response backbone</w:t>
            </w:r>
          </w:p>
        </w:tc>
      </w:tr>
    </w:tbl>
    <w:bookmarkEnd w:id="543"/>
    <w:bookmarkStart w:id="546" w:name="cii-classification-assessment-14"/>
    <w:p>
      <w:pPr>
        <w:pStyle w:val="Heading3"/>
      </w:pPr>
      <w:r>
        <w:t xml:space="preserve">CII Classification Assessment</w:t>
      </w:r>
    </w:p>
    <w:bookmarkStart w:id="544" w:name="automatic-tier-1-trigger-analysis-2"/>
    <w:p>
      <w:pPr>
        <w:pStyle w:val="Heading4"/>
      </w:pPr>
      <w:r>
        <w:t xml:space="preserve">Automatic Tier 1 Trigger Analysis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“Regardless of Size”</w:t>
            </w:r>
            <w:r>
              <w:t xml:space="preserve"> </w:t>
            </w:r>
            <w:r>
              <w:t xml:space="preserve">Criterion</w:t>
            </w:r>
          </w:p>
        </w:tc>
        <w:tc>
          <w:tcPr/>
          <w:p>
            <w:pPr>
              <w:pStyle w:val="Compact"/>
              <w:jc w:val="center"/>
            </w:pPr>
            <w:r>
              <w:t xml:space="preserve">Applies?</w:t>
            </w:r>
          </w:p>
        </w:tc>
      </w:tr>
      <w:tr>
        <w:tc>
          <w:tcPr/>
          <w:p>
            <w:pPr>
              <w:pStyle w:val="Compact"/>
              <w:jc w:val="left"/>
            </w:pPr>
            <w:r>
              <w:t xml:space="preserve">National infectious disease surveillance</w:t>
            </w:r>
          </w:p>
        </w:tc>
        <w:tc>
          <w:tcPr/>
          <w:p>
            <w:pPr>
              <w:pStyle w:val="Compact"/>
              <w:jc w:val="center"/>
            </w:pPr>
            <w:r>
              <w:t xml:space="preserve">✓</w:t>
            </w:r>
          </w:p>
        </w:tc>
      </w:tr>
      <w:tr>
        <w:tc>
          <w:tcPr/>
          <w:p>
            <w:pPr>
              <w:pStyle w:val="Compact"/>
              <w:jc w:val="left"/>
            </w:pPr>
            <w:r>
              <w:t xml:space="preserve">Epidemic/pandemic response capability</w:t>
            </w:r>
          </w:p>
        </w:tc>
        <w:tc>
          <w:tcPr/>
          <w:p>
            <w:pPr>
              <w:pStyle w:val="Compact"/>
              <w:jc w:val="center"/>
            </w:pPr>
            <w:r>
              <w:t xml:space="preserve">✓</w:t>
            </w:r>
          </w:p>
        </w:tc>
      </w:tr>
      <w:tr>
        <w:tc>
          <w:tcPr/>
          <w:p>
            <w:pPr>
              <w:pStyle w:val="Compact"/>
              <w:jc w:val="left"/>
            </w:pPr>
            <w:r>
              <w:t xml:space="preserve">Public health emergency coordination</w:t>
            </w:r>
          </w:p>
        </w:tc>
        <w:tc>
          <w:tcPr/>
          <w:p>
            <w:pPr>
              <w:pStyle w:val="Compact"/>
              <w:jc w:val="center"/>
            </w:pPr>
            <w:r>
              <w:t xml:space="preserve">✓</w:t>
            </w:r>
          </w:p>
        </w:tc>
      </w:tr>
      <w:tr>
        <w:tc>
          <w:tcPr/>
          <w:p>
            <w:pPr>
              <w:pStyle w:val="Compact"/>
              <w:jc w:val="left"/>
            </w:pPr>
            <w:r>
              <w:t xml:space="preserve">One Health / cross-sector integration</w:t>
            </w:r>
          </w:p>
        </w:tc>
        <w:tc>
          <w:tcPr/>
          <w:p>
            <w:pPr>
              <w:pStyle w:val="Compact"/>
              <w:jc w:val="center"/>
            </w:pPr>
            <w:r>
              <w:t xml:space="preserve">✓</w:t>
            </w:r>
          </w:p>
        </w:tc>
      </w:tr>
    </w:tbl>
    <w:bookmarkEnd w:id="544"/>
    <w:bookmarkStart w:id="545" w:name="scoring-developing-country-framework-9"/>
    <w:p>
      <w:pPr>
        <w:pStyle w:val="Heading4"/>
      </w:pPr>
      <w:r>
        <w:t xml:space="preserve">Scoring (Developing Country Framework)</w:t>
      </w:r>
    </w:p>
    <w:tbl>
      <w:tblPr>
        <w:tblStyle w:val="Table"/>
        <w:tblW w:type="pct" w:w="5000"/>
        <w:tblLayout w:type="fixed"/>
        <w:tblLook w:firstRow="1" w:lastRow="0" w:firstColumn="0" w:lastColumn="0" w:noHBand="0" w:noVBand="0" w:val="0020"/>
      </w:tblPr>
      <w:tblGrid>
        <w:gridCol w:w="1863"/>
        <w:gridCol w:w="2562"/>
        <w:gridCol w:w="3494"/>
      </w:tblGrid>
      <w:tr>
        <w:trPr>
          <w:tblHeader w:val="on"/>
        </w:trPr>
        <w:tc>
          <w:tcPr/>
          <w:p>
            <w:pPr>
              <w:pStyle w:val="Compact"/>
              <w:jc w:val="left"/>
            </w:pPr>
            <w:r>
              <w:t xml:space="preserve">Domain</w:t>
            </w:r>
          </w:p>
        </w:tc>
        <w:tc>
          <w:tcPr/>
          <w:p>
            <w:pPr>
              <w:pStyle w:val="Compact"/>
              <w:jc w:val="left"/>
            </w:pPr>
            <w:r>
              <w:t xml:space="preserve">Criterion</w:t>
            </w:r>
          </w:p>
        </w:tc>
        <w:tc>
          <w:tcPr/>
          <w:p>
            <w:pPr>
              <w:pStyle w:val="Compact"/>
              <w:jc w:val="center"/>
            </w:pPr>
            <w:r>
              <w:t xml:space="preserve">Points Scored</w:t>
            </w:r>
          </w:p>
        </w:tc>
      </w:tr>
      <w:tr>
        <w:tc>
          <w:tcPr/>
          <w:p>
            <w:pPr>
              <w:pStyle w:val="Compact"/>
              <w:jc w:val="left"/>
            </w:pPr>
            <w:r>
              <w:rPr>
                <w:b/>
                <w:bCs/>
              </w:rPr>
              <w:t xml:space="preserve">A. National Coverage</w:t>
            </w:r>
          </w:p>
        </w:tc>
        <w:tc>
          <w:tcPr/>
          <w:p>
            <w:pPr>
              <w:pStyle w:val="Compact"/>
              <w:jc w:val="left"/>
            </w:pPr>
            <w:r>
              <w:t xml:space="preserve">100% district coverage; 150,000 reporting points</w:t>
            </w:r>
          </w:p>
        </w:tc>
        <w:tc>
          <w:tcPr/>
          <w:p>
            <w:pPr>
              <w:pStyle w:val="Compact"/>
              <w:jc w:val="center"/>
            </w:pPr>
            <w:r>
              <w:t xml:space="preserve">30</w:t>
            </w:r>
          </w:p>
        </w:tc>
      </w:tr>
      <w:tr>
        <w:tc>
          <w:tcPr/>
          <w:p>
            <w:pPr>
              <w:pStyle w:val="Compact"/>
              <w:jc w:val="left"/>
            </w:pPr>
            <w:r>
              <w:rPr>
                <w:b/>
                <w:bCs/>
              </w:rPr>
              <w:t xml:space="preserve">B. Public Health Function</w:t>
            </w:r>
          </w:p>
        </w:tc>
        <w:tc>
          <w:tcPr/>
          <w:p>
            <w:pPr>
              <w:pStyle w:val="Compact"/>
              <w:jc w:val="left"/>
            </w:pPr>
            <w:r>
              <w:t xml:space="preserve">Epidemic detection and response</w:t>
            </w:r>
          </w:p>
        </w:tc>
        <w:tc>
          <w:tcPr/>
          <w:p>
            <w:pPr>
              <w:pStyle w:val="Compact"/>
              <w:jc w:val="center"/>
            </w:pPr>
            <w:r>
              <w:t xml:space="preserve">25</w:t>
            </w:r>
          </w:p>
        </w:tc>
      </w:tr>
      <w:tr>
        <w:tc>
          <w:tcPr/>
          <w:p>
            <w:pPr>
              <w:pStyle w:val="Compact"/>
              <w:jc w:val="left"/>
            </w:pPr>
            <w:r>
              <w:rPr>
                <w:b/>
                <w:bCs/>
              </w:rPr>
              <w:t xml:space="preserve">C. Real-time Criticality</w:t>
            </w:r>
          </w:p>
        </w:tc>
        <w:tc>
          <w:tcPr/>
          <w:p>
            <w:pPr>
              <w:pStyle w:val="Compact"/>
              <w:jc w:val="left"/>
            </w:pPr>
            <w:r>
              <w:t xml:space="preserve">Outbreak detection delays cost lives</w:t>
            </w:r>
          </w:p>
        </w:tc>
        <w:tc>
          <w:tcPr/>
          <w:p>
            <w:pPr>
              <w:pStyle w:val="Compact"/>
              <w:jc w:val="center"/>
            </w:pPr>
            <w:r>
              <w:t xml:space="preserve">20</w:t>
            </w:r>
          </w:p>
        </w:tc>
      </w:tr>
      <w:tr>
        <w:tc>
          <w:tcPr/>
          <w:p>
            <w:pPr>
              <w:pStyle w:val="Compact"/>
              <w:jc w:val="left"/>
            </w:pPr>
            <w:r>
              <w:rPr>
                <w:b/>
                <w:bCs/>
              </w:rPr>
              <w:t xml:space="preserve">D. Cross-sector Integration</w:t>
            </w:r>
          </w:p>
        </w:tc>
        <w:tc>
          <w:tcPr/>
          <w:p>
            <w:pPr>
              <w:pStyle w:val="Compact"/>
              <w:jc w:val="left"/>
            </w:pPr>
            <w:r>
              <w:t xml:space="preserve">One Health (human + animal surveillance)</w:t>
            </w:r>
          </w:p>
        </w:tc>
        <w:tc>
          <w:tcPr/>
          <w:p>
            <w:pPr>
              <w:pStyle w:val="Compact"/>
              <w:jc w:val="center"/>
            </w:pPr>
            <w:r>
              <w:t xml:space="preserve">10</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85</w:t>
            </w:r>
          </w:p>
        </w:tc>
      </w:tr>
    </w:tbl>
    <w:bookmarkEnd w:id="545"/>
    <w:bookmarkEnd w:id="546"/>
    <w:bookmarkStart w:id="547" w:name="classification-result-14"/>
    <w:p>
      <w:pPr>
        <w:pStyle w:val="Heading3"/>
      </w:pPr>
      <w:r>
        <w:t xml:space="preserve">Classification Result</w:t>
      </w:r>
    </w:p>
    <w:tbl>
      <w:tblPr>
        <w:tblStyle w:val="Table"/>
        <w:tblW w:type="pct" w:w="5000"/>
        <w:tblLayout w:type="fixed"/>
        <w:tblLook w:firstRow="1" w:lastRow="0" w:firstColumn="0" w:lastColumn="0" w:noHBand="0" w:noVBand="0" w:val="0020"/>
      </w:tblPr>
      <w:tblGrid>
        <w:gridCol w:w="2489"/>
        <w:gridCol w:w="1584"/>
        <w:gridCol w:w="1357"/>
        <w:gridCol w:w="2489"/>
      </w:tblGrid>
      <w:tr>
        <w:trPr>
          <w:tblHeader w:val="on"/>
        </w:trPr>
        <w:tc>
          <w:tcPr/>
          <w:p>
            <w:pPr>
              <w:pStyle w:val="Compact"/>
              <w:jc w:val="left"/>
            </w:pPr>
            <w:r>
              <w:t xml:space="preserve">Framework</w:t>
            </w:r>
          </w:p>
        </w:tc>
        <w:tc>
          <w:tcPr/>
          <w:p>
            <w:pPr>
              <w:pStyle w:val="Compact"/>
              <w:jc w:val="left"/>
            </w:pPr>
            <w:r>
              <w:t xml:space="preserve">Score</w:t>
            </w:r>
          </w:p>
        </w:tc>
        <w:tc>
          <w:tcPr/>
          <w:p>
            <w:pPr>
              <w:pStyle w:val="Compact"/>
              <w:jc w:val="left"/>
            </w:pPr>
            <w:r>
              <w:t xml:space="preserve">Tier</w:t>
            </w:r>
          </w:p>
        </w:tc>
        <w:tc>
          <w:tcPr/>
          <w:p>
            <w:pPr>
              <w:pStyle w:val="Compact"/>
              <w:jc w:val="left"/>
            </w:pPr>
            <w:r>
              <w:t xml:space="preserve">Rationale</w:t>
            </w:r>
          </w:p>
        </w:tc>
      </w:tr>
      <w:tr>
        <w:tc>
          <w:tcPr/>
          <w:p>
            <w:pPr>
              <w:pStyle w:val="Compact"/>
              <w:jc w:val="left"/>
            </w:pPr>
            <w:r>
              <w:rPr>
                <w:b/>
                <w:bCs/>
              </w:rPr>
              <w:t xml:space="preserve">Developing Country</w:t>
            </w:r>
          </w:p>
        </w:tc>
        <w:tc>
          <w:tcPr/>
          <w:p>
            <w:pPr>
              <w:pStyle w:val="Compact"/>
              <w:jc w:val="left"/>
            </w:pPr>
            <w:r>
              <w:t xml:space="preserve">85</w:t>
            </w:r>
          </w:p>
        </w:tc>
        <w:tc>
          <w:tcPr/>
          <w:p>
            <w:pPr>
              <w:pStyle w:val="Compact"/>
              <w:jc w:val="left"/>
            </w:pPr>
            <w:r>
              <w:rPr>
                <w:b/>
                <w:bCs/>
              </w:rPr>
              <w:t xml:space="preserve">Tier 1 (Essential)</w:t>
            </w:r>
          </w:p>
        </w:tc>
        <w:tc>
          <w:tcPr/>
          <w:p>
            <w:pPr>
              <w:pStyle w:val="Compact"/>
              <w:jc w:val="left"/>
            </w:pPr>
            <w:r>
              <w:t xml:space="preserve">National epidemic response backbone; automatic trigger</w:t>
            </w:r>
          </w:p>
        </w:tc>
      </w:tr>
    </w:tbl>
    <w:p>
      <w:pPr>
        <w:pStyle w:val="BlockText"/>
      </w:pPr>
      <w:r>
        <w:t xml:space="preserve">[!IMPORTANT]</w:t>
      </w:r>
      <w:r>
        <w:t xml:space="preserve"> </w:t>
      </w:r>
      <w:r>
        <w:t xml:space="preserve">Population-based surveillance systems are</w:t>
      </w:r>
      <w:r>
        <w:t xml:space="preserve"> </w:t>
      </w:r>
      <w:r>
        <w:rPr>
          <w:b/>
          <w:bCs/>
        </w:rPr>
        <w:t xml:space="preserve">foundational pandemic preparedness infrastructure</w:t>
      </w:r>
      <w:r>
        <w:t xml:space="preserve">. COVID-19 demonstrated that countries with robust surveillance detected outbreaks faster and responded more effectively. This is</w:t>
      </w:r>
      <w:r>
        <w:t xml:space="preserve"> </w:t>
      </w:r>
      <w:r>
        <w:rPr>
          <w:b/>
          <w:bCs/>
        </w:rPr>
        <w:t xml:space="preserve">non-negotiable Tier 1</w:t>
      </w:r>
      <w:r>
        <w:t xml:space="preserve">.</w:t>
      </w:r>
    </w:p>
    <w:bookmarkEnd w:id="547"/>
    <w:bookmarkStart w:id="548" w:name="applicable-obligations-11"/>
    <w:p>
      <w:pPr>
        <w:pStyle w:val="Heading3"/>
      </w:pPr>
      <w:r>
        <w:t xml:space="preserve">Applicable Obligations</w:t>
      </w:r>
    </w:p>
    <w:p>
      <w:pPr>
        <w:pStyle w:val="Compact"/>
        <w:numPr>
          <w:ilvl w:val="0"/>
          <w:numId w:val="1350"/>
        </w:numPr>
      </w:pPr>
      <w:r>
        <w:t xml:space="preserve">Dedicated CISO + 24/7 Security Operations Centre</w:t>
      </w:r>
    </w:p>
    <w:p>
      <w:pPr>
        <w:pStyle w:val="Compact"/>
        <w:numPr>
          <w:ilvl w:val="0"/>
          <w:numId w:val="1350"/>
        </w:numPr>
      </w:pPr>
      <w:r>
        <w:t xml:space="preserve">Continuous security monitoring (real-time system criticality)</w:t>
      </w:r>
    </w:p>
    <w:p>
      <w:pPr>
        <w:pStyle w:val="Compact"/>
        <w:numPr>
          <w:ilvl w:val="0"/>
          <w:numId w:val="1350"/>
        </w:numPr>
      </w:pPr>
      <w:r>
        <w:t xml:space="preserve">12-hour incident reporting (given outbreak detection dependency)</w:t>
      </w:r>
    </w:p>
    <w:p>
      <w:pPr>
        <w:pStyle w:val="Compact"/>
        <w:numPr>
          <w:ilvl w:val="0"/>
          <w:numId w:val="1350"/>
        </w:numPr>
      </w:pPr>
      <w:r>
        <w:t xml:space="preserve">Highly available infrastructure (multi-site redundancy)</w:t>
      </w:r>
    </w:p>
    <w:p>
      <w:pPr>
        <w:pStyle w:val="Compact"/>
        <w:numPr>
          <w:ilvl w:val="0"/>
          <w:numId w:val="1350"/>
        </w:numPr>
      </w:pPr>
      <w:r>
        <w:t xml:space="preserve">Data integrity controls (false data injection is attack vector)</w:t>
      </w:r>
    </w:p>
    <w:p>
      <w:pPr>
        <w:pStyle w:val="Compact"/>
        <w:numPr>
          <w:ilvl w:val="0"/>
          <w:numId w:val="1350"/>
        </w:numPr>
      </w:pPr>
      <w:r>
        <w:t xml:space="preserve">Integration security (APIs to laboratories, hospitals, veterinary)</w:t>
      </w:r>
    </w:p>
    <w:p>
      <w:pPr>
        <w:pStyle w:val="Compact"/>
        <w:numPr>
          <w:ilvl w:val="0"/>
          <w:numId w:val="1350"/>
        </w:numPr>
      </w:pPr>
      <w:r>
        <w:t xml:space="preserve">Annual penetration testing</w:t>
      </w:r>
    </w:p>
    <w:p>
      <w:pPr>
        <w:pStyle w:val="Compact"/>
        <w:numPr>
          <w:ilvl w:val="0"/>
          <w:numId w:val="1350"/>
        </w:numPr>
      </w:pPr>
      <w:r>
        <w:t xml:space="preserve">Participation in national cyber exercises</w:t>
      </w:r>
    </w:p>
    <w:p>
      <w:r>
        <w:pict>
          <v:rect style="width:0;height:1.5pt" o:hralign="center" o:hrstd="t" o:hr="t"/>
        </w:pict>
      </w:r>
    </w:p>
    <w:bookmarkEnd w:id="548"/>
    <w:bookmarkEnd w:id="549"/>
    <w:bookmarkStart w:id="556" w:name="Xb37de2ac2d59ae6c4b9d391b88df3b1f5af7c6b"/>
    <w:p>
      <w:pPr>
        <w:pStyle w:val="Heading2"/>
      </w:pPr>
      <w:r>
        <w:t xml:space="preserve">Case Study 2: National TB Elimination Program -</w:t>
      </w:r>
      <w:r>
        <w:t xml:space="preserve"> </w:t>
      </w:r>
      <w:r>
        <w:t xml:space="preserve">“TB-Mukt Bharat”</w:t>
      </w:r>
    </w:p>
    <w:bookmarkStart w:id="550" w:name="entity-profile-15"/>
    <w:p>
      <w:pPr>
        <w:pStyle w:val="Heading3"/>
      </w:pPr>
      <w:r>
        <w:t xml:space="preserve">Entity Profile</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jc w:val="left"/>
            </w:pPr>
            <w:r>
              <w:t xml:space="preserve">Attribute</w:t>
            </w:r>
          </w:p>
        </w:tc>
        <w:tc>
          <w:tcPr/>
          <w:p>
            <w:pPr>
              <w:pStyle w:val="Compact"/>
              <w:jc w:val="left"/>
            </w:pPr>
            <w:r>
              <w:t xml:space="preserve">Details</w:t>
            </w:r>
          </w:p>
        </w:tc>
      </w:tr>
      <w:tr>
        <w:tc>
          <w:tcPr/>
          <w:p>
            <w:pPr>
              <w:pStyle w:val="Compact"/>
              <w:jc w:val="left"/>
            </w:pPr>
            <w:r>
              <w:rPr>
                <w:b/>
                <w:bCs/>
              </w:rPr>
              <w:t xml:space="preserve">Name</w:t>
            </w:r>
          </w:p>
        </w:tc>
        <w:tc>
          <w:tcPr/>
          <w:p>
            <w:pPr>
              <w:pStyle w:val="Compact"/>
              <w:jc w:val="left"/>
            </w:pPr>
            <w:r>
              <w:t xml:space="preserve">TB-Mukt Bharat (National Tuberculosis Elimination Program)</w:t>
            </w:r>
          </w:p>
        </w:tc>
      </w:tr>
      <w:tr>
        <w:tc>
          <w:tcPr/>
          <w:p>
            <w:pPr>
              <w:pStyle w:val="Compact"/>
              <w:jc w:val="left"/>
            </w:pPr>
            <w:r>
              <w:rPr>
                <w:b/>
                <w:bCs/>
              </w:rPr>
              <w:t xml:space="preserve">Type</w:t>
            </w:r>
          </w:p>
        </w:tc>
        <w:tc>
          <w:tcPr/>
          <w:p>
            <w:pPr>
              <w:pStyle w:val="Compact"/>
              <w:jc w:val="left"/>
            </w:pPr>
            <w:r>
              <w:t xml:space="preserve">National disease control program</w:t>
            </w:r>
          </w:p>
        </w:tc>
      </w:tr>
      <w:tr>
        <w:tc>
          <w:tcPr/>
          <w:p>
            <w:pPr>
              <w:pStyle w:val="Compact"/>
              <w:jc w:val="left"/>
            </w:pPr>
            <w:r>
              <w:rPr>
                <w:b/>
                <w:bCs/>
              </w:rPr>
              <w:t xml:space="preserve">Operator</w:t>
            </w:r>
          </w:p>
        </w:tc>
        <w:tc>
          <w:tcPr/>
          <w:p>
            <w:pPr>
              <w:pStyle w:val="Compact"/>
              <w:jc w:val="left"/>
            </w:pPr>
            <w:r>
              <w:t xml:space="preserve">Central TB Division, Ministry of Health (government)</w:t>
            </w:r>
          </w:p>
        </w:tc>
      </w:tr>
      <w:tr>
        <w:tc>
          <w:tcPr/>
          <w:p>
            <w:pPr>
              <w:pStyle w:val="Compact"/>
              <w:jc w:val="left"/>
            </w:pPr>
            <w:r>
              <w:rPr>
                <w:b/>
                <w:bCs/>
              </w:rPr>
              <w:t xml:space="preserve">Coverage</w:t>
            </w:r>
          </w:p>
        </w:tc>
        <w:tc>
          <w:tcPr/>
          <w:p>
            <w:pPr>
              <w:pStyle w:val="Compact"/>
              <w:jc w:val="left"/>
            </w:pPr>
            <w:r>
              <w:t xml:space="preserve">All 28 states; 750 districts; 1.2 million+ DOTS providers</w:t>
            </w:r>
          </w:p>
        </w:tc>
      </w:tr>
      <w:tr>
        <w:tc>
          <w:tcPr/>
          <w:p>
            <w:pPr>
              <w:pStyle w:val="Compact"/>
              <w:jc w:val="left"/>
            </w:pPr>
            <w:r>
              <w:rPr>
                <w:b/>
                <w:bCs/>
              </w:rPr>
              <w:t xml:space="preserve">Annual notifications</w:t>
            </w:r>
          </w:p>
        </w:tc>
        <w:tc>
          <w:tcPr/>
          <w:p>
            <w:pPr>
              <w:pStyle w:val="Compact"/>
              <w:jc w:val="left"/>
            </w:pPr>
            <w:r>
              <w:t xml:space="preserve">2.5 million TB cases notified/year</w:t>
            </w:r>
          </w:p>
        </w:tc>
      </w:tr>
      <w:tr>
        <w:tc>
          <w:tcPr/>
          <w:p>
            <w:pPr>
              <w:pStyle w:val="Compact"/>
              <w:jc w:val="left"/>
            </w:pPr>
            <w:r>
              <w:rPr>
                <w:b/>
                <w:bCs/>
              </w:rPr>
              <w:t xml:space="preserve">Functions</w:t>
            </w:r>
          </w:p>
        </w:tc>
        <w:tc>
          <w:tcPr/>
          <w:p>
            <w:pPr>
              <w:pStyle w:val="Compact"/>
              <w:jc w:val="left"/>
            </w:pPr>
            <w:r>
              <w:t xml:space="preserve">Case notification, treatment tracking, drug resistance surveillance, contact tracing, preventive therapy</w:t>
            </w:r>
          </w:p>
        </w:tc>
      </w:tr>
      <w:tr>
        <w:tc>
          <w:tcPr/>
          <w:p>
            <w:pPr>
              <w:pStyle w:val="Compact"/>
              <w:jc w:val="left"/>
            </w:pPr>
            <w:r>
              <w:rPr>
                <w:b/>
                <w:bCs/>
              </w:rPr>
              <w:t xml:space="preserve">Key systems</w:t>
            </w:r>
          </w:p>
        </w:tc>
        <w:tc>
          <w:tcPr/>
          <w:p>
            <w:pPr>
              <w:pStyle w:val="Compact"/>
              <w:jc w:val="left"/>
            </w:pPr>
            <w:r>
              <w:t xml:space="preserve">Ni-kshay (national TB notification portal), drug logistics (DVS), lab network (RNTCP-NET)</w:t>
            </w:r>
          </w:p>
        </w:tc>
      </w:tr>
      <w:tr>
        <w:tc>
          <w:tcPr/>
          <w:p>
            <w:pPr>
              <w:pStyle w:val="Compact"/>
              <w:jc w:val="left"/>
            </w:pPr>
            <w:r>
              <w:rPr>
                <w:b/>
                <w:bCs/>
              </w:rPr>
              <w:t xml:space="preserve">Integrations</w:t>
            </w:r>
          </w:p>
        </w:tc>
        <w:tc>
          <w:tcPr/>
          <w:p>
            <w:pPr>
              <w:pStyle w:val="Compact"/>
              <w:jc w:val="left"/>
            </w:pPr>
            <w:r>
              <w:t xml:space="preserve">Linked to death registry, private sector portal, pharmacy dispensation, insurance</w:t>
            </w:r>
          </w:p>
        </w:tc>
      </w:tr>
      <w:tr>
        <w:tc>
          <w:tcPr/>
          <w:p>
            <w:pPr>
              <w:pStyle w:val="Compact"/>
              <w:jc w:val="left"/>
            </w:pPr>
            <w:r>
              <w:rPr>
                <w:b/>
                <w:bCs/>
              </w:rPr>
              <w:t xml:space="preserve">International obligations</w:t>
            </w:r>
          </w:p>
        </w:tc>
        <w:tc>
          <w:tcPr/>
          <w:p>
            <w:pPr>
              <w:pStyle w:val="Compact"/>
              <w:jc w:val="left"/>
            </w:pPr>
            <w:r>
              <w:t xml:space="preserve">WHO End TB Strategy reporting; Global Fund accountability</w:t>
            </w:r>
          </w:p>
        </w:tc>
      </w:tr>
      <w:tr>
        <w:tc>
          <w:tcPr/>
          <w:p>
            <w:pPr>
              <w:pStyle w:val="Compact"/>
              <w:jc w:val="left"/>
            </w:pPr>
            <w:r>
              <w:rPr>
                <w:b/>
                <w:bCs/>
              </w:rPr>
              <w:t xml:space="preserve">Special consideration</w:t>
            </w:r>
          </w:p>
        </w:tc>
        <w:tc>
          <w:tcPr/>
          <w:p>
            <w:pPr>
              <w:pStyle w:val="Compact"/>
              <w:jc w:val="left"/>
            </w:pPr>
            <w:r>
              <w:rPr>
                <w:b/>
                <w:bCs/>
              </w:rPr>
              <w:t xml:space="preserve">India has highest TB burden globally; elimination target 2025</w:t>
            </w:r>
          </w:p>
        </w:tc>
      </w:tr>
    </w:tbl>
    <w:bookmarkEnd w:id="550"/>
    <w:bookmarkStart w:id="553" w:name="cii-classification-assessment-15"/>
    <w:p>
      <w:pPr>
        <w:pStyle w:val="Heading3"/>
      </w:pPr>
      <w:r>
        <w:t xml:space="preserve">CII Classification Assessment</w:t>
      </w:r>
    </w:p>
    <w:bookmarkStart w:id="551" w:name="automatic-tier-1-trigger-analysis-3"/>
    <w:p>
      <w:pPr>
        <w:pStyle w:val="Heading4"/>
      </w:pPr>
      <w:r>
        <w:t xml:space="preserve">Automatic Tier 1 Trigger Analysis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“Regardless of Size”</w:t>
            </w:r>
            <w:r>
              <w:t xml:space="preserve"> </w:t>
            </w:r>
            <w:r>
              <w:t xml:space="preserve">Criterion</w:t>
            </w:r>
          </w:p>
        </w:tc>
        <w:tc>
          <w:tcPr/>
          <w:p>
            <w:pPr>
              <w:pStyle w:val="Compact"/>
              <w:jc w:val="center"/>
            </w:pPr>
            <w:r>
              <w:t xml:space="preserve">Applies?</w:t>
            </w:r>
          </w:p>
        </w:tc>
      </w:tr>
      <w:tr>
        <w:tc>
          <w:tcPr/>
          <w:p>
            <w:pPr>
              <w:pStyle w:val="Compact"/>
              <w:jc w:val="left"/>
            </w:pPr>
            <w:r>
              <w:t xml:space="preserve">National disease surveillance function</w:t>
            </w:r>
          </w:p>
        </w:tc>
        <w:tc>
          <w:tcPr/>
          <w:p>
            <w:pPr>
              <w:pStyle w:val="Compact"/>
              <w:jc w:val="center"/>
            </w:pPr>
            <w:r>
              <w:t xml:space="preserve">✓</w:t>
            </w:r>
          </w:p>
        </w:tc>
      </w:tr>
      <w:tr>
        <w:tc>
          <w:tcPr/>
          <w:p>
            <w:pPr>
              <w:pStyle w:val="Compact"/>
              <w:jc w:val="left"/>
            </w:pPr>
            <w:r>
              <w:t xml:space="preserve">Epidemic control program</w:t>
            </w:r>
          </w:p>
        </w:tc>
        <w:tc>
          <w:tcPr/>
          <w:p>
            <w:pPr>
              <w:pStyle w:val="Compact"/>
              <w:jc w:val="center"/>
            </w:pPr>
            <w:r>
              <w:t xml:space="preserve">✓</w:t>
            </w:r>
          </w:p>
        </w:tc>
      </w:tr>
      <w:tr>
        <w:tc>
          <w:tcPr/>
          <w:p>
            <w:pPr>
              <w:pStyle w:val="Compact"/>
              <w:jc w:val="left"/>
            </w:pPr>
            <w:r>
              <w:t xml:space="preserve">International reporting obligations</w:t>
            </w:r>
          </w:p>
        </w:tc>
        <w:tc>
          <w:tcPr/>
          <w:p>
            <w:pPr>
              <w:pStyle w:val="Compact"/>
              <w:jc w:val="center"/>
            </w:pPr>
            <w:r>
              <w:t xml:space="preserve">✓</w:t>
            </w:r>
          </w:p>
        </w:tc>
      </w:tr>
      <w:tr>
        <w:tc>
          <w:tcPr/>
          <w:p>
            <w:pPr>
              <w:pStyle w:val="Compact"/>
              <w:jc w:val="left"/>
            </w:pPr>
            <w:r>
              <w:t xml:space="preserve">Drug supply chain management</w:t>
            </w:r>
          </w:p>
        </w:tc>
        <w:tc>
          <w:tcPr/>
          <w:p>
            <w:pPr>
              <w:pStyle w:val="Compact"/>
              <w:jc w:val="center"/>
            </w:pPr>
            <w:r>
              <w:t xml:space="preserve">✓</w:t>
            </w:r>
          </w:p>
        </w:tc>
      </w:tr>
    </w:tbl>
    <w:bookmarkEnd w:id="551"/>
    <w:bookmarkStart w:id="552" w:name="scoring-developing-country-framework-10"/>
    <w:p>
      <w:pPr>
        <w:pStyle w:val="Heading4"/>
      </w:pPr>
      <w:r>
        <w:t xml:space="preserve">Scoring (Developing Country Framework)</w:t>
      </w:r>
    </w:p>
    <w:tbl>
      <w:tblPr>
        <w:tblStyle w:val="Table"/>
        <w:tblW w:type="pct" w:w="5000"/>
        <w:tblLayout w:type="fixed"/>
        <w:tblLook w:firstRow="1" w:lastRow="0" w:firstColumn="0" w:lastColumn="0" w:noHBand="0" w:noVBand="0" w:val="0020"/>
      </w:tblPr>
      <w:tblGrid>
        <w:gridCol w:w="1863"/>
        <w:gridCol w:w="2562"/>
        <w:gridCol w:w="3494"/>
      </w:tblGrid>
      <w:tr>
        <w:trPr>
          <w:tblHeader w:val="on"/>
        </w:trPr>
        <w:tc>
          <w:tcPr/>
          <w:p>
            <w:pPr>
              <w:pStyle w:val="Compact"/>
              <w:jc w:val="left"/>
            </w:pPr>
            <w:r>
              <w:t xml:space="preserve">Domain</w:t>
            </w:r>
          </w:p>
        </w:tc>
        <w:tc>
          <w:tcPr/>
          <w:p>
            <w:pPr>
              <w:pStyle w:val="Compact"/>
              <w:jc w:val="left"/>
            </w:pPr>
            <w:r>
              <w:t xml:space="preserve">Criterion</w:t>
            </w:r>
          </w:p>
        </w:tc>
        <w:tc>
          <w:tcPr/>
          <w:p>
            <w:pPr>
              <w:pStyle w:val="Compact"/>
              <w:jc w:val="center"/>
            </w:pPr>
            <w:r>
              <w:t xml:space="preserve">Points Scored</w:t>
            </w:r>
          </w:p>
        </w:tc>
      </w:tr>
      <w:tr>
        <w:tc>
          <w:tcPr/>
          <w:p>
            <w:pPr>
              <w:pStyle w:val="Compact"/>
              <w:jc w:val="left"/>
            </w:pPr>
            <w:r>
              <w:rPr>
                <w:b/>
                <w:bCs/>
              </w:rPr>
              <w:t xml:space="preserve">A. National Coverage</w:t>
            </w:r>
          </w:p>
        </w:tc>
        <w:tc>
          <w:tcPr/>
          <w:p>
            <w:pPr>
              <w:pStyle w:val="Compact"/>
              <w:jc w:val="left"/>
            </w:pPr>
            <w:r>
              <w:t xml:space="preserve">100% district coverage; 2.5M cases/year</w:t>
            </w:r>
          </w:p>
        </w:tc>
        <w:tc>
          <w:tcPr/>
          <w:p>
            <w:pPr>
              <w:pStyle w:val="Compact"/>
              <w:jc w:val="center"/>
            </w:pPr>
            <w:r>
              <w:t xml:space="preserve">30</w:t>
            </w:r>
          </w:p>
        </w:tc>
      </w:tr>
      <w:tr>
        <w:tc>
          <w:tcPr/>
          <w:p>
            <w:pPr>
              <w:pStyle w:val="Compact"/>
              <w:jc w:val="left"/>
            </w:pPr>
            <w:r>
              <w:rPr>
                <w:b/>
                <w:bCs/>
              </w:rPr>
              <w:t xml:space="preserve">B. Public Health Function</w:t>
            </w:r>
          </w:p>
        </w:tc>
        <w:tc>
          <w:tcPr/>
          <w:p>
            <w:pPr>
              <w:pStyle w:val="Compact"/>
              <w:jc w:val="left"/>
            </w:pPr>
            <w:r>
              <w:t xml:space="preserve">TB elimination national priority</w:t>
            </w:r>
          </w:p>
        </w:tc>
        <w:tc>
          <w:tcPr/>
          <w:p>
            <w:pPr>
              <w:pStyle w:val="Compact"/>
              <w:jc w:val="center"/>
            </w:pPr>
            <w:r>
              <w:t xml:space="preserve">25</w:t>
            </w:r>
          </w:p>
        </w:tc>
      </w:tr>
      <w:tr>
        <w:tc>
          <w:tcPr/>
          <w:p>
            <w:pPr>
              <w:pStyle w:val="Compact"/>
              <w:jc w:val="left"/>
            </w:pPr>
            <w:r>
              <w:rPr>
                <w:b/>
                <w:bCs/>
              </w:rPr>
              <w:t xml:space="preserve">C. Drug Supply Chain</w:t>
            </w:r>
          </w:p>
        </w:tc>
        <w:tc>
          <w:tcPr/>
          <w:p>
            <w:pPr>
              <w:pStyle w:val="Compact"/>
              <w:jc w:val="left"/>
            </w:pPr>
            <w:r>
              <w:t xml:space="preserve">National TB drug procurement and distribution</w:t>
            </w:r>
          </w:p>
        </w:tc>
        <w:tc>
          <w:tcPr/>
          <w:p>
            <w:pPr>
              <w:pStyle w:val="Compact"/>
              <w:jc w:val="center"/>
            </w:pPr>
            <w:r>
              <w:t xml:space="preserve">15</w:t>
            </w:r>
          </w:p>
        </w:tc>
      </w:tr>
      <w:tr>
        <w:tc>
          <w:tcPr/>
          <w:p>
            <w:pPr>
              <w:pStyle w:val="Compact"/>
              <w:jc w:val="left"/>
            </w:pPr>
            <w:r>
              <w:rPr>
                <w:b/>
                <w:bCs/>
              </w:rPr>
              <w:t xml:space="preserve">D. International Accountability</w:t>
            </w:r>
          </w:p>
        </w:tc>
        <w:tc>
          <w:tcPr/>
          <w:p>
            <w:pPr>
              <w:pStyle w:val="Compact"/>
              <w:jc w:val="left"/>
            </w:pPr>
            <w:r>
              <w:t xml:space="preserve">WHO reporting; Global Fund grants</w:t>
            </w:r>
          </w:p>
        </w:tc>
        <w:tc>
          <w:tcPr/>
          <w:p>
            <w:pPr>
              <w:pStyle w:val="Compact"/>
              <w:jc w:val="center"/>
            </w:pPr>
            <w:r>
              <w:t xml:space="preserve">10</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80</w:t>
            </w:r>
          </w:p>
        </w:tc>
      </w:tr>
    </w:tbl>
    <w:bookmarkEnd w:id="552"/>
    <w:bookmarkEnd w:id="553"/>
    <w:bookmarkStart w:id="554" w:name="classification-result-15"/>
    <w:p>
      <w:pPr>
        <w:pStyle w:val="Heading3"/>
      </w:pPr>
      <w:r>
        <w:t xml:space="preserve">Classification Result</w:t>
      </w:r>
    </w:p>
    <w:tbl>
      <w:tblPr>
        <w:tblStyle w:val="Table"/>
        <w:tblW w:type="pct" w:w="5000"/>
        <w:tblLayout w:type="fixed"/>
        <w:tblLook w:firstRow="1" w:lastRow="0" w:firstColumn="0" w:lastColumn="0" w:noHBand="0" w:noVBand="0" w:val="0020"/>
      </w:tblPr>
      <w:tblGrid>
        <w:gridCol w:w="2489"/>
        <w:gridCol w:w="1584"/>
        <w:gridCol w:w="1357"/>
        <w:gridCol w:w="2489"/>
      </w:tblGrid>
      <w:tr>
        <w:trPr>
          <w:tblHeader w:val="on"/>
        </w:trPr>
        <w:tc>
          <w:tcPr/>
          <w:p>
            <w:pPr>
              <w:pStyle w:val="Compact"/>
              <w:jc w:val="left"/>
            </w:pPr>
            <w:r>
              <w:t xml:space="preserve">Framework</w:t>
            </w:r>
          </w:p>
        </w:tc>
        <w:tc>
          <w:tcPr/>
          <w:p>
            <w:pPr>
              <w:pStyle w:val="Compact"/>
              <w:jc w:val="left"/>
            </w:pPr>
            <w:r>
              <w:t xml:space="preserve">Score</w:t>
            </w:r>
          </w:p>
        </w:tc>
        <w:tc>
          <w:tcPr/>
          <w:p>
            <w:pPr>
              <w:pStyle w:val="Compact"/>
              <w:jc w:val="left"/>
            </w:pPr>
            <w:r>
              <w:t xml:space="preserve">Tier</w:t>
            </w:r>
          </w:p>
        </w:tc>
        <w:tc>
          <w:tcPr/>
          <w:p>
            <w:pPr>
              <w:pStyle w:val="Compact"/>
              <w:jc w:val="left"/>
            </w:pPr>
            <w:r>
              <w:t xml:space="preserve">Rationale</w:t>
            </w:r>
          </w:p>
        </w:tc>
      </w:tr>
      <w:tr>
        <w:tc>
          <w:tcPr/>
          <w:p>
            <w:pPr>
              <w:pStyle w:val="Compact"/>
              <w:jc w:val="left"/>
            </w:pPr>
            <w:r>
              <w:rPr>
                <w:b/>
                <w:bCs/>
              </w:rPr>
              <w:t xml:space="preserve">Developing Country</w:t>
            </w:r>
          </w:p>
        </w:tc>
        <w:tc>
          <w:tcPr/>
          <w:p>
            <w:pPr>
              <w:pStyle w:val="Compact"/>
              <w:jc w:val="left"/>
            </w:pPr>
            <w:r>
              <w:t xml:space="preserve">80</w:t>
            </w:r>
          </w:p>
        </w:tc>
        <w:tc>
          <w:tcPr/>
          <w:p>
            <w:pPr>
              <w:pStyle w:val="Compact"/>
              <w:jc w:val="left"/>
            </w:pPr>
            <w:r>
              <w:rPr>
                <w:b/>
                <w:bCs/>
              </w:rPr>
              <w:t xml:space="preserve">Tier 1 (Essential)</w:t>
            </w:r>
          </w:p>
        </w:tc>
        <w:tc>
          <w:tcPr/>
          <w:p>
            <w:pPr>
              <w:pStyle w:val="Compact"/>
              <w:jc w:val="left"/>
            </w:pPr>
            <w:r>
              <w:t xml:space="preserve">National TB elimination program; automatic trigger for disease surveillance</w:t>
            </w:r>
          </w:p>
        </w:tc>
      </w:tr>
    </w:tbl>
    <w:p>
      <w:pPr>
        <w:pStyle w:val="BlockText"/>
      </w:pPr>
      <w:r>
        <w:t xml:space="preserve">[!IMPORTANT]</w:t>
      </w:r>
      <w:r>
        <w:t xml:space="preserve"> </w:t>
      </w:r>
      <w:r>
        <w:t xml:space="preserve">National disease control programs like TB-Mukt Bharat are</w:t>
      </w:r>
      <w:r>
        <w:t xml:space="preserve"> </w:t>
      </w:r>
      <w:r>
        <w:rPr>
          <w:b/>
          <w:bCs/>
        </w:rPr>
        <w:t xml:space="preserve">disease-specific critical infrastructure</w:t>
      </w:r>
      <w:r>
        <w:t xml:space="preserve">. Disruption affects case detection, treatment continuity, drug supply, and international reporting.</w:t>
      </w:r>
      <w:r>
        <w:t xml:space="preserve"> </w:t>
      </w:r>
      <w:r>
        <w:rPr>
          <w:b/>
          <w:bCs/>
        </w:rPr>
        <w:t xml:space="preserve">Drug-resistant TB emergence</w:t>
      </w:r>
      <w:r>
        <w:t xml:space="preserve"> </w:t>
      </w:r>
      <w:r>
        <w:t xml:space="preserve">is a direct consequence of treatment disruption.</w:t>
      </w:r>
    </w:p>
    <w:bookmarkEnd w:id="554"/>
    <w:bookmarkStart w:id="555" w:name="applicable-obligations-12"/>
    <w:p>
      <w:pPr>
        <w:pStyle w:val="Heading3"/>
      </w:pPr>
      <w:r>
        <w:t xml:space="preserve">Applicable Obligations</w:t>
      </w:r>
    </w:p>
    <w:p>
      <w:pPr>
        <w:pStyle w:val="Compact"/>
        <w:numPr>
          <w:ilvl w:val="0"/>
          <w:numId w:val="1351"/>
        </w:numPr>
      </w:pPr>
      <w:r>
        <w:t xml:space="preserve">Dedicated program security officer</w:t>
      </w:r>
    </w:p>
    <w:p>
      <w:pPr>
        <w:pStyle w:val="Compact"/>
        <w:numPr>
          <w:ilvl w:val="0"/>
          <w:numId w:val="1351"/>
        </w:numPr>
      </w:pPr>
      <w:r>
        <w:t xml:space="preserve">Annual audit of Ni-kshay and connected systems</w:t>
      </w:r>
    </w:p>
    <w:p>
      <w:pPr>
        <w:pStyle w:val="Compact"/>
        <w:numPr>
          <w:ilvl w:val="0"/>
          <w:numId w:val="1351"/>
        </w:numPr>
      </w:pPr>
      <w:r>
        <w:t xml:space="preserve">24-hour incident reporting (especially for supply chain disruption)</w:t>
      </w:r>
    </w:p>
    <w:p>
      <w:pPr>
        <w:pStyle w:val="Compact"/>
        <w:numPr>
          <w:ilvl w:val="0"/>
          <w:numId w:val="1351"/>
        </w:numPr>
      </w:pPr>
      <w:r>
        <w:t xml:space="preserve">Drug logistics system integrity monitoring</w:t>
      </w:r>
    </w:p>
    <w:p>
      <w:pPr>
        <w:pStyle w:val="Compact"/>
        <w:numPr>
          <w:ilvl w:val="0"/>
          <w:numId w:val="1351"/>
        </w:numPr>
      </w:pPr>
      <w:r>
        <w:t xml:space="preserve">Laboratory network data security</w:t>
      </w:r>
    </w:p>
    <w:p>
      <w:pPr>
        <w:pStyle w:val="Compact"/>
        <w:numPr>
          <w:ilvl w:val="0"/>
          <w:numId w:val="1351"/>
        </w:numPr>
      </w:pPr>
      <w:r>
        <w:t xml:space="preserve">Private sector portal integration security</w:t>
      </w:r>
    </w:p>
    <w:p>
      <w:pPr>
        <w:pStyle w:val="Compact"/>
        <w:numPr>
          <w:ilvl w:val="0"/>
          <w:numId w:val="1351"/>
        </w:numPr>
      </w:pPr>
      <w:r>
        <w:t xml:space="preserve">State-level IT node security coordination</w:t>
      </w:r>
    </w:p>
    <w:p>
      <w:pPr>
        <w:pStyle w:val="Compact"/>
        <w:numPr>
          <w:ilvl w:val="0"/>
          <w:numId w:val="1351"/>
        </w:numPr>
      </w:pPr>
      <w:r>
        <w:t xml:space="preserve">Data quality and integrity controls (false notifications are attack vector)</w:t>
      </w:r>
    </w:p>
    <w:p>
      <w:r>
        <w:pict>
          <v:rect style="width:0;height:1.5pt" o:hralign="center" o:hrstd="t" o:hr="t"/>
        </w:pict>
      </w:r>
    </w:p>
    <w:bookmarkEnd w:id="555"/>
    <w:bookmarkEnd w:id="556"/>
    <w:bookmarkStart w:id="563" w:name="X339fe46381be57a49b21786b40ebb77b8f771d0"/>
    <w:p>
      <w:pPr>
        <w:pStyle w:val="Heading2"/>
      </w:pPr>
      <w:r>
        <w:t xml:space="preserve">Case Study 3: National NCD Program -</w:t>
      </w:r>
      <w:r>
        <w:t xml:space="preserve"> </w:t>
      </w:r>
      <w:r>
        <w:t xml:space="preserve">“Sankalp”</w:t>
      </w:r>
    </w:p>
    <w:bookmarkStart w:id="557" w:name="entity-profile-16"/>
    <w:p>
      <w:pPr>
        <w:pStyle w:val="Heading3"/>
      </w:pPr>
      <w:r>
        <w:t xml:space="preserve">Entity Profile</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jc w:val="left"/>
            </w:pPr>
            <w:r>
              <w:t xml:space="preserve">Attribute</w:t>
            </w:r>
          </w:p>
        </w:tc>
        <w:tc>
          <w:tcPr/>
          <w:p>
            <w:pPr>
              <w:pStyle w:val="Compact"/>
              <w:jc w:val="left"/>
            </w:pPr>
            <w:r>
              <w:t xml:space="preserve">Details</w:t>
            </w:r>
          </w:p>
        </w:tc>
      </w:tr>
      <w:tr>
        <w:tc>
          <w:tcPr/>
          <w:p>
            <w:pPr>
              <w:pStyle w:val="Compact"/>
              <w:jc w:val="left"/>
            </w:pPr>
            <w:r>
              <w:rPr>
                <w:b/>
                <w:bCs/>
              </w:rPr>
              <w:t xml:space="preserve">Name</w:t>
            </w:r>
          </w:p>
        </w:tc>
        <w:tc>
          <w:tcPr/>
          <w:p>
            <w:pPr>
              <w:pStyle w:val="Compact"/>
              <w:jc w:val="left"/>
            </w:pPr>
            <w:r>
              <w:t xml:space="preserve">Sankalp (National Programme for Prevention and Control of NCDs)</w:t>
            </w:r>
          </w:p>
        </w:tc>
      </w:tr>
      <w:tr>
        <w:tc>
          <w:tcPr/>
          <w:p>
            <w:pPr>
              <w:pStyle w:val="Compact"/>
              <w:jc w:val="left"/>
            </w:pPr>
            <w:r>
              <w:rPr>
                <w:b/>
                <w:bCs/>
              </w:rPr>
              <w:t xml:space="preserve">Type</w:t>
            </w:r>
          </w:p>
        </w:tc>
        <w:tc>
          <w:tcPr/>
          <w:p>
            <w:pPr>
              <w:pStyle w:val="Compact"/>
              <w:jc w:val="left"/>
            </w:pPr>
            <w:r>
              <w:t xml:space="preserve">National non-communicable disease control program</w:t>
            </w:r>
          </w:p>
        </w:tc>
      </w:tr>
      <w:tr>
        <w:tc>
          <w:tcPr/>
          <w:p>
            <w:pPr>
              <w:pStyle w:val="Compact"/>
              <w:jc w:val="left"/>
            </w:pPr>
            <w:r>
              <w:rPr>
                <w:b/>
                <w:bCs/>
              </w:rPr>
              <w:t xml:space="preserve">Operator</w:t>
            </w:r>
          </w:p>
        </w:tc>
        <w:tc>
          <w:tcPr/>
          <w:p>
            <w:pPr>
              <w:pStyle w:val="Compact"/>
              <w:jc w:val="left"/>
            </w:pPr>
            <w:r>
              <w:t xml:space="preserve">NCD Division, Ministry of Health (government)</w:t>
            </w:r>
          </w:p>
        </w:tc>
      </w:tr>
      <w:tr>
        <w:tc>
          <w:tcPr/>
          <w:p>
            <w:pPr>
              <w:pStyle w:val="Compact"/>
              <w:jc w:val="left"/>
            </w:pPr>
            <w:r>
              <w:rPr>
                <w:b/>
                <w:bCs/>
              </w:rPr>
              <w:t xml:space="preserve">Coverage</w:t>
            </w:r>
          </w:p>
        </w:tc>
        <w:tc>
          <w:tcPr/>
          <w:p>
            <w:pPr>
              <w:pStyle w:val="Compact"/>
              <w:jc w:val="left"/>
            </w:pPr>
            <w:r>
              <w:t xml:space="preserve">700+ NCD clinics; 150,000+ HWCs for screening</w:t>
            </w:r>
          </w:p>
        </w:tc>
      </w:tr>
      <w:tr>
        <w:tc>
          <w:tcPr/>
          <w:p>
            <w:pPr>
              <w:pStyle w:val="Compact"/>
              <w:jc w:val="left"/>
            </w:pPr>
            <w:r>
              <w:rPr>
                <w:b/>
                <w:bCs/>
              </w:rPr>
              <w:t xml:space="preserve">Focus areas</w:t>
            </w:r>
          </w:p>
        </w:tc>
        <w:tc>
          <w:tcPr/>
          <w:p>
            <w:pPr>
              <w:pStyle w:val="Compact"/>
              <w:jc w:val="left"/>
            </w:pPr>
            <w:r>
              <w:t xml:space="preserve">Diabetes, hypertension, cancer, cardiovascular disease, stroke</w:t>
            </w:r>
          </w:p>
        </w:tc>
      </w:tr>
      <w:tr>
        <w:tc>
          <w:tcPr/>
          <w:p>
            <w:pPr>
              <w:pStyle w:val="Compact"/>
              <w:jc w:val="left"/>
            </w:pPr>
            <w:r>
              <w:rPr>
                <w:b/>
                <w:bCs/>
              </w:rPr>
              <w:t xml:space="preserve">Functions</w:t>
            </w:r>
          </w:p>
        </w:tc>
        <w:tc>
          <w:tcPr/>
          <w:p>
            <w:pPr>
              <w:pStyle w:val="Compact"/>
              <w:jc w:val="left"/>
            </w:pPr>
            <w:r>
              <w:t xml:space="preserve">Population screening, risk stratification, treatment protocols, follow-up tracking</w:t>
            </w:r>
          </w:p>
        </w:tc>
      </w:tr>
      <w:tr>
        <w:tc>
          <w:tcPr/>
          <w:p>
            <w:pPr>
              <w:pStyle w:val="Compact"/>
              <w:jc w:val="left"/>
            </w:pPr>
            <w:r>
              <w:rPr>
                <w:b/>
                <w:bCs/>
              </w:rPr>
              <w:t xml:space="preserve">Key systems</w:t>
            </w:r>
          </w:p>
        </w:tc>
        <w:tc>
          <w:tcPr/>
          <w:p>
            <w:pPr>
              <w:pStyle w:val="Compact"/>
              <w:jc w:val="left"/>
            </w:pPr>
            <w:r>
              <w:t xml:space="preserve">NCD App (screening/tracking), Cancer Registry integration, CPHC portal</w:t>
            </w:r>
          </w:p>
        </w:tc>
      </w:tr>
      <w:tr>
        <w:tc>
          <w:tcPr/>
          <w:p>
            <w:pPr>
              <w:pStyle w:val="Compact"/>
              <w:jc w:val="left"/>
            </w:pPr>
            <w:r>
              <w:rPr>
                <w:b/>
                <w:bCs/>
              </w:rPr>
              <w:t xml:space="preserve">Screenings</w:t>
            </w:r>
          </w:p>
        </w:tc>
        <w:tc>
          <w:tcPr/>
          <w:p>
            <w:pPr>
              <w:pStyle w:val="Compact"/>
              <w:jc w:val="left"/>
            </w:pPr>
            <w:r>
              <w:t xml:space="preserve">80 million population screened annually</w:t>
            </w:r>
          </w:p>
        </w:tc>
      </w:tr>
      <w:tr>
        <w:tc>
          <w:tcPr/>
          <w:p>
            <w:pPr>
              <w:pStyle w:val="Compact"/>
              <w:jc w:val="left"/>
            </w:pPr>
            <w:r>
              <w:rPr>
                <w:b/>
                <w:bCs/>
              </w:rPr>
              <w:t xml:space="preserve">Special consideration</w:t>
            </w:r>
          </w:p>
        </w:tc>
        <w:tc>
          <w:tcPr/>
          <w:p>
            <w:pPr>
              <w:pStyle w:val="Compact"/>
              <w:jc w:val="left"/>
            </w:pPr>
            <w:r>
              <w:rPr>
                <w:b/>
                <w:bCs/>
              </w:rPr>
              <w:t xml:space="preserve">NCDs cause 62% of mortality in India</w:t>
            </w:r>
          </w:p>
        </w:tc>
      </w:tr>
    </w:tbl>
    <w:bookmarkEnd w:id="557"/>
    <w:bookmarkStart w:id="560" w:name="cii-classification-assessment-16"/>
    <w:p>
      <w:pPr>
        <w:pStyle w:val="Heading3"/>
      </w:pPr>
      <w:r>
        <w:t xml:space="preserve">CII Classification Assessment</w:t>
      </w:r>
    </w:p>
    <w:bookmarkStart w:id="558" w:name="key-risk-factors-5"/>
    <w:p>
      <w:pPr>
        <w:pStyle w:val="Heading4"/>
      </w:pPr>
      <w:r>
        <w:t xml:space="preserve">Key Risk Factors</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jc w:val="left"/>
            </w:pPr>
            <w:r>
              <w:t xml:space="preserve">Factor</w:t>
            </w:r>
          </w:p>
        </w:tc>
        <w:tc>
          <w:tcPr/>
          <w:p>
            <w:pPr>
              <w:pStyle w:val="Compact"/>
              <w:jc w:val="left"/>
            </w:pPr>
            <w:r>
              <w:t xml:space="preserve">Assessment</w:t>
            </w:r>
          </w:p>
        </w:tc>
      </w:tr>
      <w:tr>
        <w:tc>
          <w:tcPr/>
          <w:p>
            <w:pPr>
              <w:pStyle w:val="Compact"/>
              <w:jc w:val="left"/>
            </w:pPr>
            <w:r>
              <w:rPr>
                <w:b/>
                <w:bCs/>
              </w:rPr>
              <w:t xml:space="preserve">Population coverage</w:t>
            </w:r>
          </w:p>
        </w:tc>
        <w:tc>
          <w:tcPr/>
          <w:p>
            <w:pPr>
              <w:pStyle w:val="Compact"/>
              <w:jc w:val="left"/>
            </w:pPr>
            <w:r>
              <w:t xml:space="preserve">80M annual screenings; lifetime chronic disease tracking</w:t>
            </w:r>
          </w:p>
        </w:tc>
      </w:tr>
      <w:tr>
        <w:tc>
          <w:tcPr/>
          <w:p>
            <w:pPr>
              <w:pStyle w:val="Compact"/>
              <w:jc w:val="left"/>
            </w:pPr>
            <w:r>
              <w:rPr>
                <w:b/>
                <w:bCs/>
              </w:rPr>
              <w:t xml:space="preserve">Continuity of care</w:t>
            </w:r>
          </w:p>
        </w:tc>
        <w:tc>
          <w:tcPr/>
          <w:p>
            <w:pPr>
              <w:pStyle w:val="Compact"/>
              <w:jc w:val="left"/>
            </w:pPr>
            <w:r>
              <w:t xml:space="preserve">Chronic disease management requires uninterrupted longitudinal tracking</w:t>
            </w:r>
          </w:p>
        </w:tc>
      </w:tr>
      <w:tr>
        <w:tc>
          <w:tcPr/>
          <w:p>
            <w:pPr>
              <w:pStyle w:val="Compact"/>
              <w:jc w:val="left"/>
            </w:pPr>
            <w:r>
              <w:rPr>
                <w:b/>
                <w:bCs/>
              </w:rPr>
              <w:t xml:space="preserve">Screening data</w:t>
            </w:r>
          </w:p>
        </w:tc>
        <w:tc>
          <w:tcPr/>
          <w:p>
            <w:pPr>
              <w:pStyle w:val="Compact"/>
              <w:jc w:val="left"/>
            </w:pPr>
            <w:r>
              <w:t xml:space="preserve">Early cancer/CVD detection depends on data integrity</w:t>
            </w:r>
          </w:p>
        </w:tc>
      </w:tr>
      <w:tr>
        <w:tc>
          <w:tcPr/>
          <w:p>
            <w:pPr>
              <w:pStyle w:val="Compact"/>
              <w:jc w:val="left"/>
            </w:pPr>
            <w:r>
              <w:rPr>
                <w:b/>
                <w:bCs/>
              </w:rPr>
              <w:t xml:space="preserve">Treatment continuity</w:t>
            </w:r>
          </w:p>
        </w:tc>
        <w:tc>
          <w:tcPr/>
          <w:p>
            <w:pPr>
              <w:pStyle w:val="Compact"/>
              <w:jc w:val="left"/>
            </w:pPr>
            <w:r>
              <w:t xml:space="preserve">Hypertension/diabetes patients require continuous medication access</w:t>
            </w:r>
          </w:p>
        </w:tc>
      </w:tr>
    </w:tbl>
    <w:bookmarkEnd w:id="558"/>
    <w:bookmarkStart w:id="559" w:name="scoring-developing-country-framework-11"/>
    <w:p>
      <w:pPr>
        <w:pStyle w:val="Heading4"/>
      </w:pPr>
      <w:r>
        <w:t xml:space="preserve">Scoring (Developing Country Framework)</w:t>
      </w:r>
    </w:p>
    <w:tbl>
      <w:tblPr>
        <w:tblStyle w:val="Table"/>
        <w:tblW w:type="pct" w:w="5000"/>
        <w:tblLayout w:type="fixed"/>
        <w:tblLook w:firstRow="1" w:lastRow="0" w:firstColumn="0" w:lastColumn="0" w:noHBand="0" w:noVBand="0" w:val="0020"/>
      </w:tblPr>
      <w:tblGrid>
        <w:gridCol w:w="1863"/>
        <w:gridCol w:w="2562"/>
        <w:gridCol w:w="3494"/>
      </w:tblGrid>
      <w:tr>
        <w:trPr>
          <w:tblHeader w:val="on"/>
        </w:trPr>
        <w:tc>
          <w:tcPr/>
          <w:p>
            <w:pPr>
              <w:pStyle w:val="Compact"/>
              <w:jc w:val="left"/>
            </w:pPr>
            <w:r>
              <w:t xml:space="preserve">Domain</w:t>
            </w:r>
          </w:p>
        </w:tc>
        <w:tc>
          <w:tcPr/>
          <w:p>
            <w:pPr>
              <w:pStyle w:val="Compact"/>
              <w:jc w:val="left"/>
            </w:pPr>
            <w:r>
              <w:t xml:space="preserve">Criterion</w:t>
            </w:r>
          </w:p>
        </w:tc>
        <w:tc>
          <w:tcPr/>
          <w:p>
            <w:pPr>
              <w:pStyle w:val="Compact"/>
              <w:jc w:val="center"/>
            </w:pPr>
            <w:r>
              <w:t xml:space="preserve">Points Scored</w:t>
            </w:r>
          </w:p>
        </w:tc>
      </w:tr>
      <w:tr>
        <w:tc>
          <w:tcPr/>
          <w:p>
            <w:pPr>
              <w:pStyle w:val="Compact"/>
              <w:jc w:val="left"/>
            </w:pPr>
            <w:r>
              <w:rPr>
                <w:b/>
                <w:bCs/>
              </w:rPr>
              <w:t xml:space="preserve">A. Population Coverage</w:t>
            </w:r>
          </w:p>
        </w:tc>
        <w:tc>
          <w:tcPr/>
          <w:p>
            <w:pPr>
              <w:pStyle w:val="Compact"/>
              <w:jc w:val="left"/>
            </w:pPr>
            <w:r>
              <w:t xml:space="preserve">80M screenings/year across 700+ clinics</w:t>
            </w:r>
          </w:p>
        </w:tc>
        <w:tc>
          <w:tcPr/>
          <w:p>
            <w:pPr>
              <w:pStyle w:val="Compact"/>
              <w:jc w:val="center"/>
            </w:pPr>
            <w:r>
              <w:t xml:space="preserve">30</w:t>
            </w:r>
          </w:p>
        </w:tc>
      </w:tr>
      <w:tr>
        <w:tc>
          <w:tcPr/>
          <w:p>
            <w:pPr>
              <w:pStyle w:val="Compact"/>
              <w:jc w:val="left"/>
            </w:pPr>
            <w:r>
              <w:rPr>
                <w:b/>
                <w:bCs/>
              </w:rPr>
              <w:t xml:space="preserve">B. Public Health Function</w:t>
            </w:r>
          </w:p>
        </w:tc>
        <w:tc>
          <w:tcPr/>
          <w:p>
            <w:pPr>
              <w:pStyle w:val="Compact"/>
              <w:jc w:val="left"/>
            </w:pPr>
            <w:r>
              <w:t xml:space="preserve">NCDs are #1 mortality cause</w:t>
            </w:r>
          </w:p>
        </w:tc>
        <w:tc>
          <w:tcPr/>
          <w:p>
            <w:pPr>
              <w:pStyle w:val="Compact"/>
              <w:jc w:val="center"/>
            </w:pPr>
            <w:r>
              <w:t xml:space="preserve">20</w:t>
            </w:r>
          </w:p>
        </w:tc>
      </w:tr>
      <w:tr>
        <w:tc>
          <w:tcPr/>
          <w:p>
            <w:pPr>
              <w:pStyle w:val="Compact"/>
              <w:jc w:val="left"/>
            </w:pPr>
            <w:r>
              <w:rPr>
                <w:b/>
                <w:bCs/>
              </w:rPr>
              <w:t xml:space="preserve">C. Chronic Care Coordination</w:t>
            </w:r>
          </w:p>
        </w:tc>
        <w:tc>
          <w:tcPr/>
          <w:p>
            <w:pPr>
              <w:pStyle w:val="Compact"/>
              <w:jc w:val="left"/>
            </w:pPr>
            <w:r>
              <w:t xml:space="preserve">Longitudinal patient tracking essential</w:t>
            </w:r>
          </w:p>
        </w:tc>
        <w:tc>
          <w:tcPr/>
          <w:p>
            <w:pPr>
              <w:pStyle w:val="Compact"/>
              <w:jc w:val="center"/>
            </w:pPr>
            <w:r>
              <w:t xml:space="preserve">15</w:t>
            </w:r>
          </w:p>
        </w:tc>
      </w:tr>
      <w:tr>
        <w:tc>
          <w:tcPr/>
          <w:p>
            <w:pPr>
              <w:pStyle w:val="Compact"/>
              <w:jc w:val="left"/>
            </w:pPr>
            <w:r>
              <w:rPr>
                <w:b/>
                <w:bCs/>
              </w:rPr>
              <w:t xml:space="preserve">D. HWC Integration</w:t>
            </w:r>
          </w:p>
        </w:tc>
        <w:tc>
          <w:tcPr/>
          <w:p>
            <w:pPr>
              <w:pStyle w:val="Compact"/>
              <w:jc w:val="left"/>
            </w:pPr>
            <w:r>
              <w:t xml:space="preserve">150,000+ frontline facilities connected</w:t>
            </w:r>
          </w:p>
        </w:tc>
        <w:tc>
          <w:tcPr/>
          <w:p>
            <w:pPr>
              <w:pStyle w:val="Compact"/>
              <w:jc w:val="center"/>
            </w:pPr>
            <w:r>
              <w:t xml:space="preserve">10</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75</w:t>
            </w:r>
          </w:p>
        </w:tc>
      </w:tr>
    </w:tbl>
    <w:bookmarkEnd w:id="559"/>
    <w:bookmarkEnd w:id="560"/>
    <w:bookmarkStart w:id="561" w:name="classification-result-16"/>
    <w:p>
      <w:pPr>
        <w:pStyle w:val="Heading3"/>
      </w:pPr>
      <w:r>
        <w:t xml:space="preserve">Classification Result</w:t>
      </w:r>
    </w:p>
    <w:tbl>
      <w:tblPr>
        <w:tblStyle w:val="Table"/>
        <w:tblW w:type="pct" w:w="5000"/>
        <w:tblLayout w:type="fixed"/>
        <w:tblLook w:firstRow="1" w:lastRow="0" w:firstColumn="0" w:lastColumn="0" w:noHBand="0" w:noVBand="0" w:val="0020"/>
      </w:tblPr>
      <w:tblGrid>
        <w:gridCol w:w="2489"/>
        <w:gridCol w:w="1584"/>
        <w:gridCol w:w="1357"/>
        <w:gridCol w:w="2489"/>
      </w:tblGrid>
      <w:tr>
        <w:trPr>
          <w:tblHeader w:val="on"/>
        </w:trPr>
        <w:tc>
          <w:tcPr/>
          <w:p>
            <w:pPr>
              <w:pStyle w:val="Compact"/>
              <w:jc w:val="left"/>
            </w:pPr>
            <w:r>
              <w:t xml:space="preserve">Framework</w:t>
            </w:r>
          </w:p>
        </w:tc>
        <w:tc>
          <w:tcPr/>
          <w:p>
            <w:pPr>
              <w:pStyle w:val="Compact"/>
              <w:jc w:val="left"/>
            </w:pPr>
            <w:r>
              <w:t xml:space="preserve">Score</w:t>
            </w:r>
          </w:p>
        </w:tc>
        <w:tc>
          <w:tcPr/>
          <w:p>
            <w:pPr>
              <w:pStyle w:val="Compact"/>
              <w:jc w:val="left"/>
            </w:pPr>
            <w:r>
              <w:t xml:space="preserve">Tier</w:t>
            </w:r>
          </w:p>
        </w:tc>
        <w:tc>
          <w:tcPr/>
          <w:p>
            <w:pPr>
              <w:pStyle w:val="Compact"/>
              <w:jc w:val="left"/>
            </w:pPr>
            <w:r>
              <w:t xml:space="preserve">Rationale</w:t>
            </w:r>
          </w:p>
        </w:tc>
      </w:tr>
      <w:tr>
        <w:tc>
          <w:tcPr/>
          <w:p>
            <w:pPr>
              <w:pStyle w:val="Compact"/>
              <w:jc w:val="left"/>
            </w:pPr>
            <w:r>
              <w:rPr>
                <w:b/>
                <w:bCs/>
              </w:rPr>
              <w:t xml:space="preserve">Developing Country</w:t>
            </w:r>
          </w:p>
        </w:tc>
        <w:tc>
          <w:tcPr/>
          <w:p>
            <w:pPr>
              <w:pStyle w:val="Compact"/>
              <w:jc w:val="left"/>
            </w:pPr>
            <w:r>
              <w:t xml:space="preserve">75</w:t>
            </w:r>
          </w:p>
        </w:tc>
        <w:tc>
          <w:tcPr/>
          <w:p>
            <w:pPr>
              <w:pStyle w:val="Compact"/>
              <w:jc w:val="left"/>
            </w:pPr>
            <w:r>
              <w:rPr>
                <w:b/>
                <w:bCs/>
              </w:rPr>
              <w:t xml:space="preserve">Tier 1 (Essential)</w:t>
            </w:r>
          </w:p>
        </w:tc>
        <w:tc>
          <w:tcPr/>
          <w:p>
            <w:pPr>
              <w:pStyle w:val="Compact"/>
              <w:jc w:val="left"/>
            </w:pPr>
            <w:r>
              <w:t xml:space="preserve">Major national burden; population-scale screening and tracking</w:t>
            </w:r>
          </w:p>
        </w:tc>
      </w:tr>
    </w:tbl>
    <w:p>
      <w:pPr>
        <w:pStyle w:val="BlockText"/>
      </w:pPr>
      <w:r>
        <w:t xml:space="preserve">[!NOTE]</w:t>
      </w:r>
      <w:r>
        <w:t xml:space="preserve"> </w:t>
      </w:r>
      <w:r>
        <w:t xml:space="preserve">NCD programs differ from acute disease programs in requiring</w:t>
      </w:r>
      <w:r>
        <w:t xml:space="preserve"> </w:t>
      </w:r>
      <w:r>
        <w:rPr>
          <w:b/>
          <w:bCs/>
        </w:rPr>
        <w:t xml:space="preserve">longitudinal data integrity over decades</w:t>
      </w:r>
      <w:r>
        <w:t xml:space="preserve">. A patient’s 10-year hypertension history affects current treatment decisions. Data corruption has delayed, but serious, consequences.</w:t>
      </w:r>
    </w:p>
    <w:bookmarkEnd w:id="561"/>
    <w:bookmarkStart w:id="562" w:name="applicable-obligations-13"/>
    <w:p>
      <w:pPr>
        <w:pStyle w:val="Heading3"/>
      </w:pPr>
      <w:r>
        <w:t xml:space="preserve">Applicable Obligations</w:t>
      </w:r>
    </w:p>
    <w:p>
      <w:pPr>
        <w:pStyle w:val="Compact"/>
        <w:numPr>
          <w:ilvl w:val="0"/>
          <w:numId w:val="1352"/>
        </w:numPr>
      </w:pPr>
      <w:r>
        <w:t xml:space="preserve">Program security focal point</w:t>
      </w:r>
    </w:p>
    <w:p>
      <w:pPr>
        <w:pStyle w:val="Compact"/>
        <w:numPr>
          <w:ilvl w:val="0"/>
          <w:numId w:val="1352"/>
        </w:numPr>
      </w:pPr>
      <w:r>
        <w:t xml:space="preserve">Annual audit of NCD App and connected systems</w:t>
      </w:r>
    </w:p>
    <w:p>
      <w:pPr>
        <w:pStyle w:val="Compact"/>
        <w:numPr>
          <w:ilvl w:val="0"/>
          <w:numId w:val="1352"/>
        </w:numPr>
      </w:pPr>
      <w:r>
        <w:t xml:space="preserve">48-hour incident reporting</w:t>
      </w:r>
    </w:p>
    <w:p>
      <w:pPr>
        <w:pStyle w:val="Compact"/>
        <w:numPr>
          <w:ilvl w:val="0"/>
          <w:numId w:val="1352"/>
        </w:numPr>
      </w:pPr>
      <w:r>
        <w:t xml:space="preserve">Data integrity controls for longitudinal records</w:t>
      </w:r>
    </w:p>
    <w:p>
      <w:pPr>
        <w:pStyle w:val="Compact"/>
        <w:numPr>
          <w:ilvl w:val="0"/>
          <w:numId w:val="1352"/>
        </w:numPr>
      </w:pPr>
      <w:r>
        <w:t xml:space="preserve">HWC integration security (high-volume low-resource endpoints)</w:t>
      </w:r>
    </w:p>
    <w:p>
      <w:pPr>
        <w:pStyle w:val="Compact"/>
        <w:numPr>
          <w:ilvl w:val="0"/>
          <w:numId w:val="1352"/>
        </w:numPr>
      </w:pPr>
      <w:r>
        <w:t xml:space="preserve">Screening data backup and recovery</w:t>
      </w:r>
    </w:p>
    <w:p>
      <w:pPr>
        <w:pStyle w:val="Compact"/>
        <w:numPr>
          <w:ilvl w:val="0"/>
          <w:numId w:val="1352"/>
        </w:numPr>
      </w:pPr>
      <w:r>
        <w:t xml:space="preserve">Cancer registry linkage security</w:t>
      </w:r>
    </w:p>
    <w:p>
      <w:r>
        <w:pict>
          <v:rect style="width:0;height:1.5pt" o:hralign="center" o:hrstd="t" o:hr="t"/>
        </w:pict>
      </w:r>
    </w:p>
    <w:bookmarkEnd w:id="562"/>
    <w:bookmarkEnd w:id="563"/>
    <w:bookmarkStart w:id="570" w:name="Xa145072d86c6be5c3d019713c42797f878be645"/>
    <w:p>
      <w:pPr>
        <w:pStyle w:val="Heading2"/>
      </w:pPr>
      <w:r>
        <w:t xml:space="preserve">Case Study 4: National Blindness Control Program -</w:t>
      </w:r>
      <w:r>
        <w:t xml:space="preserve"> </w:t>
      </w:r>
      <w:r>
        <w:t xml:space="preserve">“DrishtiRaksha”</w:t>
      </w:r>
    </w:p>
    <w:bookmarkStart w:id="564" w:name="entity-profile-17"/>
    <w:p>
      <w:pPr>
        <w:pStyle w:val="Heading3"/>
      </w:pPr>
      <w:r>
        <w:t xml:space="preserve">Entity Profile</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jc w:val="left"/>
            </w:pPr>
            <w:r>
              <w:t xml:space="preserve">Attribute</w:t>
            </w:r>
          </w:p>
        </w:tc>
        <w:tc>
          <w:tcPr/>
          <w:p>
            <w:pPr>
              <w:pStyle w:val="Compact"/>
              <w:jc w:val="left"/>
            </w:pPr>
            <w:r>
              <w:t xml:space="preserve">Details</w:t>
            </w:r>
          </w:p>
        </w:tc>
      </w:tr>
      <w:tr>
        <w:tc>
          <w:tcPr/>
          <w:p>
            <w:pPr>
              <w:pStyle w:val="Compact"/>
              <w:jc w:val="left"/>
            </w:pPr>
            <w:r>
              <w:rPr>
                <w:b/>
                <w:bCs/>
              </w:rPr>
              <w:t xml:space="preserve">Name</w:t>
            </w:r>
          </w:p>
        </w:tc>
        <w:tc>
          <w:tcPr/>
          <w:p>
            <w:pPr>
              <w:pStyle w:val="Compact"/>
              <w:jc w:val="left"/>
            </w:pPr>
            <w:r>
              <w:t xml:space="preserve">DrishtiRaksha (National Programme for Control of Blindness &amp; Visual Impairment)</w:t>
            </w:r>
          </w:p>
        </w:tc>
      </w:tr>
      <w:tr>
        <w:tc>
          <w:tcPr/>
          <w:p>
            <w:pPr>
              <w:pStyle w:val="Compact"/>
              <w:jc w:val="left"/>
            </w:pPr>
            <w:r>
              <w:rPr>
                <w:b/>
                <w:bCs/>
              </w:rPr>
              <w:t xml:space="preserve">Type</w:t>
            </w:r>
          </w:p>
        </w:tc>
        <w:tc>
          <w:tcPr/>
          <w:p>
            <w:pPr>
              <w:pStyle w:val="Compact"/>
              <w:jc w:val="left"/>
            </w:pPr>
            <w:r>
              <w:t xml:space="preserve">National eye care and blindness prevention program</w:t>
            </w:r>
          </w:p>
        </w:tc>
      </w:tr>
      <w:tr>
        <w:tc>
          <w:tcPr/>
          <w:p>
            <w:pPr>
              <w:pStyle w:val="Compact"/>
              <w:jc w:val="left"/>
            </w:pPr>
            <w:r>
              <w:rPr>
                <w:b/>
                <w:bCs/>
              </w:rPr>
              <w:t xml:space="preserve">Operator</w:t>
            </w:r>
          </w:p>
        </w:tc>
        <w:tc>
          <w:tcPr/>
          <w:p>
            <w:pPr>
              <w:pStyle w:val="Compact"/>
              <w:jc w:val="left"/>
            </w:pPr>
            <w:r>
              <w:t xml:space="preserve">Ophthalmology Division, Ministry of Health (government)</w:t>
            </w:r>
          </w:p>
        </w:tc>
      </w:tr>
      <w:tr>
        <w:tc>
          <w:tcPr/>
          <w:p>
            <w:pPr>
              <w:pStyle w:val="Compact"/>
              <w:jc w:val="left"/>
            </w:pPr>
            <w:r>
              <w:rPr>
                <w:b/>
                <w:bCs/>
              </w:rPr>
              <w:t xml:space="preserve">Coverage</w:t>
            </w:r>
          </w:p>
        </w:tc>
        <w:tc>
          <w:tcPr/>
          <w:p>
            <w:pPr>
              <w:pStyle w:val="Compact"/>
              <w:jc w:val="left"/>
            </w:pPr>
            <w:r>
              <w:t xml:space="preserve">District hospitals + 700 vision centres + school screening</w:t>
            </w:r>
          </w:p>
        </w:tc>
      </w:tr>
      <w:tr>
        <w:tc>
          <w:tcPr/>
          <w:p>
            <w:pPr>
              <w:pStyle w:val="Compact"/>
              <w:jc w:val="left"/>
            </w:pPr>
            <w:r>
              <w:rPr>
                <w:b/>
                <w:bCs/>
              </w:rPr>
              <w:t xml:space="preserve">Annual surgeries</w:t>
            </w:r>
          </w:p>
        </w:tc>
        <w:tc>
          <w:tcPr/>
          <w:p>
            <w:pPr>
              <w:pStyle w:val="Compact"/>
              <w:jc w:val="left"/>
            </w:pPr>
            <w:r>
              <w:t xml:space="preserve">7 million cataract surgeries/year (largest in world)</w:t>
            </w:r>
          </w:p>
        </w:tc>
      </w:tr>
      <w:tr>
        <w:tc>
          <w:tcPr/>
          <w:p>
            <w:pPr>
              <w:pStyle w:val="Compact"/>
              <w:jc w:val="left"/>
            </w:pPr>
            <w:r>
              <w:rPr>
                <w:b/>
                <w:bCs/>
              </w:rPr>
              <w:t xml:space="preserve">Functions</w:t>
            </w:r>
          </w:p>
        </w:tc>
        <w:tc>
          <w:tcPr/>
          <w:p>
            <w:pPr>
              <w:pStyle w:val="Compact"/>
              <w:jc w:val="left"/>
            </w:pPr>
            <w:r>
              <w:t xml:space="preserve">Cataract surgery tracking, school screening, IOL distribution, outcome monitoring</w:t>
            </w:r>
          </w:p>
        </w:tc>
      </w:tr>
      <w:tr>
        <w:tc>
          <w:tcPr/>
          <w:p>
            <w:pPr>
              <w:pStyle w:val="Compact"/>
              <w:jc w:val="left"/>
            </w:pPr>
            <w:r>
              <w:rPr>
                <w:b/>
                <w:bCs/>
              </w:rPr>
              <w:t xml:space="preserve">Key systems</w:t>
            </w:r>
          </w:p>
        </w:tc>
        <w:tc>
          <w:tcPr/>
          <w:p>
            <w:pPr>
              <w:pStyle w:val="Compact"/>
              <w:jc w:val="left"/>
            </w:pPr>
            <w:r>
              <w:t xml:space="preserve">NPCB-VI MIS, surgery outcome database, IOL inventory system</w:t>
            </w:r>
          </w:p>
        </w:tc>
      </w:tr>
      <w:tr>
        <w:tc>
          <w:tcPr/>
          <w:p>
            <w:pPr>
              <w:pStyle w:val="Compact"/>
              <w:jc w:val="left"/>
            </w:pPr>
            <w:r>
              <w:rPr>
                <w:b/>
                <w:bCs/>
              </w:rPr>
              <w:t xml:space="preserve">Integrations</w:t>
            </w:r>
          </w:p>
        </w:tc>
        <w:tc>
          <w:tcPr/>
          <w:p>
            <w:pPr>
              <w:pStyle w:val="Compact"/>
              <w:jc w:val="left"/>
            </w:pPr>
            <w:r>
              <w:t xml:space="preserve">District hospital systems, private eye hospital network</w:t>
            </w:r>
          </w:p>
        </w:tc>
      </w:tr>
      <w:tr>
        <w:tc>
          <w:tcPr/>
          <w:p>
            <w:pPr>
              <w:pStyle w:val="Compact"/>
              <w:jc w:val="left"/>
            </w:pPr>
            <w:r>
              <w:rPr>
                <w:b/>
                <w:bCs/>
              </w:rPr>
              <w:t xml:space="preserve">Special consideration</w:t>
            </w:r>
          </w:p>
        </w:tc>
        <w:tc>
          <w:tcPr/>
          <w:p>
            <w:pPr>
              <w:pStyle w:val="Compact"/>
              <w:jc w:val="left"/>
            </w:pPr>
            <w:r>
              <w:rPr>
                <w:b/>
                <w:bCs/>
              </w:rPr>
              <w:t xml:space="preserve">World’s largest cataract surgery program</w:t>
            </w:r>
          </w:p>
        </w:tc>
      </w:tr>
    </w:tbl>
    <w:bookmarkEnd w:id="564"/>
    <w:bookmarkStart w:id="567" w:name="cii-classification-assessment-17"/>
    <w:p>
      <w:pPr>
        <w:pStyle w:val="Heading3"/>
      </w:pPr>
      <w:r>
        <w:t xml:space="preserve">CII Classification Assessment</w:t>
      </w:r>
    </w:p>
    <w:bookmarkStart w:id="565" w:name="key-risk-factors-6"/>
    <w:p>
      <w:pPr>
        <w:pStyle w:val="Heading4"/>
      </w:pPr>
      <w:r>
        <w:t xml:space="preserve">Key Risk Factors</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jc w:val="left"/>
            </w:pPr>
            <w:r>
              <w:t xml:space="preserve">Factor</w:t>
            </w:r>
          </w:p>
        </w:tc>
        <w:tc>
          <w:tcPr/>
          <w:p>
            <w:pPr>
              <w:pStyle w:val="Compact"/>
              <w:jc w:val="left"/>
            </w:pPr>
            <w:r>
              <w:t xml:space="preserve">Assessment</w:t>
            </w:r>
          </w:p>
        </w:tc>
      </w:tr>
      <w:tr>
        <w:tc>
          <w:tcPr/>
          <w:p>
            <w:pPr>
              <w:pStyle w:val="Compact"/>
              <w:jc w:val="left"/>
            </w:pPr>
            <w:r>
              <w:rPr>
                <w:b/>
                <w:bCs/>
              </w:rPr>
              <w:t xml:space="preserve">Surgery volume</w:t>
            </w:r>
          </w:p>
        </w:tc>
        <w:tc>
          <w:tcPr/>
          <w:p>
            <w:pPr>
              <w:pStyle w:val="Compact"/>
              <w:jc w:val="left"/>
            </w:pPr>
            <w:r>
              <w:t xml:space="preserve">7M surgeries/year; logistics coordination essential</w:t>
            </w:r>
          </w:p>
        </w:tc>
      </w:tr>
      <w:tr>
        <w:tc>
          <w:tcPr/>
          <w:p>
            <w:pPr>
              <w:pStyle w:val="Compact"/>
              <w:jc w:val="left"/>
            </w:pPr>
            <w:r>
              <w:rPr>
                <w:b/>
                <w:bCs/>
              </w:rPr>
              <w:t xml:space="preserve">Supply chain</w:t>
            </w:r>
          </w:p>
        </w:tc>
        <w:tc>
          <w:tcPr/>
          <w:p>
            <w:pPr>
              <w:pStyle w:val="Compact"/>
              <w:jc w:val="left"/>
            </w:pPr>
            <w:r>
              <w:t xml:space="preserve">IOL (intraocular lens) procurement and distribution</w:t>
            </w:r>
          </w:p>
        </w:tc>
      </w:tr>
      <w:tr>
        <w:tc>
          <w:tcPr/>
          <w:p>
            <w:pPr>
              <w:pStyle w:val="Compact"/>
              <w:jc w:val="left"/>
            </w:pPr>
            <w:r>
              <w:rPr>
                <w:b/>
                <w:bCs/>
              </w:rPr>
              <w:t xml:space="preserve">Outcome tracking</w:t>
            </w:r>
          </w:p>
        </w:tc>
        <w:tc>
          <w:tcPr/>
          <w:p>
            <w:pPr>
              <w:pStyle w:val="Compact"/>
              <w:jc w:val="left"/>
            </w:pPr>
            <w:r>
              <w:t xml:space="preserve">Post-surgical complication monitoring affects quality improvement</w:t>
            </w:r>
          </w:p>
        </w:tc>
      </w:tr>
      <w:tr>
        <w:tc>
          <w:tcPr/>
          <w:p>
            <w:pPr>
              <w:pStyle w:val="Compact"/>
              <w:jc w:val="left"/>
            </w:pPr>
            <w:r>
              <w:rPr>
                <w:b/>
                <w:bCs/>
              </w:rPr>
              <w:t xml:space="preserve">School screening</w:t>
            </w:r>
          </w:p>
        </w:tc>
        <w:tc>
          <w:tcPr/>
          <w:p>
            <w:pPr>
              <w:pStyle w:val="Compact"/>
              <w:jc w:val="left"/>
            </w:pPr>
            <w:r>
              <w:t xml:space="preserve">Detection of childhood visual impairment</w:t>
            </w:r>
          </w:p>
        </w:tc>
      </w:tr>
    </w:tbl>
    <w:bookmarkEnd w:id="565"/>
    <w:bookmarkStart w:id="566" w:name="scoring-developing-country-framework-12"/>
    <w:p>
      <w:pPr>
        <w:pStyle w:val="Heading4"/>
      </w:pPr>
      <w:r>
        <w:t xml:space="preserve">Scoring (Developing Country Framework)</w:t>
      </w:r>
    </w:p>
    <w:tbl>
      <w:tblPr>
        <w:tblStyle w:val="Table"/>
        <w:tblW w:type="pct" w:w="5000"/>
        <w:tblLayout w:type="fixed"/>
        <w:tblLook w:firstRow="1" w:lastRow="0" w:firstColumn="0" w:lastColumn="0" w:noHBand="0" w:noVBand="0" w:val="0020"/>
      </w:tblPr>
      <w:tblGrid>
        <w:gridCol w:w="1863"/>
        <w:gridCol w:w="2562"/>
        <w:gridCol w:w="3494"/>
      </w:tblGrid>
      <w:tr>
        <w:trPr>
          <w:tblHeader w:val="on"/>
        </w:trPr>
        <w:tc>
          <w:tcPr/>
          <w:p>
            <w:pPr>
              <w:pStyle w:val="Compact"/>
              <w:jc w:val="left"/>
            </w:pPr>
            <w:r>
              <w:t xml:space="preserve">Domain</w:t>
            </w:r>
          </w:p>
        </w:tc>
        <w:tc>
          <w:tcPr/>
          <w:p>
            <w:pPr>
              <w:pStyle w:val="Compact"/>
              <w:jc w:val="left"/>
            </w:pPr>
            <w:r>
              <w:t xml:space="preserve">Criterion</w:t>
            </w:r>
          </w:p>
        </w:tc>
        <w:tc>
          <w:tcPr/>
          <w:p>
            <w:pPr>
              <w:pStyle w:val="Compact"/>
              <w:jc w:val="center"/>
            </w:pPr>
            <w:r>
              <w:t xml:space="preserve">Points Scored</w:t>
            </w:r>
          </w:p>
        </w:tc>
      </w:tr>
      <w:tr>
        <w:tc>
          <w:tcPr/>
          <w:p>
            <w:pPr>
              <w:pStyle w:val="Compact"/>
              <w:jc w:val="left"/>
            </w:pPr>
            <w:r>
              <w:rPr>
                <w:b/>
                <w:bCs/>
              </w:rPr>
              <w:t xml:space="preserve">A. Scale</w:t>
            </w:r>
          </w:p>
        </w:tc>
        <w:tc>
          <w:tcPr/>
          <w:p>
            <w:pPr>
              <w:pStyle w:val="Compact"/>
              <w:jc w:val="left"/>
            </w:pPr>
            <w:r>
              <w:t xml:space="preserve">7M surgeries/year; largest global program</w:t>
            </w:r>
          </w:p>
        </w:tc>
        <w:tc>
          <w:tcPr/>
          <w:p>
            <w:pPr>
              <w:pStyle w:val="Compact"/>
              <w:jc w:val="center"/>
            </w:pPr>
            <w:r>
              <w:t xml:space="preserve">25</w:t>
            </w:r>
          </w:p>
        </w:tc>
      </w:tr>
      <w:tr>
        <w:tc>
          <w:tcPr/>
          <w:p>
            <w:pPr>
              <w:pStyle w:val="Compact"/>
              <w:jc w:val="left"/>
            </w:pPr>
            <w:r>
              <w:rPr>
                <w:b/>
                <w:bCs/>
              </w:rPr>
              <w:t xml:space="preserve">B. Supply Chain</w:t>
            </w:r>
          </w:p>
        </w:tc>
        <w:tc>
          <w:tcPr/>
          <w:p>
            <w:pPr>
              <w:pStyle w:val="Compact"/>
              <w:jc w:val="left"/>
            </w:pPr>
            <w:r>
              <w:t xml:space="preserve">IOL procurement and distribution</w:t>
            </w:r>
          </w:p>
        </w:tc>
        <w:tc>
          <w:tcPr/>
          <w:p>
            <w:pPr>
              <w:pStyle w:val="Compact"/>
              <w:jc w:val="center"/>
            </w:pPr>
            <w:r>
              <w:t xml:space="preserve">15</w:t>
            </w:r>
          </w:p>
        </w:tc>
      </w:tr>
      <w:tr>
        <w:tc>
          <w:tcPr/>
          <w:p>
            <w:pPr>
              <w:pStyle w:val="Compact"/>
              <w:jc w:val="left"/>
            </w:pPr>
            <w:r>
              <w:rPr>
                <w:b/>
                <w:bCs/>
              </w:rPr>
              <w:t xml:space="preserve">C. Outcome Monitoring</w:t>
            </w:r>
          </w:p>
        </w:tc>
        <w:tc>
          <w:tcPr/>
          <w:p>
            <w:pPr>
              <w:pStyle w:val="Compact"/>
              <w:jc w:val="left"/>
            </w:pPr>
            <w:r>
              <w:t xml:space="preserve">Quality assurance for surgical outcomes</w:t>
            </w:r>
          </w:p>
        </w:tc>
        <w:tc>
          <w:tcPr/>
          <w:p>
            <w:pPr>
              <w:pStyle w:val="Compact"/>
              <w:jc w:val="center"/>
            </w:pPr>
            <w:r>
              <w:t xml:space="preserve">10</w:t>
            </w:r>
          </w:p>
        </w:tc>
      </w:tr>
      <w:tr>
        <w:tc>
          <w:tcPr/>
          <w:p>
            <w:pPr>
              <w:pStyle w:val="Compact"/>
              <w:jc w:val="left"/>
            </w:pPr>
            <w:r>
              <w:rPr>
                <w:b/>
                <w:bCs/>
              </w:rPr>
              <w:t xml:space="preserve">D. School Health</w:t>
            </w:r>
          </w:p>
        </w:tc>
        <w:tc>
          <w:tcPr/>
          <w:p>
            <w:pPr>
              <w:pStyle w:val="Compact"/>
              <w:jc w:val="left"/>
            </w:pPr>
            <w:r>
              <w:t xml:space="preserve">Childhood screening program</w:t>
            </w:r>
          </w:p>
        </w:tc>
        <w:tc>
          <w:tcPr/>
          <w:p>
            <w:pPr>
              <w:pStyle w:val="Compact"/>
              <w:jc w:val="center"/>
            </w:pPr>
            <w:r>
              <w:t xml:space="preserve">10</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60</w:t>
            </w:r>
          </w:p>
        </w:tc>
      </w:tr>
    </w:tbl>
    <w:bookmarkEnd w:id="566"/>
    <w:bookmarkEnd w:id="567"/>
    <w:bookmarkStart w:id="568" w:name="classification-result-17"/>
    <w:p>
      <w:pPr>
        <w:pStyle w:val="Heading3"/>
      </w:pPr>
      <w:r>
        <w:t xml:space="preserve">Classification Result</w:t>
      </w:r>
    </w:p>
    <w:tbl>
      <w:tblPr>
        <w:tblStyle w:val="Table"/>
        <w:tblW w:type="pct" w:w="5000"/>
        <w:tblLayout w:type="fixed"/>
        <w:tblLook w:firstRow="1" w:lastRow="0" w:firstColumn="0" w:lastColumn="0" w:noHBand="0" w:noVBand="0" w:val="0020"/>
      </w:tblPr>
      <w:tblGrid>
        <w:gridCol w:w="2489"/>
        <w:gridCol w:w="1584"/>
        <w:gridCol w:w="1357"/>
        <w:gridCol w:w="2489"/>
      </w:tblGrid>
      <w:tr>
        <w:trPr>
          <w:tblHeader w:val="on"/>
        </w:trPr>
        <w:tc>
          <w:tcPr/>
          <w:p>
            <w:pPr>
              <w:pStyle w:val="Compact"/>
              <w:jc w:val="left"/>
            </w:pPr>
            <w:r>
              <w:t xml:space="preserve">Framework</w:t>
            </w:r>
          </w:p>
        </w:tc>
        <w:tc>
          <w:tcPr/>
          <w:p>
            <w:pPr>
              <w:pStyle w:val="Compact"/>
              <w:jc w:val="left"/>
            </w:pPr>
            <w:r>
              <w:t xml:space="preserve">Score</w:t>
            </w:r>
          </w:p>
        </w:tc>
        <w:tc>
          <w:tcPr/>
          <w:p>
            <w:pPr>
              <w:pStyle w:val="Compact"/>
              <w:jc w:val="left"/>
            </w:pPr>
            <w:r>
              <w:t xml:space="preserve">Tier</w:t>
            </w:r>
          </w:p>
        </w:tc>
        <w:tc>
          <w:tcPr/>
          <w:p>
            <w:pPr>
              <w:pStyle w:val="Compact"/>
              <w:jc w:val="left"/>
            </w:pPr>
            <w:r>
              <w:t xml:space="preserve">Rationale</w:t>
            </w:r>
          </w:p>
        </w:tc>
      </w:tr>
      <w:tr>
        <w:tc>
          <w:tcPr/>
          <w:p>
            <w:pPr>
              <w:pStyle w:val="Compact"/>
              <w:jc w:val="left"/>
            </w:pPr>
            <w:r>
              <w:rPr>
                <w:b/>
                <w:bCs/>
              </w:rPr>
              <w:t xml:space="preserve">Developing Country</w:t>
            </w:r>
          </w:p>
        </w:tc>
        <w:tc>
          <w:tcPr/>
          <w:p>
            <w:pPr>
              <w:pStyle w:val="Compact"/>
              <w:jc w:val="left"/>
            </w:pPr>
            <w:r>
              <w:t xml:space="preserve">60</w:t>
            </w:r>
          </w:p>
        </w:tc>
        <w:tc>
          <w:tcPr/>
          <w:p>
            <w:pPr>
              <w:pStyle w:val="Compact"/>
              <w:jc w:val="left"/>
            </w:pPr>
            <w:r>
              <w:rPr>
                <w:b/>
                <w:bCs/>
              </w:rPr>
              <w:t xml:space="preserve">Tier 1 (Essential)</w:t>
            </w:r>
          </w:p>
        </w:tc>
        <w:tc>
          <w:tcPr/>
          <w:p>
            <w:pPr>
              <w:pStyle w:val="Compact"/>
              <w:jc w:val="left"/>
            </w:pPr>
            <w:r>
              <w:t xml:space="preserve">Largest national surgical program; supply chain criticality</w:t>
            </w:r>
          </w:p>
        </w:tc>
      </w:tr>
    </w:tbl>
    <w:bookmarkEnd w:id="568"/>
    <w:bookmarkStart w:id="569" w:name="applicable-obligations-14"/>
    <w:p>
      <w:pPr>
        <w:pStyle w:val="Heading3"/>
      </w:pPr>
      <w:r>
        <w:t xml:space="preserve">Applicable Obligations</w:t>
      </w:r>
    </w:p>
    <w:p>
      <w:pPr>
        <w:pStyle w:val="Compact"/>
        <w:numPr>
          <w:ilvl w:val="0"/>
          <w:numId w:val="1353"/>
        </w:numPr>
      </w:pPr>
      <w:r>
        <w:t xml:space="preserve">Program security focal point</w:t>
      </w:r>
    </w:p>
    <w:p>
      <w:pPr>
        <w:pStyle w:val="Compact"/>
        <w:numPr>
          <w:ilvl w:val="0"/>
          <w:numId w:val="1353"/>
        </w:numPr>
      </w:pPr>
      <w:r>
        <w:t xml:space="preserve">Annual audit of MIS and inventory systems</w:t>
      </w:r>
    </w:p>
    <w:p>
      <w:pPr>
        <w:pStyle w:val="Compact"/>
        <w:numPr>
          <w:ilvl w:val="0"/>
          <w:numId w:val="1353"/>
        </w:numPr>
      </w:pPr>
      <w:r>
        <w:t xml:space="preserve">48-hour incident reporting</w:t>
      </w:r>
    </w:p>
    <w:p>
      <w:pPr>
        <w:pStyle w:val="Compact"/>
        <w:numPr>
          <w:ilvl w:val="0"/>
          <w:numId w:val="1353"/>
        </w:numPr>
      </w:pPr>
      <w:r>
        <w:t xml:space="preserve">IOL supply chain system monitoring</w:t>
      </w:r>
    </w:p>
    <w:p>
      <w:pPr>
        <w:pStyle w:val="Compact"/>
        <w:numPr>
          <w:ilvl w:val="0"/>
          <w:numId w:val="1353"/>
        </w:numPr>
      </w:pPr>
      <w:r>
        <w:t xml:space="preserve">Outcome database integrity controls</w:t>
      </w:r>
    </w:p>
    <w:p>
      <w:pPr>
        <w:pStyle w:val="Compact"/>
        <w:numPr>
          <w:ilvl w:val="0"/>
          <w:numId w:val="1353"/>
        </w:numPr>
      </w:pPr>
      <w:r>
        <w:t xml:space="preserve">School screening data protection</w:t>
      </w:r>
    </w:p>
    <w:p>
      <w:pPr>
        <w:pStyle w:val="Compact"/>
        <w:numPr>
          <w:ilvl w:val="0"/>
          <w:numId w:val="1353"/>
        </w:numPr>
      </w:pPr>
      <w:r>
        <w:t xml:space="preserve">Private hospital integration security</w:t>
      </w:r>
    </w:p>
    <w:p>
      <w:r>
        <w:pict>
          <v:rect style="width:0;height:1.5pt" o:hralign="center" o:hrstd="t" o:hr="t"/>
        </w:pict>
      </w:r>
    </w:p>
    <w:bookmarkEnd w:id="569"/>
    <w:bookmarkEnd w:id="570"/>
    <w:bookmarkStart w:id="578" w:name="X3503d96ada4407f5b7d71a78481d593528e9559"/>
    <w:p>
      <w:pPr>
        <w:pStyle w:val="Heading2"/>
      </w:pPr>
      <w:r>
        <w:t xml:space="preserve">Case Study 5: National Nutrition Program -</w:t>
      </w:r>
      <w:r>
        <w:t xml:space="preserve"> </w:t>
      </w:r>
      <w:r>
        <w:t xml:space="preserve">“Poshan Rakshak”</w:t>
      </w:r>
    </w:p>
    <w:bookmarkStart w:id="571" w:name="entity-profile-18"/>
    <w:p>
      <w:pPr>
        <w:pStyle w:val="Heading3"/>
      </w:pPr>
      <w:r>
        <w:t xml:space="preserve">Entity Profile</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jc w:val="left"/>
            </w:pPr>
            <w:r>
              <w:t xml:space="preserve">Attribute</w:t>
            </w:r>
          </w:p>
        </w:tc>
        <w:tc>
          <w:tcPr/>
          <w:p>
            <w:pPr>
              <w:pStyle w:val="Compact"/>
              <w:jc w:val="left"/>
            </w:pPr>
            <w:r>
              <w:t xml:space="preserve">Details</w:t>
            </w:r>
          </w:p>
        </w:tc>
      </w:tr>
      <w:tr>
        <w:tc>
          <w:tcPr/>
          <w:p>
            <w:pPr>
              <w:pStyle w:val="Compact"/>
              <w:jc w:val="left"/>
            </w:pPr>
            <w:r>
              <w:rPr>
                <w:b/>
                <w:bCs/>
              </w:rPr>
              <w:t xml:space="preserve">Name</w:t>
            </w:r>
          </w:p>
        </w:tc>
        <w:tc>
          <w:tcPr/>
          <w:p>
            <w:pPr>
              <w:pStyle w:val="Compact"/>
              <w:jc w:val="left"/>
            </w:pPr>
            <w:r>
              <w:t xml:space="preserve">Poshan Rakshak (Integrated Child Development Services + POSHAN Abhiyaan)</w:t>
            </w:r>
          </w:p>
        </w:tc>
      </w:tr>
      <w:tr>
        <w:tc>
          <w:tcPr/>
          <w:p>
            <w:pPr>
              <w:pStyle w:val="Compact"/>
              <w:jc w:val="left"/>
            </w:pPr>
            <w:r>
              <w:rPr>
                <w:b/>
                <w:bCs/>
              </w:rPr>
              <w:t xml:space="preserve">Type</w:t>
            </w:r>
          </w:p>
        </w:tc>
        <w:tc>
          <w:tcPr/>
          <w:p>
            <w:pPr>
              <w:pStyle w:val="Compact"/>
              <w:jc w:val="left"/>
            </w:pPr>
            <w:r>
              <w:t xml:space="preserve">National nutrition supplementation and growth monitoring program</w:t>
            </w:r>
          </w:p>
        </w:tc>
      </w:tr>
      <w:tr>
        <w:tc>
          <w:tcPr/>
          <w:p>
            <w:pPr>
              <w:pStyle w:val="Compact"/>
              <w:jc w:val="left"/>
            </w:pPr>
            <w:r>
              <w:rPr>
                <w:b/>
                <w:bCs/>
              </w:rPr>
              <w:t xml:space="preserve">Operator</w:t>
            </w:r>
          </w:p>
        </w:tc>
        <w:tc>
          <w:tcPr/>
          <w:p>
            <w:pPr>
              <w:pStyle w:val="Compact"/>
              <w:jc w:val="left"/>
            </w:pPr>
            <w:r>
              <w:t xml:space="preserve">Ministry of Women and Child Development + Ministry of Health (joint)</w:t>
            </w:r>
          </w:p>
        </w:tc>
      </w:tr>
      <w:tr>
        <w:tc>
          <w:tcPr/>
          <w:p>
            <w:pPr>
              <w:pStyle w:val="Compact"/>
              <w:jc w:val="left"/>
            </w:pPr>
            <w:r>
              <w:rPr>
                <w:b/>
                <w:bCs/>
              </w:rPr>
              <w:t xml:space="preserve">Coverage</w:t>
            </w:r>
          </w:p>
        </w:tc>
        <w:tc>
          <w:tcPr/>
          <w:p>
            <w:pPr>
              <w:pStyle w:val="Compact"/>
              <w:jc w:val="left"/>
            </w:pPr>
            <w:r>
              <w:t xml:space="preserve">1.4 million Anganwadi centres; 14 crore children; 3.5 crore pregnant/lactating women</w:t>
            </w:r>
          </w:p>
        </w:tc>
      </w:tr>
      <w:tr>
        <w:tc>
          <w:tcPr/>
          <w:p>
            <w:pPr>
              <w:pStyle w:val="Compact"/>
              <w:jc w:val="left"/>
            </w:pPr>
            <w:r>
              <w:rPr>
                <w:b/>
                <w:bCs/>
              </w:rPr>
              <w:t xml:space="preserve">Functions</w:t>
            </w:r>
          </w:p>
        </w:tc>
        <w:tc>
          <w:tcPr/>
          <w:p>
            <w:pPr>
              <w:pStyle w:val="Compact"/>
              <w:jc w:val="left"/>
            </w:pPr>
            <w:r>
              <w:t xml:space="preserve">Growth monitoring, supplementary nutrition, immunization coordination, severe acute malnutrition (SAM) management</w:t>
            </w:r>
          </w:p>
        </w:tc>
      </w:tr>
      <w:tr>
        <w:tc>
          <w:tcPr/>
          <w:p>
            <w:pPr>
              <w:pStyle w:val="Compact"/>
              <w:jc w:val="left"/>
            </w:pPr>
            <w:r>
              <w:rPr>
                <w:b/>
                <w:bCs/>
              </w:rPr>
              <w:t xml:space="preserve">Key systems</w:t>
            </w:r>
          </w:p>
        </w:tc>
        <w:tc>
          <w:tcPr/>
          <w:p>
            <w:pPr>
              <w:pStyle w:val="Compact"/>
              <w:jc w:val="left"/>
            </w:pPr>
            <w:r>
              <w:t xml:space="preserve">ICDS-CAS (Common Application Software), Poshan Tracker, growth monitoring app, SAM referral system</w:t>
            </w:r>
          </w:p>
        </w:tc>
      </w:tr>
      <w:tr>
        <w:tc>
          <w:tcPr/>
          <w:p>
            <w:pPr>
              <w:pStyle w:val="Compact"/>
              <w:jc w:val="left"/>
            </w:pPr>
            <w:r>
              <w:rPr>
                <w:b/>
                <w:bCs/>
              </w:rPr>
              <w:t xml:space="preserve">Frontline workers</w:t>
            </w:r>
          </w:p>
        </w:tc>
        <w:tc>
          <w:tcPr/>
          <w:p>
            <w:pPr>
              <w:pStyle w:val="Compact"/>
              <w:jc w:val="left"/>
            </w:pPr>
            <w:r>
              <w:t xml:space="preserve">2.7 million Anganwadi workers with mobile devices</w:t>
            </w:r>
          </w:p>
        </w:tc>
      </w:tr>
      <w:tr>
        <w:tc>
          <w:tcPr/>
          <w:p>
            <w:pPr>
              <w:pStyle w:val="Compact"/>
              <w:jc w:val="left"/>
            </w:pPr>
            <w:r>
              <w:rPr>
                <w:b/>
                <w:bCs/>
              </w:rPr>
              <w:t xml:space="preserve">Integrations</w:t>
            </w:r>
          </w:p>
        </w:tc>
        <w:tc>
          <w:tcPr/>
          <w:p>
            <w:pPr>
              <w:pStyle w:val="Compact"/>
              <w:jc w:val="left"/>
            </w:pPr>
            <w:r>
              <w:t xml:space="preserve">Linked to immunization registry, MCTS (Mother and Child Tracking), hospital systems for SAM referrals</w:t>
            </w:r>
          </w:p>
        </w:tc>
      </w:tr>
      <w:tr>
        <w:tc>
          <w:tcPr/>
          <w:p>
            <w:pPr>
              <w:pStyle w:val="Compact"/>
              <w:jc w:val="left"/>
            </w:pPr>
            <w:r>
              <w:rPr>
                <w:b/>
                <w:bCs/>
              </w:rPr>
              <w:t xml:space="preserve">Special consideration</w:t>
            </w:r>
          </w:p>
        </w:tc>
        <w:tc>
          <w:tcPr/>
          <w:p>
            <w:pPr>
              <w:pStyle w:val="Compact"/>
              <w:jc w:val="left"/>
            </w:pPr>
            <w:r>
              <w:rPr>
                <w:b/>
                <w:bCs/>
              </w:rPr>
              <w:t xml:space="preserve">Largest nutrition program globally; child survival dependency</w:t>
            </w:r>
          </w:p>
        </w:tc>
      </w:tr>
    </w:tbl>
    <w:bookmarkEnd w:id="571"/>
    <w:bookmarkStart w:id="575" w:name="cii-classification-assessment-18"/>
    <w:p>
      <w:pPr>
        <w:pStyle w:val="Heading3"/>
      </w:pPr>
      <w:r>
        <w:t xml:space="preserve">CII Classification Assessment</w:t>
      </w:r>
    </w:p>
    <w:bookmarkStart w:id="572" w:name="automatic-tier-1-trigger-analysis-4"/>
    <w:p>
      <w:pPr>
        <w:pStyle w:val="Heading4"/>
      </w:pPr>
      <w:r>
        <w:t xml:space="preserve">Automatic Tier 1 Trigger Analysis</w:t>
      </w:r>
    </w:p>
    <w:tbl>
      <w:tblPr>
        <w:tblStyle w:val="Table"/>
        <w:tblW w:type="pct" w:w="5000"/>
        <w:tblLayout w:type="fixed"/>
        <w:tblLook w:firstRow="1" w:lastRow="0" w:firstColumn="0" w:lastColumn="0" w:noHBand="0" w:noVBand="0" w:val="0020"/>
      </w:tblPr>
      <w:tblGrid>
        <w:gridCol w:w="6034"/>
        <w:gridCol w:w="1885"/>
      </w:tblGrid>
      <w:tr>
        <w:trPr>
          <w:tblHeader w:val="on"/>
        </w:trPr>
        <w:tc>
          <w:tcPr/>
          <w:p>
            <w:pPr>
              <w:pStyle w:val="Compact"/>
              <w:jc w:val="left"/>
            </w:pPr>
            <w:r>
              <w:t xml:space="preserve">“Regardless of Size”</w:t>
            </w:r>
            <w:r>
              <w:t xml:space="preserve"> </w:t>
            </w:r>
            <w:r>
              <w:t xml:space="preserve">Criterion</w:t>
            </w:r>
          </w:p>
        </w:tc>
        <w:tc>
          <w:tcPr/>
          <w:p>
            <w:pPr>
              <w:pStyle w:val="Compact"/>
              <w:jc w:val="center"/>
            </w:pPr>
            <w:r>
              <w:t xml:space="preserve">Applies?</w:t>
            </w:r>
          </w:p>
        </w:tc>
      </w:tr>
      <w:tr>
        <w:tc>
          <w:tcPr/>
          <w:p>
            <w:pPr>
              <w:pStyle w:val="Compact"/>
              <w:jc w:val="left"/>
            </w:pPr>
            <w:r>
              <w:t xml:space="preserve">National child health program</w:t>
            </w:r>
          </w:p>
        </w:tc>
        <w:tc>
          <w:tcPr/>
          <w:p>
            <w:pPr>
              <w:pStyle w:val="Compact"/>
              <w:jc w:val="center"/>
            </w:pPr>
            <w:r>
              <w:t xml:space="preserve">✓</w:t>
            </w:r>
          </w:p>
        </w:tc>
      </w:tr>
      <w:tr>
        <w:tc>
          <w:tcPr/>
          <w:p>
            <w:pPr>
              <w:pStyle w:val="Compact"/>
              <w:jc w:val="left"/>
            </w:pPr>
            <w:r>
              <w:t xml:space="preserve">Life-critical for vulnerable populations (children, pregnant women)</w:t>
            </w:r>
          </w:p>
        </w:tc>
        <w:tc>
          <w:tcPr/>
          <w:p>
            <w:pPr>
              <w:pStyle w:val="Compact"/>
              <w:jc w:val="center"/>
            </w:pPr>
            <w:r>
              <w:t xml:space="preserve">✓</w:t>
            </w:r>
          </w:p>
        </w:tc>
      </w:tr>
      <w:tr>
        <w:tc>
          <w:tcPr/>
          <w:p>
            <w:pPr>
              <w:pStyle w:val="Compact"/>
              <w:jc w:val="left"/>
            </w:pPr>
            <w:r>
              <w:t xml:space="preserve">Supply chain for nutrition supplements</w:t>
            </w:r>
          </w:p>
        </w:tc>
        <w:tc>
          <w:tcPr/>
          <w:p>
            <w:pPr>
              <w:pStyle w:val="Compact"/>
              <w:jc w:val="center"/>
            </w:pPr>
            <w:r>
              <w:t xml:space="preserve">✓</w:t>
            </w:r>
          </w:p>
        </w:tc>
      </w:tr>
      <w:tr>
        <w:tc>
          <w:tcPr/>
          <w:p>
            <w:pPr>
              <w:pStyle w:val="Compact"/>
              <w:jc w:val="left"/>
            </w:pPr>
            <w:r>
              <w:t xml:space="preserve">Frontline health worker coordination</w:t>
            </w:r>
          </w:p>
        </w:tc>
        <w:tc>
          <w:tcPr/>
          <w:p>
            <w:pPr>
              <w:pStyle w:val="Compact"/>
              <w:jc w:val="center"/>
            </w:pPr>
            <w:r>
              <w:t xml:space="preserve">✓</w:t>
            </w:r>
          </w:p>
        </w:tc>
      </w:tr>
    </w:tbl>
    <w:bookmarkEnd w:id="572"/>
    <w:bookmarkStart w:id="573" w:name="key-risk-factors-7"/>
    <w:p>
      <w:pPr>
        <w:pStyle w:val="Heading4"/>
      </w:pPr>
      <w:r>
        <w:t xml:space="preserve">Key Risk Factors</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jc w:val="left"/>
            </w:pPr>
            <w:r>
              <w:t xml:space="preserve">Factor</w:t>
            </w:r>
          </w:p>
        </w:tc>
        <w:tc>
          <w:tcPr/>
          <w:p>
            <w:pPr>
              <w:pStyle w:val="Compact"/>
              <w:jc w:val="left"/>
            </w:pPr>
            <w:r>
              <w:t xml:space="preserve">Assessment</w:t>
            </w:r>
          </w:p>
        </w:tc>
      </w:tr>
      <w:tr>
        <w:tc>
          <w:tcPr/>
          <w:p>
            <w:pPr>
              <w:pStyle w:val="Compact"/>
              <w:jc w:val="left"/>
            </w:pPr>
            <w:r>
              <w:rPr>
                <w:b/>
                <w:bCs/>
              </w:rPr>
              <w:t xml:space="preserve">Population</w:t>
            </w:r>
          </w:p>
        </w:tc>
        <w:tc>
          <w:tcPr/>
          <w:p>
            <w:pPr>
              <w:pStyle w:val="Compact"/>
              <w:jc w:val="left"/>
            </w:pPr>
            <w:r>
              <w:t xml:space="preserve">14 crore children + 3.5 crore PLW = 175M beneficiaries</w:t>
            </w:r>
          </w:p>
        </w:tc>
      </w:tr>
      <w:tr>
        <w:tc>
          <w:tcPr/>
          <w:p>
            <w:pPr>
              <w:pStyle w:val="Compact"/>
              <w:jc w:val="left"/>
            </w:pPr>
            <w:r>
              <w:rPr>
                <w:b/>
                <w:bCs/>
              </w:rPr>
              <w:t xml:space="preserve">Life-critical</w:t>
            </w:r>
          </w:p>
        </w:tc>
        <w:tc>
          <w:tcPr/>
          <w:p>
            <w:pPr>
              <w:pStyle w:val="Compact"/>
              <w:jc w:val="left"/>
            </w:pPr>
            <w:r>
              <w:t xml:space="preserve">SAM management prevents child deaths</w:t>
            </w:r>
          </w:p>
        </w:tc>
      </w:tr>
      <w:tr>
        <w:tc>
          <w:tcPr/>
          <w:p>
            <w:pPr>
              <w:pStyle w:val="Compact"/>
              <w:jc w:val="left"/>
            </w:pPr>
            <w:r>
              <w:rPr>
                <w:b/>
                <w:bCs/>
              </w:rPr>
              <w:t xml:space="preserve">Supply chain</w:t>
            </w:r>
          </w:p>
        </w:tc>
        <w:tc>
          <w:tcPr/>
          <w:p>
            <w:pPr>
              <w:pStyle w:val="Compact"/>
              <w:jc w:val="left"/>
            </w:pPr>
            <w:r>
              <w:t xml:space="preserve">Supplementary nutrition distribution</w:t>
            </w:r>
          </w:p>
        </w:tc>
      </w:tr>
      <w:tr>
        <w:tc>
          <w:tcPr/>
          <w:p>
            <w:pPr>
              <w:pStyle w:val="Compact"/>
              <w:jc w:val="left"/>
            </w:pPr>
            <w:r>
              <w:rPr>
                <w:b/>
                <w:bCs/>
              </w:rPr>
              <w:t xml:space="preserve">Data scale</w:t>
            </w:r>
          </w:p>
        </w:tc>
        <w:tc>
          <w:tcPr/>
          <w:p>
            <w:pPr>
              <w:pStyle w:val="Compact"/>
              <w:jc w:val="left"/>
            </w:pPr>
            <w:r>
              <w:t xml:space="preserve">2.7M frontline workers generating daily data</w:t>
            </w:r>
          </w:p>
        </w:tc>
      </w:tr>
      <w:tr>
        <w:tc>
          <w:tcPr/>
          <w:p>
            <w:pPr>
              <w:pStyle w:val="Compact"/>
              <w:jc w:val="left"/>
            </w:pPr>
            <w:r>
              <w:rPr>
                <w:b/>
                <w:bCs/>
              </w:rPr>
              <w:t xml:space="preserve">Integration complexity</w:t>
            </w:r>
          </w:p>
        </w:tc>
        <w:tc>
          <w:tcPr/>
          <w:p>
            <w:pPr>
              <w:pStyle w:val="Compact"/>
              <w:jc w:val="left"/>
            </w:pPr>
            <w:r>
              <w:t xml:space="preserve">Multi-ministry, multi-system integration</w:t>
            </w:r>
          </w:p>
        </w:tc>
      </w:tr>
    </w:tbl>
    <w:bookmarkEnd w:id="573"/>
    <w:bookmarkStart w:id="574" w:name="scoring-developing-country-framework-13"/>
    <w:p>
      <w:pPr>
        <w:pStyle w:val="Heading4"/>
      </w:pPr>
      <w:r>
        <w:t xml:space="preserve">Scoring (Developing Country Framework)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Criterion</w:t>
            </w:r>
          </w:p>
        </w:tc>
        <w:tc>
          <w:tcPr/>
          <w:p>
            <w:pPr>
              <w:pStyle w:val="Compact"/>
              <w:jc w:val="center"/>
            </w:pPr>
            <w:r>
              <w:t xml:space="preserve">Points Scored</w:t>
            </w:r>
          </w:p>
        </w:tc>
      </w:tr>
      <w:tr>
        <w:tc>
          <w:tcPr/>
          <w:p>
            <w:pPr>
              <w:pStyle w:val="Compact"/>
              <w:jc w:val="left"/>
            </w:pPr>
            <w:r>
              <w:rPr>
                <w:b/>
                <w:bCs/>
              </w:rPr>
              <w:t xml:space="preserve">A. Beneficiary Scale</w:t>
            </w:r>
          </w:p>
        </w:tc>
        <w:tc>
          <w:tcPr/>
          <w:p>
            <w:pPr>
              <w:pStyle w:val="Compact"/>
              <w:jc w:val="left"/>
            </w:pPr>
            <w:r>
              <w:t xml:space="preserve">175M beneficiaries (children + PLW)</w:t>
            </w:r>
          </w:p>
        </w:tc>
        <w:tc>
          <w:tcPr/>
          <w:p>
            <w:pPr>
              <w:pStyle w:val="Compact"/>
              <w:jc w:val="center"/>
            </w:pPr>
            <w:r>
              <w:t xml:space="preserve">30</w:t>
            </w:r>
          </w:p>
        </w:tc>
      </w:tr>
      <w:tr>
        <w:tc>
          <w:tcPr/>
          <w:p>
            <w:pPr>
              <w:pStyle w:val="Compact"/>
              <w:jc w:val="left"/>
            </w:pPr>
            <w:r>
              <w:rPr>
                <w:b/>
                <w:bCs/>
              </w:rPr>
              <w:t xml:space="preserve">B. Life-Critical Function</w:t>
            </w:r>
          </w:p>
        </w:tc>
        <w:tc>
          <w:tcPr/>
          <w:p>
            <w:pPr>
              <w:pStyle w:val="Compact"/>
              <w:jc w:val="left"/>
            </w:pPr>
            <w:r>
              <w:t xml:space="preserve">SAM management; child survival</w:t>
            </w:r>
          </w:p>
        </w:tc>
        <w:tc>
          <w:tcPr/>
          <w:p>
            <w:pPr>
              <w:pStyle w:val="Compact"/>
              <w:jc w:val="center"/>
            </w:pPr>
            <w:r>
              <w:t xml:space="preserve">25</w:t>
            </w:r>
          </w:p>
        </w:tc>
      </w:tr>
      <w:tr>
        <w:tc>
          <w:tcPr/>
          <w:p>
            <w:pPr>
              <w:pStyle w:val="Compact"/>
              <w:jc w:val="left"/>
            </w:pPr>
            <w:r>
              <w:rPr>
                <w:b/>
                <w:bCs/>
              </w:rPr>
              <w:t xml:space="preserve">C. Supply Chain</w:t>
            </w:r>
          </w:p>
        </w:tc>
        <w:tc>
          <w:tcPr/>
          <w:p>
            <w:pPr>
              <w:pStyle w:val="Compact"/>
              <w:jc w:val="left"/>
            </w:pPr>
            <w:r>
              <w:t xml:space="preserve">Nutrition supplement distribution</w:t>
            </w:r>
          </w:p>
        </w:tc>
        <w:tc>
          <w:tcPr/>
          <w:p>
            <w:pPr>
              <w:pStyle w:val="Compact"/>
              <w:jc w:val="center"/>
            </w:pPr>
            <w:r>
              <w:t xml:space="preserve">15</w:t>
            </w:r>
          </w:p>
        </w:tc>
      </w:tr>
      <w:tr>
        <w:tc>
          <w:tcPr/>
          <w:p>
            <w:pPr>
              <w:pStyle w:val="Compact"/>
              <w:jc w:val="left"/>
            </w:pPr>
            <w:r>
              <w:rPr>
                <w:b/>
                <w:bCs/>
              </w:rPr>
              <w:t xml:space="preserve">D. Frontline Worker Coordination</w:t>
            </w:r>
          </w:p>
        </w:tc>
        <w:tc>
          <w:tcPr/>
          <w:p>
            <w:pPr>
              <w:pStyle w:val="Compact"/>
              <w:jc w:val="left"/>
            </w:pPr>
            <w:r>
              <w:t xml:space="preserve">2.7M Anganwadi workers</w:t>
            </w:r>
          </w:p>
        </w:tc>
        <w:tc>
          <w:tcPr/>
          <w:p>
            <w:pPr>
              <w:pStyle w:val="Compact"/>
              <w:jc w:val="center"/>
            </w:pPr>
            <w:r>
              <w:t xml:space="preserve">10</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80</w:t>
            </w:r>
          </w:p>
        </w:tc>
      </w:tr>
    </w:tbl>
    <w:bookmarkEnd w:id="574"/>
    <w:bookmarkEnd w:id="575"/>
    <w:bookmarkStart w:id="576" w:name="classification-result-18"/>
    <w:p>
      <w:pPr>
        <w:pStyle w:val="Heading3"/>
      </w:pPr>
      <w:r>
        <w:t xml:space="preserve">Classification Result</w:t>
      </w:r>
    </w:p>
    <w:tbl>
      <w:tblPr>
        <w:tblStyle w:val="Table"/>
        <w:tblW w:type="pct" w:w="5000"/>
        <w:tblLayout w:type="fixed"/>
        <w:tblLook w:firstRow="1" w:lastRow="0" w:firstColumn="0" w:lastColumn="0" w:noHBand="0" w:noVBand="0" w:val="0020"/>
      </w:tblPr>
      <w:tblGrid>
        <w:gridCol w:w="2489"/>
        <w:gridCol w:w="1584"/>
        <w:gridCol w:w="1357"/>
        <w:gridCol w:w="2489"/>
      </w:tblGrid>
      <w:tr>
        <w:trPr>
          <w:tblHeader w:val="on"/>
        </w:trPr>
        <w:tc>
          <w:tcPr/>
          <w:p>
            <w:pPr>
              <w:pStyle w:val="Compact"/>
              <w:jc w:val="left"/>
            </w:pPr>
            <w:r>
              <w:t xml:space="preserve">Framework</w:t>
            </w:r>
          </w:p>
        </w:tc>
        <w:tc>
          <w:tcPr/>
          <w:p>
            <w:pPr>
              <w:pStyle w:val="Compact"/>
              <w:jc w:val="left"/>
            </w:pPr>
            <w:r>
              <w:t xml:space="preserve">Score</w:t>
            </w:r>
          </w:p>
        </w:tc>
        <w:tc>
          <w:tcPr/>
          <w:p>
            <w:pPr>
              <w:pStyle w:val="Compact"/>
              <w:jc w:val="left"/>
            </w:pPr>
            <w:r>
              <w:t xml:space="preserve">Tier</w:t>
            </w:r>
          </w:p>
        </w:tc>
        <w:tc>
          <w:tcPr/>
          <w:p>
            <w:pPr>
              <w:pStyle w:val="Compact"/>
              <w:jc w:val="left"/>
            </w:pPr>
            <w:r>
              <w:t xml:space="preserve">Rationale</w:t>
            </w:r>
          </w:p>
        </w:tc>
      </w:tr>
      <w:tr>
        <w:tc>
          <w:tcPr/>
          <w:p>
            <w:pPr>
              <w:pStyle w:val="Compact"/>
              <w:jc w:val="left"/>
            </w:pPr>
            <w:r>
              <w:rPr>
                <w:b/>
                <w:bCs/>
              </w:rPr>
              <w:t xml:space="preserve">Developing Country</w:t>
            </w:r>
          </w:p>
        </w:tc>
        <w:tc>
          <w:tcPr/>
          <w:p>
            <w:pPr>
              <w:pStyle w:val="Compact"/>
              <w:jc w:val="left"/>
            </w:pPr>
            <w:r>
              <w:t xml:space="preserve">80</w:t>
            </w:r>
          </w:p>
        </w:tc>
        <w:tc>
          <w:tcPr/>
          <w:p>
            <w:pPr>
              <w:pStyle w:val="Compact"/>
              <w:jc w:val="left"/>
            </w:pPr>
            <w:r>
              <w:rPr>
                <w:b/>
                <w:bCs/>
              </w:rPr>
              <w:t xml:space="preserve">Tier 1 (Essential)</w:t>
            </w:r>
          </w:p>
        </w:tc>
        <w:tc>
          <w:tcPr/>
          <w:p>
            <w:pPr>
              <w:pStyle w:val="Compact"/>
              <w:jc w:val="left"/>
            </w:pPr>
            <w:r>
              <w:t xml:space="preserve">Largest nutrition program; child survival dependency; automatic trigger</w:t>
            </w:r>
          </w:p>
        </w:tc>
      </w:tr>
    </w:tbl>
    <w:p>
      <w:pPr>
        <w:pStyle w:val="BlockText"/>
      </w:pPr>
      <w:r>
        <w:t xml:space="preserve">[!CAUTION]</w:t>
      </w:r>
      <w:r>
        <w:t xml:space="preserve"> </w:t>
      </w:r>
      <w:r>
        <w:t xml:space="preserve">Nutrition programs have</w:t>
      </w:r>
      <w:r>
        <w:t xml:space="preserve"> </w:t>
      </w:r>
      <w:r>
        <w:rPr>
          <w:b/>
          <w:bCs/>
        </w:rPr>
        <w:t xml:space="preserve">immediate life-safety implications for vulnerable populations</w:t>
      </w:r>
      <w:r>
        <w:t xml:space="preserve">. Growth faltering detection delays directly increase child mortality. SAM referral system disruption is equivalent to emergency care disruption. This is</w:t>
      </w:r>
      <w:r>
        <w:t xml:space="preserve"> </w:t>
      </w:r>
      <w:r>
        <w:rPr>
          <w:b/>
          <w:bCs/>
        </w:rPr>
        <w:t xml:space="preserve">non-negotiable Tier 1</w:t>
      </w:r>
      <w:r>
        <w:t xml:space="preserve">.</w:t>
      </w:r>
    </w:p>
    <w:bookmarkEnd w:id="576"/>
    <w:bookmarkStart w:id="577" w:name="applicable-obligations-15"/>
    <w:p>
      <w:pPr>
        <w:pStyle w:val="Heading3"/>
      </w:pPr>
      <w:r>
        <w:t xml:space="preserve">Applicable Obligations</w:t>
      </w:r>
    </w:p>
    <w:p>
      <w:pPr>
        <w:pStyle w:val="Compact"/>
        <w:numPr>
          <w:ilvl w:val="0"/>
          <w:numId w:val="1354"/>
        </w:numPr>
      </w:pPr>
      <w:r>
        <w:t xml:space="preserve">Dedicated program security officer</w:t>
      </w:r>
    </w:p>
    <w:p>
      <w:pPr>
        <w:pStyle w:val="Compact"/>
        <w:numPr>
          <w:ilvl w:val="0"/>
          <w:numId w:val="1354"/>
        </w:numPr>
      </w:pPr>
      <w:r>
        <w:t xml:space="preserve">Annual audit of Poshan Tracker and ICDS-CAS</w:t>
      </w:r>
    </w:p>
    <w:p>
      <w:pPr>
        <w:pStyle w:val="Compact"/>
        <w:numPr>
          <w:ilvl w:val="0"/>
          <w:numId w:val="1354"/>
        </w:numPr>
      </w:pPr>
      <w:r>
        <w:t xml:space="preserve">24-hour incident reporting (given life-safety for children)</w:t>
      </w:r>
    </w:p>
    <w:p>
      <w:pPr>
        <w:pStyle w:val="Compact"/>
        <w:numPr>
          <w:ilvl w:val="0"/>
          <w:numId w:val="1354"/>
        </w:numPr>
      </w:pPr>
      <w:r>
        <w:t xml:space="preserve">SAM referral system high-availability requirements</w:t>
      </w:r>
    </w:p>
    <w:p>
      <w:pPr>
        <w:pStyle w:val="Compact"/>
        <w:numPr>
          <w:ilvl w:val="0"/>
          <w:numId w:val="1354"/>
        </w:numPr>
      </w:pPr>
      <w:r>
        <w:t xml:space="preserve">Supply chain system integrity monitoring</w:t>
      </w:r>
    </w:p>
    <w:p>
      <w:pPr>
        <w:pStyle w:val="Compact"/>
        <w:numPr>
          <w:ilvl w:val="0"/>
          <w:numId w:val="1354"/>
        </w:numPr>
      </w:pPr>
      <w:r>
        <w:t xml:space="preserve">Frontline worker device security (2.7M mobile endpoints)</w:t>
      </w:r>
    </w:p>
    <w:p>
      <w:pPr>
        <w:pStyle w:val="Compact"/>
        <w:numPr>
          <w:ilvl w:val="0"/>
          <w:numId w:val="1354"/>
        </w:numPr>
      </w:pPr>
      <w:r>
        <w:t xml:space="preserve">Multi-ministry coordination security protocols</w:t>
      </w:r>
    </w:p>
    <w:p>
      <w:pPr>
        <w:pStyle w:val="Compact"/>
        <w:numPr>
          <w:ilvl w:val="0"/>
          <w:numId w:val="1354"/>
        </w:numPr>
      </w:pPr>
      <w:r>
        <w:t xml:space="preserve">Growth data integrity controls (false data affects intervention targeting)</w:t>
      </w:r>
    </w:p>
    <w:p>
      <w:pPr>
        <w:pStyle w:val="Compact"/>
        <w:numPr>
          <w:ilvl w:val="0"/>
          <w:numId w:val="1354"/>
        </w:numPr>
      </w:pPr>
      <w:r>
        <w:t xml:space="preserve">Immunization linkage security</w:t>
      </w:r>
    </w:p>
    <w:p>
      <w:r>
        <w:pict>
          <v:rect style="width:0;height:1.5pt" o:hralign="center" o:hrstd="t" o:hr="t"/>
        </w:pict>
      </w:r>
    </w:p>
    <w:bookmarkEnd w:id="577"/>
    <w:bookmarkEnd w:id="578"/>
    <w:bookmarkStart w:id="580" w:name="X8653f215174ec3ff8e410f356245d28b0ad53b8"/>
    <w:p>
      <w:pPr>
        <w:pStyle w:val="Heading2"/>
      </w:pPr>
      <w:r>
        <w:t xml:space="preserve">Summary: Public Health Program Classification</w:t>
      </w:r>
    </w:p>
    <w:tbl>
      <w:tblPr>
        <w:tblStyle w:val="Table"/>
        <w:tblW w:type="pct" w:w="5000"/>
        <w:tblLayout w:type="fixed"/>
        <w:tblLook w:firstRow="1" w:lastRow="0" w:firstColumn="0" w:lastColumn="0" w:noHBand="0" w:noVBand="0" w:val="0020"/>
      </w:tblPr>
      <w:tblGrid>
        <w:gridCol w:w="2436"/>
        <w:gridCol w:w="2843"/>
        <w:gridCol w:w="1421"/>
        <w:gridCol w:w="1218"/>
      </w:tblGrid>
      <w:tr>
        <w:trPr>
          <w:tblHeader w:val="on"/>
        </w:trPr>
        <w:tc>
          <w:tcPr/>
          <w:p>
            <w:pPr>
              <w:pStyle w:val="Compact"/>
              <w:jc w:val="left"/>
            </w:pPr>
            <w:r>
              <w:t xml:space="preserve">Case Study</w:t>
            </w:r>
          </w:p>
        </w:tc>
        <w:tc>
          <w:tcPr/>
          <w:p>
            <w:pPr>
              <w:pStyle w:val="Compact"/>
              <w:jc w:val="left"/>
            </w:pPr>
            <w:r>
              <w:t xml:space="preserve">Program Type</w:t>
            </w:r>
          </w:p>
        </w:tc>
        <w:tc>
          <w:tcPr/>
          <w:p>
            <w:pPr>
              <w:pStyle w:val="Compact"/>
              <w:jc w:val="center"/>
            </w:pPr>
            <w:r>
              <w:t xml:space="preserve">Score</w:t>
            </w:r>
          </w:p>
        </w:tc>
        <w:tc>
          <w:tcPr/>
          <w:p>
            <w:pPr>
              <w:pStyle w:val="Compact"/>
              <w:jc w:val="center"/>
            </w:pPr>
            <w:r>
              <w:t xml:space="preserve">Tier</w:t>
            </w:r>
          </w:p>
        </w:tc>
      </w:tr>
      <w:tr>
        <w:tc>
          <w:tcPr/>
          <w:p>
            <w:pPr>
              <w:pStyle w:val="Compact"/>
              <w:jc w:val="left"/>
            </w:pPr>
            <w:r>
              <w:t xml:space="preserve">SurveilHealth</w:t>
            </w:r>
          </w:p>
        </w:tc>
        <w:tc>
          <w:tcPr/>
          <w:p>
            <w:pPr>
              <w:pStyle w:val="Compact"/>
              <w:jc w:val="left"/>
            </w:pPr>
            <w:r>
              <w:t xml:space="preserve">Disease surveillance</w:t>
            </w:r>
          </w:p>
        </w:tc>
        <w:tc>
          <w:tcPr/>
          <w:p>
            <w:pPr>
              <w:pStyle w:val="Compact"/>
              <w:jc w:val="center"/>
            </w:pPr>
            <w:r>
              <w:t xml:space="preserve">85</w:t>
            </w:r>
          </w:p>
        </w:tc>
        <w:tc>
          <w:tcPr/>
          <w:p>
            <w:pPr>
              <w:pStyle w:val="Compact"/>
              <w:jc w:val="center"/>
            </w:pPr>
            <w:r>
              <w:rPr>
                <w:b/>
                <w:bCs/>
              </w:rPr>
              <w:t xml:space="preserve">Tier 1</w:t>
            </w:r>
            <w:r>
              <w:t xml:space="preserve"> </w:t>
            </w:r>
            <w:r>
              <w:t xml:space="preserve">(auto)</w:t>
            </w:r>
          </w:p>
        </w:tc>
      </w:tr>
      <w:tr>
        <w:tc>
          <w:tcPr/>
          <w:p>
            <w:pPr>
              <w:pStyle w:val="Compact"/>
              <w:jc w:val="left"/>
            </w:pPr>
            <w:r>
              <w:t xml:space="preserve">TB-Mukt Bharat</w:t>
            </w:r>
          </w:p>
        </w:tc>
        <w:tc>
          <w:tcPr/>
          <w:p>
            <w:pPr>
              <w:pStyle w:val="Compact"/>
              <w:jc w:val="left"/>
            </w:pPr>
            <w:r>
              <w:t xml:space="preserve">TB elimination</w:t>
            </w:r>
          </w:p>
        </w:tc>
        <w:tc>
          <w:tcPr/>
          <w:p>
            <w:pPr>
              <w:pStyle w:val="Compact"/>
              <w:jc w:val="center"/>
            </w:pPr>
            <w:r>
              <w:t xml:space="preserve">80</w:t>
            </w:r>
          </w:p>
        </w:tc>
        <w:tc>
          <w:tcPr/>
          <w:p>
            <w:pPr>
              <w:pStyle w:val="Compact"/>
              <w:jc w:val="center"/>
            </w:pPr>
            <w:r>
              <w:rPr>
                <w:b/>
                <w:bCs/>
              </w:rPr>
              <w:t xml:space="preserve">Tier 1</w:t>
            </w:r>
            <w:r>
              <w:t xml:space="preserve"> </w:t>
            </w:r>
            <w:r>
              <w:t xml:space="preserve">(auto)</w:t>
            </w:r>
          </w:p>
        </w:tc>
      </w:tr>
      <w:tr>
        <w:tc>
          <w:tcPr/>
          <w:p>
            <w:pPr>
              <w:pStyle w:val="Compact"/>
              <w:jc w:val="left"/>
            </w:pPr>
            <w:r>
              <w:t xml:space="preserve">Sankalp</w:t>
            </w:r>
          </w:p>
        </w:tc>
        <w:tc>
          <w:tcPr/>
          <w:p>
            <w:pPr>
              <w:pStyle w:val="Compact"/>
              <w:jc w:val="left"/>
            </w:pPr>
            <w:r>
              <w:t xml:space="preserve">NCD control</w:t>
            </w:r>
          </w:p>
        </w:tc>
        <w:tc>
          <w:tcPr/>
          <w:p>
            <w:pPr>
              <w:pStyle w:val="Compact"/>
              <w:jc w:val="center"/>
            </w:pPr>
            <w:r>
              <w:t xml:space="preserve">75</w:t>
            </w:r>
          </w:p>
        </w:tc>
        <w:tc>
          <w:tcPr/>
          <w:p>
            <w:pPr>
              <w:pStyle w:val="Compact"/>
              <w:jc w:val="center"/>
            </w:pPr>
            <w:r>
              <w:rPr>
                <w:b/>
                <w:bCs/>
              </w:rPr>
              <w:t xml:space="preserve">Tier 1</w:t>
            </w:r>
          </w:p>
        </w:tc>
      </w:tr>
      <w:tr>
        <w:tc>
          <w:tcPr/>
          <w:p>
            <w:pPr>
              <w:pStyle w:val="Compact"/>
              <w:jc w:val="left"/>
            </w:pPr>
            <w:r>
              <w:t xml:space="preserve">DrishtiRaksha</w:t>
            </w:r>
          </w:p>
        </w:tc>
        <w:tc>
          <w:tcPr/>
          <w:p>
            <w:pPr>
              <w:pStyle w:val="Compact"/>
              <w:jc w:val="left"/>
            </w:pPr>
            <w:r>
              <w:t xml:space="preserve">Blindness control</w:t>
            </w:r>
          </w:p>
        </w:tc>
        <w:tc>
          <w:tcPr/>
          <w:p>
            <w:pPr>
              <w:pStyle w:val="Compact"/>
              <w:jc w:val="center"/>
            </w:pPr>
            <w:r>
              <w:t xml:space="preserve">60</w:t>
            </w:r>
          </w:p>
        </w:tc>
        <w:tc>
          <w:tcPr/>
          <w:p>
            <w:pPr>
              <w:pStyle w:val="Compact"/>
              <w:jc w:val="center"/>
            </w:pPr>
            <w:r>
              <w:rPr>
                <w:b/>
                <w:bCs/>
              </w:rPr>
              <w:t xml:space="preserve">Tier 1</w:t>
            </w:r>
          </w:p>
        </w:tc>
      </w:tr>
      <w:tr>
        <w:tc>
          <w:tcPr/>
          <w:p>
            <w:pPr>
              <w:pStyle w:val="Compact"/>
              <w:jc w:val="left"/>
            </w:pPr>
            <w:r>
              <w:t xml:space="preserve">Poshan Rakshak</w:t>
            </w:r>
          </w:p>
        </w:tc>
        <w:tc>
          <w:tcPr/>
          <w:p>
            <w:pPr>
              <w:pStyle w:val="Compact"/>
              <w:jc w:val="left"/>
            </w:pPr>
            <w:r>
              <w:t xml:space="preserve">Nutrition/growth monitoring</w:t>
            </w:r>
          </w:p>
        </w:tc>
        <w:tc>
          <w:tcPr/>
          <w:p>
            <w:pPr>
              <w:pStyle w:val="Compact"/>
              <w:jc w:val="center"/>
            </w:pPr>
            <w:r>
              <w:t xml:space="preserve">80</w:t>
            </w:r>
          </w:p>
        </w:tc>
        <w:tc>
          <w:tcPr/>
          <w:p>
            <w:pPr>
              <w:pStyle w:val="Compact"/>
              <w:jc w:val="center"/>
            </w:pPr>
            <w:r>
              <w:rPr>
                <w:b/>
                <w:bCs/>
              </w:rPr>
              <w:t xml:space="preserve">Tier 1</w:t>
            </w:r>
            <w:r>
              <w:t xml:space="preserve"> </w:t>
            </w:r>
            <w:r>
              <w:t xml:space="preserve">(auto)</w:t>
            </w:r>
          </w:p>
        </w:tc>
      </w:tr>
    </w:tbl>
    <w:bookmarkStart w:id="579" w:name="key-insights-3"/>
    <w:p>
      <w:pPr>
        <w:pStyle w:val="Heading3"/>
      </w:pPr>
      <w:r>
        <w:t xml:space="preserve">Key Insights</w:t>
      </w:r>
    </w:p>
    <w:p>
      <w:pPr>
        <w:pStyle w:val="Compact"/>
        <w:numPr>
          <w:ilvl w:val="0"/>
          <w:numId w:val="1355"/>
        </w:numPr>
      </w:pPr>
      <w:r>
        <w:rPr>
          <w:b/>
          <w:bCs/>
        </w:rPr>
        <w:t xml:space="preserve">National surveillance is foundational CII</w:t>
      </w:r>
      <w:r>
        <w:t xml:space="preserve">: Pandemic preparedness depends on surveillance system integrity</w:t>
      </w:r>
    </w:p>
    <w:p>
      <w:pPr>
        <w:pStyle w:val="Compact"/>
        <w:numPr>
          <w:ilvl w:val="0"/>
          <w:numId w:val="1355"/>
        </w:numPr>
      </w:pPr>
      <w:r>
        <w:rPr>
          <w:b/>
          <w:bCs/>
        </w:rPr>
        <w:t xml:space="preserve">Disease control programs have supply chain dependencies</w:t>
      </w:r>
      <w:r>
        <w:t xml:space="preserve">: TB drugs, IOL distribution, nutrition supplements are attack vectors</w:t>
      </w:r>
    </w:p>
    <w:p>
      <w:pPr>
        <w:pStyle w:val="Compact"/>
        <w:numPr>
          <w:ilvl w:val="0"/>
          <w:numId w:val="1355"/>
        </w:numPr>
      </w:pPr>
      <w:r>
        <w:rPr>
          <w:b/>
          <w:bCs/>
        </w:rPr>
        <w:t xml:space="preserve">NCD programs need longitudinal integrity</w:t>
      </w:r>
      <w:r>
        <w:t xml:space="preserve">: Chronic disease tracking requires decade-long data protection</w:t>
      </w:r>
    </w:p>
    <w:p>
      <w:pPr>
        <w:pStyle w:val="Compact"/>
        <w:numPr>
          <w:ilvl w:val="0"/>
          <w:numId w:val="1355"/>
        </w:numPr>
      </w:pPr>
      <w:r>
        <w:rPr>
          <w:b/>
          <w:bCs/>
        </w:rPr>
        <w:t xml:space="preserve">Child health programs are life-critical</w:t>
      </w:r>
      <w:r>
        <w:t xml:space="preserve">: Nutrition monitoring and SAM referrals directly affect child mortality</w:t>
      </w:r>
    </w:p>
    <w:p>
      <w:pPr>
        <w:pStyle w:val="Compact"/>
        <w:numPr>
          <w:ilvl w:val="0"/>
          <w:numId w:val="1355"/>
        </w:numPr>
      </w:pPr>
      <w:r>
        <w:rPr>
          <w:b/>
          <w:bCs/>
        </w:rPr>
        <w:t xml:space="preserve">Frontline worker systems scale massively</w:t>
      </w:r>
      <w:r>
        <w:t xml:space="preserve">: 2.7M devices create enormous endpoint security challenge</w:t>
      </w:r>
    </w:p>
    <w:p>
      <w:pPr>
        <w:sectPr>
          <w:footerReference w:type="first" r:id="rId13"/>
          <w:footerReference w:type="default" r:id="rId11"/>
          <w:footerReference w:type="even" r:id="rId10"/>
          <w:type w:val="nextPage"/>
        </w:sectPr>
      </w:pPr>
    </w:p>
    <w:bookmarkEnd w:id="579"/>
    <w:bookmarkEnd w:id="580"/>
    <w:bookmarkEnd w:id="581"/>
    <w:bookmarkStart w:id="605" w:name="Xe9634903d59cdab33bde8356a3b30e6800989b6"/>
    <w:p>
      <w:pPr>
        <w:pStyle w:val="Heading1"/>
      </w:pPr>
      <w:r>
        <w:t xml:space="preserve">CII Case Studies: Registries, Biobanks, and Blood Services</w:t>
      </w:r>
    </w:p>
    <w:p>
      <w:pPr>
        <w:pStyle w:val="FirstParagraph"/>
      </w:pPr>
      <w:r>
        <w:t xml:space="preserve">This chapter presents case studies for</w:t>
      </w:r>
      <w:r>
        <w:t xml:space="preserve"> </w:t>
      </w:r>
      <w:r>
        <w:rPr>
          <w:b/>
          <w:bCs/>
        </w:rPr>
        <w:t xml:space="preserve">health data registries, biological sample repositories, and blood transfusion services</w:t>
      </w:r>
      <w:r>
        <w:t xml:space="preserve">.</w:t>
      </w:r>
    </w:p>
    <w:p>
      <w:r>
        <w:pict>
          <v:rect style="width:0;height:1.5pt" o:hralign="center" o:hrstd="t" o:hr="t"/>
        </w:pict>
      </w:r>
    </w:p>
    <w:bookmarkStart w:id="588" w:name="Xe382cc9b4b0ed94b6e210fbf79db570db003849"/>
    <w:p>
      <w:pPr>
        <w:pStyle w:val="Heading2"/>
      </w:pPr>
      <w:r>
        <w:t xml:space="preserve">Case Study 1: National Cancer Registry -</w:t>
      </w:r>
      <w:r>
        <w:t xml:space="preserve"> </w:t>
      </w:r>
      <w:r>
        <w:t xml:space="preserve">“OncoWatch”</w:t>
      </w:r>
    </w:p>
    <w:bookmarkStart w:id="582" w:name="entity-profile-19"/>
    <w:p>
      <w:pPr>
        <w:pStyle w:val="Heading3"/>
      </w:pPr>
      <w:r>
        <w:t xml:space="preserve">Entity Profile</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jc w:val="left"/>
            </w:pPr>
            <w:r>
              <w:t xml:space="preserve">Attribute</w:t>
            </w:r>
          </w:p>
        </w:tc>
        <w:tc>
          <w:tcPr/>
          <w:p>
            <w:pPr>
              <w:pStyle w:val="Compact"/>
              <w:jc w:val="left"/>
            </w:pPr>
            <w:r>
              <w:t xml:space="preserve">Details</w:t>
            </w:r>
          </w:p>
        </w:tc>
      </w:tr>
      <w:tr>
        <w:tc>
          <w:tcPr/>
          <w:p>
            <w:pPr>
              <w:pStyle w:val="Compact"/>
              <w:jc w:val="left"/>
            </w:pPr>
            <w:r>
              <w:rPr>
                <w:b/>
                <w:bCs/>
              </w:rPr>
              <w:t xml:space="preserve">Name</w:t>
            </w:r>
          </w:p>
        </w:tc>
        <w:tc>
          <w:tcPr/>
          <w:p>
            <w:pPr>
              <w:pStyle w:val="Compact"/>
              <w:jc w:val="left"/>
            </w:pPr>
            <w:r>
              <w:t xml:space="preserve">OncoWatch National Cancer Registry</w:t>
            </w:r>
          </w:p>
        </w:tc>
      </w:tr>
      <w:tr>
        <w:tc>
          <w:tcPr/>
          <w:p>
            <w:pPr>
              <w:pStyle w:val="Compact"/>
              <w:jc w:val="left"/>
            </w:pPr>
            <w:r>
              <w:rPr>
                <w:b/>
                <w:bCs/>
              </w:rPr>
              <w:t xml:space="preserve">Type</w:t>
            </w:r>
          </w:p>
        </w:tc>
        <w:tc>
          <w:tcPr/>
          <w:p>
            <w:pPr>
              <w:pStyle w:val="Compact"/>
              <w:jc w:val="left"/>
            </w:pPr>
            <w:r>
              <w:t xml:space="preserve">National population-based cancer registry</w:t>
            </w:r>
          </w:p>
        </w:tc>
      </w:tr>
      <w:tr>
        <w:tc>
          <w:tcPr/>
          <w:p>
            <w:pPr>
              <w:pStyle w:val="Compact"/>
              <w:jc w:val="left"/>
            </w:pPr>
            <w:r>
              <w:rPr>
                <w:b/>
                <w:bCs/>
              </w:rPr>
              <w:t xml:space="preserve">Operator</w:t>
            </w:r>
          </w:p>
        </w:tc>
        <w:tc>
          <w:tcPr/>
          <w:p>
            <w:pPr>
              <w:pStyle w:val="Compact"/>
              <w:jc w:val="left"/>
            </w:pPr>
            <w:r>
              <w:t xml:space="preserve">National Institute of Cancer Research (government)</w:t>
            </w:r>
          </w:p>
        </w:tc>
      </w:tr>
      <w:tr>
        <w:tc>
          <w:tcPr/>
          <w:p>
            <w:pPr>
              <w:pStyle w:val="Compact"/>
              <w:jc w:val="left"/>
            </w:pPr>
            <w:r>
              <w:rPr>
                <w:b/>
                <w:bCs/>
              </w:rPr>
              <w:t xml:space="preserve">Coverage</w:t>
            </w:r>
          </w:p>
        </w:tc>
        <w:tc>
          <w:tcPr/>
          <w:p>
            <w:pPr>
              <w:pStyle w:val="Compact"/>
              <w:jc w:val="left"/>
            </w:pPr>
            <w:r>
              <w:t xml:space="preserve">95% population coverage across 28 states</w:t>
            </w:r>
          </w:p>
        </w:tc>
      </w:tr>
      <w:tr>
        <w:tc>
          <w:tcPr/>
          <w:p>
            <w:pPr>
              <w:pStyle w:val="Compact"/>
              <w:jc w:val="left"/>
            </w:pPr>
            <w:r>
              <w:rPr>
                <w:b/>
                <w:bCs/>
              </w:rPr>
              <w:t xml:space="preserve">Records</w:t>
            </w:r>
          </w:p>
        </w:tc>
        <w:tc>
          <w:tcPr/>
          <w:p>
            <w:pPr>
              <w:pStyle w:val="Compact"/>
              <w:jc w:val="left"/>
            </w:pPr>
            <w:r>
              <w:t xml:space="preserve">12 million cumulative cancer registrations since inception</w:t>
            </w:r>
          </w:p>
        </w:tc>
      </w:tr>
      <w:tr>
        <w:tc>
          <w:tcPr/>
          <w:p>
            <w:pPr>
              <w:pStyle w:val="Compact"/>
              <w:jc w:val="left"/>
            </w:pPr>
            <w:r>
              <w:rPr>
                <w:b/>
                <w:bCs/>
              </w:rPr>
              <w:t xml:space="preserve">Annual new cases</w:t>
            </w:r>
          </w:p>
        </w:tc>
        <w:tc>
          <w:tcPr/>
          <w:p>
            <w:pPr>
              <w:pStyle w:val="Compact"/>
              <w:jc w:val="left"/>
            </w:pPr>
            <w:r>
              <w:t xml:space="preserve">1.4 million new registrations/year</w:t>
            </w:r>
          </w:p>
        </w:tc>
      </w:tr>
      <w:tr>
        <w:tc>
          <w:tcPr/>
          <w:p>
            <w:pPr>
              <w:pStyle w:val="Compact"/>
              <w:jc w:val="left"/>
            </w:pPr>
            <w:r>
              <w:rPr>
                <w:b/>
                <w:bCs/>
              </w:rPr>
              <w:t xml:space="preserve">Data elements</w:t>
            </w:r>
          </w:p>
        </w:tc>
        <w:tc>
          <w:tcPr/>
          <w:p>
            <w:pPr>
              <w:pStyle w:val="Compact"/>
              <w:jc w:val="left"/>
            </w:pPr>
            <w:r>
              <w:t xml:space="preserve">Demographics, diagnosis, staging, treatment, outcomes, mortality</w:t>
            </w:r>
          </w:p>
        </w:tc>
      </w:tr>
      <w:tr>
        <w:tc>
          <w:tcPr/>
          <w:p>
            <w:pPr>
              <w:pStyle w:val="Compact"/>
              <w:jc w:val="left"/>
            </w:pPr>
            <w:r>
              <w:rPr>
                <w:b/>
                <w:bCs/>
              </w:rPr>
              <w:t xml:space="preserve">Integrations</w:t>
            </w:r>
          </w:p>
        </w:tc>
        <w:tc>
          <w:tcPr/>
          <w:p>
            <w:pPr>
              <w:pStyle w:val="Compact"/>
              <w:jc w:val="left"/>
            </w:pPr>
            <w:r>
              <w:t xml:space="preserve">Linked to death registry, hospital cancer departments, pathology labs</w:t>
            </w:r>
          </w:p>
        </w:tc>
      </w:tr>
      <w:tr>
        <w:tc>
          <w:tcPr/>
          <w:p>
            <w:pPr>
              <w:pStyle w:val="Compact"/>
              <w:jc w:val="left"/>
            </w:pPr>
            <w:r>
              <w:rPr>
                <w:b/>
                <w:bCs/>
              </w:rPr>
              <w:t xml:space="preserve">Uses</w:t>
            </w:r>
          </w:p>
        </w:tc>
        <w:tc>
          <w:tcPr/>
          <w:p>
            <w:pPr>
              <w:pStyle w:val="Compact"/>
              <w:jc w:val="left"/>
            </w:pPr>
            <w:r>
              <w:t xml:space="preserve">National cancer control planning; research; epidemiology</w:t>
            </w:r>
          </w:p>
        </w:tc>
      </w:tr>
    </w:tbl>
    <w:bookmarkEnd w:id="582"/>
    <w:bookmarkStart w:id="585" w:name="cii-classification-assessment-19"/>
    <w:p>
      <w:pPr>
        <w:pStyle w:val="Heading3"/>
      </w:pPr>
      <w:r>
        <w:t xml:space="preserve">CII Classification Assessment</w:t>
      </w:r>
    </w:p>
    <w:bookmarkStart w:id="583" w:name="automatic-tier-1-trigger-analysis-5"/>
    <w:p>
      <w:pPr>
        <w:pStyle w:val="Heading4"/>
      </w:pPr>
      <w:r>
        <w:t xml:space="preserve">Automatic Tier 1 Trigger Analysis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“Regardless of Size”</w:t>
            </w:r>
            <w:r>
              <w:t xml:space="preserve"> </w:t>
            </w:r>
            <w:r>
              <w:t xml:space="preserve">Criterion</w:t>
            </w:r>
          </w:p>
        </w:tc>
        <w:tc>
          <w:tcPr/>
          <w:p>
            <w:pPr>
              <w:pStyle w:val="Compact"/>
              <w:jc w:val="center"/>
            </w:pPr>
            <w:r>
              <w:t xml:space="preserve">Applies?</w:t>
            </w:r>
          </w:p>
        </w:tc>
      </w:tr>
      <w:tr>
        <w:tc>
          <w:tcPr/>
          <w:p>
            <w:pPr>
              <w:pStyle w:val="Compact"/>
              <w:jc w:val="left"/>
            </w:pPr>
            <w:r>
              <w:t xml:space="preserve">National-level health information system</w:t>
            </w:r>
          </w:p>
        </w:tc>
        <w:tc>
          <w:tcPr/>
          <w:p>
            <w:pPr>
              <w:pStyle w:val="Compact"/>
              <w:jc w:val="center"/>
            </w:pPr>
            <w:r>
              <w:t xml:space="preserve">✓</w:t>
            </w:r>
          </w:p>
        </w:tc>
      </w:tr>
      <w:tr>
        <w:tc>
          <w:tcPr/>
          <w:p>
            <w:pPr>
              <w:pStyle w:val="Compact"/>
              <w:jc w:val="left"/>
            </w:pPr>
            <w:r>
              <w:t xml:space="preserve">Disease surveillance function</w:t>
            </w:r>
          </w:p>
        </w:tc>
        <w:tc>
          <w:tcPr/>
          <w:p>
            <w:pPr>
              <w:pStyle w:val="Compact"/>
              <w:jc w:val="center"/>
            </w:pPr>
            <w:r>
              <w:t xml:space="preserve">✓</w:t>
            </w:r>
          </w:p>
        </w:tc>
      </w:tr>
      <w:tr>
        <w:tc>
          <w:tcPr/>
          <w:p>
            <w:pPr>
              <w:pStyle w:val="Compact"/>
              <w:jc w:val="left"/>
            </w:pPr>
            <w:r>
              <w:t xml:space="preserve">Public health planning dependency</w:t>
            </w:r>
          </w:p>
        </w:tc>
        <w:tc>
          <w:tcPr/>
          <w:p>
            <w:pPr>
              <w:pStyle w:val="Compact"/>
              <w:jc w:val="center"/>
            </w:pPr>
            <w:r>
              <w:t xml:space="preserve">✓</w:t>
            </w:r>
          </w:p>
        </w:tc>
      </w:tr>
      <w:tr>
        <w:tc>
          <w:tcPr/>
          <w:p>
            <w:pPr>
              <w:pStyle w:val="Compact"/>
              <w:jc w:val="left"/>
            </w:pPr>
            <w:r>
              <w:t xml:space="preserve">Research infrastructure</w:t>
            </w:r>
          </w:p>
        </w:tc>
        <w:tc>
          <w:tcPr/>
          <w:p>
            <w:pPr>
              <w:pStyle w:val="Compact"/>
              <w:jc w:val="center"/>
            </w:pPr>
            <w:r>
              <w:t xml:space="preserve">✓</w:t>
            </w:r>
          </w:p>
        </w:tc>
      </w:tr>
    </w:tbl>
    <w:bookmarkEnd w:id="583"/>
    <w:bookmarkStart w:id="584" w:name="scoring-developing-country-framework-14"/>
    <w:p>
      <w:pPr>
        <w:pStyle w:val="Heading4"/>
      </w:pPr>
      <w:r>
        <w:t xml:space="preserve">Scoring (Developing Country Framework)</w:t>
      </w:r>
    </w:p>
    <w:tbl>
      <w:tblPr>
        <w:tblStyle w:val="Table"/>
        <w:tblW w:type="pct" w:w="5000"/>
        <w:tblLayout w:type="fixed"/>
        <w:tblLook w:firstRow="1" w:lastRow="0" w:firstColumn="0" w:lastColumn="0" w:noHBand="0" w:noVBand="0" w:val="0020"/>
      </w:tblPr>
      <w:tblGrid>
        <w:gridCol w:w="1863"/>
        <w:gridCol w:w="2562"/>
        <w:gridCol w:w="3494"/>
      </w:tblGrid>
      <w:tr>
        <w:trPr>
          <w:tblHeader w:val="on"/>
        </w:trPr>
        <w:tc>
          <w:tcPr/>
          <w:p>
            <w:pPr>
              <w:pStyle w:val="Compact"/>
              <w:jc w:val="left"/>
            </w:pPr>
            <w:r>
              <w:t xml:space="preserve">Domain</w:t>
            </w:r>
          </w:p>
        </w:tc>
        <w:tc>
          <w:tcPr/>
          <w:p>
            <w:pPr>
              <w:pStyle w:val="Compact"/>
              <w:jc w:val="left"/>
            </w:pPr>
            <w:r>
              <w:t xml:space="preserve">Criterion</w:t>
            </w:r>
          </w:p>
        </w:tc>
        <w:tc>
          <w:tcPr/>
          <w:p>
            <w:pPr>
              <w:pStyle w:val="Compact"/>
              <w:jc w:val="center"/>
            </w:pPr>
            <w:r>
              <w:t xml:space="preserve">Points Scored</w:t>
            </w:r>
          </w:p>
        </w:tc>
      </w:tr>
      <w:tr>
        <w:tc>
          <w:tcPr/>
          <w:p>
            <w:pPr>
              <w:pStyle w:val="Compact"/>
              <w:jc w:val="left"/>
            </w:pPr>
            <w:r>
              <w:rPr>
                <w:b/>
                <w:bCs/>
              </w:rPr>
              <w:t xml:space="preserve">A. Population Coverage</w:t>
            </w:r>
          </w:p>
        </w:tc>
        <w:tc>
          <w:tcPr/>
          <w:p>
            <w:pPr>
              <w:pStyle w:val="Compact"/>
              <w:jc w:val="left"/>
            </w:pPr>
            <w:r>
              <w:t xml:space="preserve">95% national coverage</w:t>
            </w:r>
          </w:p>
        </w:tc>
        <w:tc>
          <w:tcPr/>
          <w:p>
            <w:pPr>
              <w:pStyle w:val="Compact"/>
              <w:jc w:val="center"/>
            </w:pPr>
            <w:r>
              <w:t xml:space="preserve">30</w:t>
            </w:r>
          </w:p>
        </w:tc>
      </w:tr>
      <w:tr>
        <w:tc>
          <w:tcPr/>
          <w:p>
            <w:pPr>
              <w:pStyle w:val="Compact"/>
              <w:jc w:val="left"/>
            </w:pPr>
            <w:r>
              <w:rPr>
                <w:b/>
                <w:bCs/>
              </w:rPr>
              <w:t xml:space="preserve">B. Data Sensitivity</w:t>
            </w:r>
          </w:p>
        </w:tc>
        <w:tc>
          <w:tcPr/>
          <w:p>
            <w:pPr>
              <w:pStyle w:val="Compact"/>
              <w:jc w:val="left"/>
            </w:pPr>
            <w:r>
              <w:t xml:space="preserve">12M cancer patient records with outcomes</w:t>
            </w:r>
          </w:p>
        </w:tc>
        <w:tc>
          <w:tcPr/>
          <w:p>
            <w:pPr>
              <w:pStyle w:val="Compact"/>
              <w:jc w:val="center"/>
            </w:pPr>
            <w:r>
              <w:t xml:space="preserve">25</w:t>
            </w:r>
          </w:p>
        </w:tc>
      </w:tr>
      <w:tr>
        <w:tc>
          <w:tcPr/>
          <w:p>
            <w:pPr>
              <w:pStyle w:val="Compact"/>
              <w:jc w:val="left"/>
            </w:pPr>
            <w:r>
              <w:rPr>
                <w:b/>
                <w:bCs/>
              </w:rPr>
              <w:t xml:space="preserve">C. Public Health Function</w:t>
            </w:r>
          </w:p>
        </w:tc>
        <w:tc>
          <w:tcPr/>
          <w:p>
            <w:pPr>
              <w:pStyle w:val="Compact"/>
              <w:jc w:val="left"/>
            </w:pPr>
            <w:r>
              <w:t xml:space="preserve">National cancer control planning</w:t>
            </w:r>
          </w:p>
        </w:tc>
        <w:tc>
          <w:tcPr/>
          <w:p>
            <w:pPr>
              <w:pStyle w:val="Compact"/>
              <w:jc w:val="center"/>
            </w:pPr>
            <w:r>
              <w:t xml:space="preserve">20</w:t>
            </w:r>
          </w:p>
        </w:tc>
      </w:tr>
      <w:tr>
        <w:tc>
          <w:tcPr/>
          <w:p>
            <w:pPr>
              <w:pStyle w:val="Compact"/>
              <w:jc w:val="left"/>
            </w:pPr>
            <w:r>
              <w:rPr>
                <w:b/>
                <w:bCs/>
              </w:rPr>
              <w:t xml:space="preserve">D. Research Infrastructure</w:t>
            </w:r>
          </w:p>
        </w:tc>
        <w:tc>
          <w:tcPr/>
          <w:p>
            <w:pPr>
              <w:pStyle w:val="Compact"/>
              <w:jc w:val="left"/>
            </w:pPr>
            <w:r>
              <w:t xml:space="preserve">Supports national/international cancer research</w:t>
            </w:r>
          </w:p>
        </w:tc>
        <w:tc>
          <w:tcPr/>
          <w:p>
            <w:pPr>
              <w:pStyle w:val="Compact"/>
              <w:jc w:val="center"/>
            </w:pPr>
            <w:r>
              <w:t xml:space="preserve">10</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85</w:t>
            </w:r>
          </w:p>
        </w:tc>
      </w:tr>
    </w:tbl>
    <w:bookmarkEnd w:id="584"/>
    <w:bookmarkEnd w:id="585"/>
    <w:bookmarkStart w:id="586" w:name="classification-result-19"/>
    <w:p>
      <w:pPr>
        <w:pStyle w:val="Heading3"/>
      </w:pPr>
      <w:r>
        <w:t xml:space="preserve">Classification Result</w:t>
      </w:r>
    </w:p>
    <w:tbl>
      <w:tblPr>
        <w:tblStyle w:val="Table"/>
        <w:tblW w:type="pct" w:w="5000"/>
        <w:tblLayout w:type="fixed"/>
        <w:tblLook w:firstRow="1" w:lastRow="0" w:firstColumn="0" w:lastColumn="0" w:noHBand="0" w:noVBand="0" w:val="0020"/>
      </w:tblPr>
      <w:tblGrid>
        <w:gridCol w:w="2489"/>
        <w:gridCol w:w="1584"/>
        <w:gridCol w:w="1357"/>
        <w:gridCol w:w="2489"/>
      </w:tblGrid>
      <w:tr>
        <w:trPr>
          <w:tblHeader w:val="on"/>
        </w:trPr>
        <w:tc>
          <w:tcPr/>
          <w:p>
            <w:pPr>
              <w:pStyle w:val="Compact"/>
              <w:jc w:val="left"/>
            </w:pPr>
            <w:r>
              <w:t xml:space="preserve">Framework</w:t>
            </w:r>
          </w:p>
        </w:tc>
        <w:tc>
          <w:tcPr/>
          <w:p>
            <w:pPr>
              <w:pStyle w:val="Compact"/>
              <w:jc w:val="left"/>
            </w:pPr>
            <w:r>
              <w:t xml:space="preserve">Score</w:t>
            </w:r>
          </w:p>
        </w:tc>
        <w:tc>
          <w:tcPr/>
          <w:p>
            <w:pPr>
              <w:pStyle w:val="Compact"/>
              <w:jc w:val="left"/>
            </w:pPr>
            <w:r>
              <w:t xml:space="preserve">Tier</w:t>
            </w:r>
          </w:p>
        </w:tc>
        <w:tc>
          <w:tcPr/>
          <w:p>
            <w:pPr>
              <w:pStyle w:val="Compact"/>
              <w:jc w:val="left"/>
            </w:pPr>
            <w:r>
              <w:t xml:space="preserve">Rationale</w:t>
            </w:r>
          </w:p>
        </w:tc>
      </w:tr>
      <w:tr>
        <w:tc>
          <w:tcPr/>
          <w:p>
            <w:pPr>
              <w:pStyle w:val="Compact"/>
              <w:jc w:val="left"/>
            </w:pPr>
            <w:r>
              <w:rPr>
                <w:b/>
                <w:bCs/>
              </w:rPr>
              <w:t xml:space="preserve">Developing Country</w:t>
            </w:r>
          </w:p>
        </w:tc>
        <w:tc>
          <w:tcPr/>
          <w:p>
            <w:pPr>
              <w:pStyle w:val="Compact"/>
              <w:jc w:val="left"/>
            </w:pPr>
            <w:r>
              <w:t xml:space="preserve">85</w:t>
            </w:r>
          </w:p>
        </w:tc>
        <w:tc>
          <w:tcPr/>
          <w:p>
            <w:pPr>
              <w:pStyle w:val="Compact"/>
              <w:jc w:val="left"/>
            </w:pPr>
            <w:r>
              <w:rPr>
                <w:b/>
                <w:bCs/>
              </w:rPr>
              <w:t xml:space="preserve">Tier 1 (Essential)</w:t>
            </w:r>
          </w:p>
        </w:tc>
        <w:tc>
          <w:tcPr/>
          <w:p>
            <w:pPr>
              <w:pStyle w:val="Compact"/>
              <w:jc w:val="left"/>
            </w:pPr>
            <w:r>
              <w:t xml:space="preserve">National disease registry; public health planning dependency</w:t>
            </w:r>
          </w:p>
        </w:tc>
      </w:tr>
    </w:tbl>
    <w:bookmarkEnd w:id="586"/>
    <w:bookmarkStart w:id="587" w:name="applicable-obligations-16"/>
    <w:p>
      <w:pPr>
        <w:pStyle w:val="Heading3"/>
      </w:pPr>
      <w:r>
        <w:t xml:space="preserve">Applicable Obligations</w:t>
      </w:r>
    </w:p>
    <w:p>
      <w:pPr>
        <w:pStyle w:val="Compact"/>
        <w:numPr>
          <w:ilvl w:val="0"/>
          <w:numId w:val="1356"/>
        </w:numPr>
      </w:pPr>
      <w:r>
        <w:t xml:space="preserve">Dedicated security officer</w:t>
      </w:r>
    </w:p>
    <w:p>
      <w:pPr>
        <w:pStyle w:val="Compact"/>
        <w:numPr>
          <w:ilvl w:val="0"/>
          <w:numId w:val="1356"/>
        </w:numPr>
      </w:pPr>
      <w:r>
        <w:t xml:space="preserve">Annual audit with focus on data integrity (registry accuracy is critical)</w:t>
      </w:r>
    </w:p>
    <w:p>
      <w:pPr>
        <w:pStyle w:val="Compact"/>
        <w:numPr>
          <w:ilvl w:val="0"/>
          <w:numId w:val="1356"/>
        </w:numPr>
      </w:pPr>
      <w:r>
        <w:t xml:space="preserve">24-hour incident reporting</w:t>
      </w:r>
    </w:p>
    <w:p>
      <w:pPr>
        <w:pStyle w:val="Compact"/>
        <w:numPr>
          <w:ilvl w:val="0"/>
          <w:numId w:val="1356"/>
        </w:numPr>
      </w:pPr>
      <w:r>
        <w:t xml:space="preserve">Access control audit (researcher access management)</w:t>
      </w:r>
    </w:p>
    <w:p>
      <w:pPr>
        <w:pStyle w:val="Compact"/>
        <w:numPr>
          <w:ilvl w:val="0"/>
          <w:numId w:val="1356"/>
        </w:numPr>
      </w:pPr>
      <w:r>
        <w:t xml:space="preserve">Backup and recovery testing (longitudinal data irreplaceable)</w:t>
      </w:r>
    </w:p>
    <w:p>
      <w:pPr>
        <w:pStyle w:val="Compact"/>
        <w:numPr>
          <w:ilvl w:val="0"/>
          <w:numId w:val="1356"/>
        </w:numPr>
      </w:pPr>
      <w:r>
        <w:t xml:space="preserve">Data sharing agreement security review</w:t>
      </w:r>
    </w:p>
    <w:p>
      <w:pPr>
        <w:pStyle w:val="Compact"/>
        <w:numPr>
          <w:ilvl w:val="0"/>
          <w:numId w:val="1356"/>
        </w:numPr>
      </w:pPr>
      <w:r>
        <w:t xml:space="preserve">International collaboration security protocols</w:t>
      </w:r>
    </w:p>
    <w:p>
      <w:r>
        <w:pict>
          <v:rect style="width:0;height:1.5pt" o:hralign="center" o:hrstd="t" o:hr="t"/>
        </w:pict>
      </w:r>
    </w:p>
    <w:bookmarkEnd w:id="587"/>
    <w:bookmarkEnd w:id="588"/>
    <w:bookmarkStart w:id="595" w:name="X48114aeb434b7504c95ed81fb2faccc1e778756"/>
    <w:p>
      <w:pPr>
        <w:pStyle w:val="Heading2"/>
      </w:pPr>
      <w:r>
        <w:t xml:space="preserve">Case Study 2: National Biobank -</w:t>
      </w:r>
      <w:r>
        <w:t xml:space="preserve"> </w:t>
      </w:r>
      <w:r>
        <w:t xml:space="preserve">“JeevanKosh”</w:t>
      </w:r>
    </w:p>
    <w:bookmarkStart w:id="589" w:name="entity-profile-20"/>
    <w:p>
      <w:pPr>
        <w:pStyle w:val="Heading3"/>
      </w:pPr>
      <w:r>
        <w:t xml:space="preserve">Entity Profile</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jc w:val="left"/>
            </w:pPr>
            <w:r>
              <w:t xml:space="preserve">Attribute</w:t>
            </w:r>
          </w:p>
        </w:tc>
        <w:tc>
          <w:tcPr/>
          <w:p>
            <w:pPr>
              <w:pStyle w:val="Compact"/>
              <w:jc w:val="left"/>
            </w:pPr>
            <w:r>
              <w:t xml:space="preserve">Details</w:t>
            </w:r>
          </w:p>
        </w:tc>
      </w:tr>
      <w:tr>
        <w:tc>
          <w:tcPr/>
          <w:p>
            <w:pPr>
              <w:pStyle w:val="Compact"/>
              <w:jc w:val="left"/>
            </w:pPr>
            <w:r>
              <w:rPr>
                <w:b/>
                <w:bCs/>
              </w:rPr>
              <w:t xml:space="preserve">Name</w:t>
            </w:r>
          </w:p>
        </w:tc>
        <w:tc>
          <w:tcPr/>
          <w:p>
            <w:pPr>
              <w:pStyle w:val="Compact"/>
              <w:jc w:val="left"/>
            </w:pPr>
            <w:r>
              <w:t xml:space="preserve">JeevanKosh National Biobank</w:t>
            </w:r>
          </w:p>
        </w:tc>
      </w:tr>
      <w:tr>
        <w:tc>
          <w:tcPr/>
          <w:p>
            <w:pPr>
              <w:pStyle w:val="Compact"/>
              <w:jc w:val="left"/>
            </w:pPr>
            <w:r>
              <w:rPr>
                <w:b/>
                <w:bCs/>
              </w:rPr>
              <w:t xml:space="preserve">Type</w:t>
            </w:r>
          </w:p>
        </w:tc>
        <w:tc>
          <w:tcPr/>
          <w:p>
            <w:pPr>
              <w:pStyle w:val="Compact"/>
              <w:jc w:val="left"/>
            </w:pPr>
            <w:r>
              <w:t xml:space="preserve">National biological sample and data repository</w:t>
            </w:r>
          </w:p>
        </w:tc>
      </w:tr>
      <w:tr>
        <w:tc>
          <w:tcPr/>
          <w:p>
            <w:pPr>
              <w:pStyle w:val="Compact"/>
              <w:jc w:val="left"/>
            </w:pPr>
            <w:r>
              <w:rPr>
                <w:b/>
                <w:bCs/>
              </w:rPr>
              <w:t xml:space="preserve">Operator</w:t>
            </w:r>
          </w:p>
        </w:tc>
        <w:tc>
          <w:tcPr/>
          <w:p>
            <w:pPr>
              <w:pStyle w:val="Compact"/>
              <w:jc w:val="left"/>
            </w:pPr>
            <w:r>
              <w:t xml:space="preserve">National Institute of Biomedical Research (government)</w:t>
            </w:r>
          </w:p>
        </w:tc>
      </w:tr>
      <w:tr>
        <w:tc>
          <w:tcPr/>
          <w:p>
            <w:pPr>
              <w:pStyle w:val="Compact"/>
              <w:jc w:val="left"/>
            </w:pPr>
            <w:r>
              <w:rPr>
                <w:b/>
                <w:bCs/>
              </w:rPr>
              <w:t xml:space="preserve">Sample holdings</w:t>
            </w:r>
          </w:p>
        </w:tc>
        <w:tc>
          <w:tcPr/>
          <w:p>
            <w:pPr>
              <w:pStyle w:val="Compact"/>
              <w:jc w:val="left"/>
            </w:pPr>
            <w:r>
              <w:t xml:space="preserve">5 million biological samples (blood, tissue, DNA)</w:t>
            </w:r>
          </w:p>
        </w:tc>
      </w:tr>
      <w:tr>
        <w:tc>
          <w:tcPr/>
          <w:p>
            <w:pPr>
              <w:pStyle w:val="Compact"/>
              <w:jc w:val="left"/>
            </w:pPr>
            <w:r>
              <w:rPr>
                <w:b/>
                <w:bCs/>
              </w:rPr>
              <w:t xml:space="preserve">Linked data</w:t>
            </w:r>
          </w:p>
        </w:tc>
        <w:tc>
          <w:tcPr/>
          <w:p>
            <w:pPr>
              <w:pStyle w:val="Compact"/>
              <w:jc w:val="left"/>
            </w:pPr>
            <w:r>
              <w:t xml:space="preserve">Clinical phenotypes, genomic data, longitudinal health outcomes</w:t>
            </w:r>
          </w:p>
        </w:tc>
      </w:tr>
      <w:tr>
        <w:tc>
          <w:tcPr/>
          <w:p>
            <w:pPr>
              <w:pStyle w:val="Compact"/>
              <w:jc w:val="left"/>
            </w:pPr>
            <w:r>
              <w:rPr>
                <w:b/>
                <w:bCs/>
              </w:rPr>
              <w:t xml:space="preserve">Sources</w:t>
            </w:r>
          </w:p>
        </w:tc>
        <w:tc>
          <w:tcPr/>
          <w:p>
            <w:pPr>
              <w:pStyle w:val="Compact"/>
              <w:jc w:val="left"/>
            </w:pPr>
            <w:r>
              <w:t xml:space="preserve">Population cohorts, disease-specific studies, hospital contributions</w:t>
            </w:r>
          </w:p>
        </w:tc>
      </w:tr>
      <w:tr>
        <w:tc>
          <w:tcPr/>
          <w:p>
            <w:pPr>
              <w:pStyle w:val="Compact"/>
              <w:jc w:val="left"/>
            </w:pPr>
            <w:r>
              <w:rPr>
                <w:b/>
                <w:bCs/>
              </w:rPr>
              <w:t xml:space="preserve">Access</w:t>
            </w:r>
          </w:p>
        </w:tc>
        <w:tc>
          <w:tcPr/>
          <w:p>
            <w:pPr>
              <w:pStyle w:val="Compact"/>
              <w:jc w:val="left"/>
            </w:pPr>
            <w:r>
              <w:t xml:space="preserve">Enables national and international research collaborations</w:t>
            </w:r>
          </w:p>
        </w:tc>
      </w:tr>
      <w:tr>
        <w:tc>
          <w:tcPr/>
          <w:p>
            <w:pPr>
              <w:pStyle w:val="Compact"/>
              <w:jc w:val="left"/>
            </w:pPr>
            <w:r>
              <w:rPr>
                <w:b/>
                <w:bCs/>
              </w:rPr>
              <w:t xml:space="preserve">Infrastructure</w:t>
            </w:r>
          </w:p>
        </w:tc>
        <w:tc>
          <w:tcPr/>
          <w:p>
            <w:pPr>
              <w:pStyle w:val="Compact"/>
              <w:jc w:val="left"/>
            </w:pPr>
            <w:r>
              <w:t xml:space="preserve">Automated sample storage (-80°C, liquid nitrogen); LIMS; linked databases</w:t>
            </w:r>
          </w:p>
        </w:tc>
      </w:tr>
      <w:tr>
        <w:tc>
          <w:tcPr/>
          <w:p>
            <w:pPr>
              <w:pStyle w:val="Compact"/>
              <w:jc w:val="left"/>
            </w:pPr>
            <w:r>
              <w:rPr>
                <w:b/>
                <w:bCs/>
              </w:rPr>
              <w:t xml:space="preserve">Special consideration</w:t>
            </w:r>
          </w:p>
        </w:tc>
        <w:tc>
          <w:tcPr/>
          <w:p>
            <w:pPr>
              <w:pStyle w:val="Compact"/>
              <w:jc w:val="left"/>
            </w:pPr>
            <w:r>
              <w:rPr>
                <w:b/>
                <w:bCs/>
              </w:rPr>
              <w:t xml:space="preserve">Irreplaceable national research resource</w:t>
            </w:r>
          </w:p>
        </w:tc>
      </w:tr>
    </w:tbl>
    <w:bookmarkEnd w:id="589"/>
    <w:bookmarkStart w:id="592" w:name="cii-classification-assessment-20"/>
    <w:p>
      <w:pPr>
        <w:pStyle w:val="Heading3"/>
      </w:pPr>
      <w:r>
        <w:t xml:space="preserve">CII Classification Assessment</w:t>
      </w:r>
    </w:p>
    <w:bookmarkStart w:id="590" w:name="key-risk-factors-8"/>
    <w:p>
      <w:pPr>
        <w:pStyle w:val="Heading4"/>
      </w:pPr>
      <w:r>
        <w:t xml:space="preserve">Key Risk Factors</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jc w:val="left"/>
            </w:pPr>
            <w:r>
              <w:t xml:space="preserve">Factor</w:t>
            </w:r>
          </w:p>
        </w:tc>
        <w:tc>
          <w:tcPr/>
          <w:p>
            <w:pPr>
              <w:pStyle w:val="Compact"/>
              <w:jc w:val="left"/>
            </w:pPr>
            <w:r>
              <w:t xml:space="preserve">Assessment</w:t>
            </w:r>
          </w:p>
        </w:tc>
      </w:tr>
      <w:tr>
        <w:tc>
          <w:tcPr/>
          <w:p>
            <w:pPr>
              <w:pStyle w:val="Compact"/>
              <w:jc w:val="left"/>
            </w:pPr>
            <w:r>
              <w:rPr>
                <w:b/>
                <w:bCs/>
              </w:rPr>
              <w:t xml:space="preserve">Sample irreplaceability</w:t>
            </w:r>
          </w:p>
        </w:tc>
        <w:tc>
          <w:tcPr/>
          <w:p>
            <w:pPr>
              <w:pStyle w:val="Compact"/>
              <w:jc w:val="left"/>
            </w:pPr>
            <w:r>
              <w:t xml:space="preserve">Samples from deceased donors or rare disease patients cannot be recreated</w:t>
            </w:r>
          </w:p>
        </w:tc>
      </w:tr>
      <w:tr>
        <w:tc>
          <w:tcPr/>
          <w:p>
            <w:pPr>
              <w:pStyle w:val="Compact"/>
              <w:jc w:val="left"/>
            </w:pPr>
            <w:r>
              <w:rPr>
                <w:b/>
                <w:bCs/>
              </w:rPr>
              <w:t xml:space="preserve">Linked data sensitivity</w:t>
            </w:r>
          </w:p>
        </w:tc>
        <w:tc>
          <w:tcPr/>
          <w:p>
            <w:pPr>
              <w:pStyle w:val="Compact"/>
              <w:jc w:val="left"/>
            </w:pPr>
            <w:r>
              <w:t xml:space="preserve">Samples linked to genomic, clinical, and outcome data</w:t>
            </w:r>
          </w:p>
        </w:tc>
      </w:tr>
      <w:tr>
        <w:tc>
          <w:tcPr/>
          <w:p>
            <w:pPr>
              <w:pStyle w:val="Compact"/>
              <w:jc w:val="left"/>
            </w:pPr>
            <w:r>
              <w:rPr>
                <w:b/>
                <w:bCs/>
              </w:rPr>
              <w:t xml:space="preserve">Physical + cyber risks</w:t>
            </w:r>
          </w:p>
        </w:tc>
        <w:tc>
          <w:tcPr/>
          <w:p>
            <w:pPr>
              <w:pStyle w:val="Compact"/>
              <w:jc w:val="left"/>
            </w:pPr>
            <w:r>
              <w:t xml:space="preserve">Both physical sample security and data security required</w:t>
            </w:r>
          </w:p>
        </w:tc>
      </w:tr>
      <w:tr>
        <w:tc>
          <w:tcPr/>
          <w:p>
            <w:pPr>
              <w:pStyle w:val="Compact"/>
              <w:jc w:val="left"/>
            </w:pPr>
            <w:r>
              <w:rPr>
                <w:b/>
                <w:bCs/>
              </w:rPr>
              <w:t xml:space="preserve">Research dependency</w:t>
            </w:r>
          </w:p>
        </w:tc>
        <w:tc>
          <w:tcPr/>
          <w:p>
            <w:pPr>
              <w:pStyle w:val="Compact"/>
              <w:jc w:val="left"/>
            </w:pPr>
            <w:r>
              <w:t xml:space="preserve">National health research ecosystem depends on biobank access</w:t>
            </w:r>
          </w:p>
        </w:tc>
      </w:tr>
      <w:tr>
        <w:tc>
          <w:tcPr/>
          <w:p>
            <w:pPr>
              <w:pStyle w:val="Compact"/>
              <w:jc w:val="left"/>
            </w:pPr>
            <w:r>
              <w:rPr>
                <w:b/>
                <w:bCs/>
              </w:rPr>
              <w:t xml:space="preserve">Consent complexity</w:t>
            </w:r>
          </w:p>
        </w:tc>
        <w:tc>
          <w:tcPr/>
          <w:p>
            <w:pPr>
              <w:pStyle w:val="Compact"/>
              <w:jc w:val="left"/>
            </w:pPr>
            <w:r>
              <w:t xml:space="preserve">Samples collected under specific consent; breach affects consent validity</w:t>
            </w:r>
          </w:p>
        </w:tc>
      </w:tr>
    </w:tbl>
    <w:bookmarkEnd w:id="590"/>
    <w:bookmarkStart w:id="591" w:name="scoring-developing-country-framework-15"/>
    <w:p>
      <w:pPr>
        <w:pStyle w:val="Heading4"/>
      </w:pPr>
      <w:r>
        <w:t xml:space="preserve">Scoring (Developing Country Framework)</w:t>
      </w:r>
    </w:p>
    <w:tbl>
      <w:tblPr>
        <w:tblStyle w:val="Table"/>
        <w:tblW w:type="pct" w:w="5000"/>
        <w:tblLayout w:type="fixed"/>
        <w:tblLook w:firstRow="1" w:lastRow="0" w:firstColumn="0" w:lastColumn="0" w:noHBand="0" w:noVBand="0" w:val="0020"/>
      </w:tblPr>
      <w:tblGrid>
        <w:gridCol w:w="1863"/>
        <w:gridCol w:w="2562"/>
        <w:gridCol w:w="3494"/>
      </w:tblGrid>
      <w:tr>
        <w:trPr>
          <w:tblHeader w:val="on"/>
        </w:trPr>
        <w:tc>
          <w:tcPr/>
          <w:p>
            <w:pPr>
              <w:pStyle w:val="Compact"/>
              <w:jc w:val="left"/>
            </w:pPr>
            <w:r>
              <w:t xml:space="preserve">Domain</w:t>
            </w:r>
          </w:p>
        </w:tc>
        <w:tc>
          <w:tcPr/>
          <w:p>
            <w:pPr>
              <w:pStyle w:val="Compact"/>
              <w:jc w:val="left"/>
            </w:pPr>
            <w:r>
              <w:t xml:space="preserve">Criterion</w:t>
            </w:r>
          </w:p>
        </w:tc>
        <w:tc>
          <w:tcPr/>
          <w:p>
            <w:pPr>
              <w:pStyle w:val="Compact"/>
              <w:jc w:val="center"/>
            </w:pPr>
            <w:r>
              <w:t xml:space="preserve">Points Scored</w:t>
            </w:r>
          </w:p>
        </w:tc>
      </w:tr>
      <w:tr>
        <w:tc>
          <w:tcPr/>
          <w:p>
            <w:pPr>
              <w:pStyle w:val="Compact"/>
              <w:jc w:val="left"/>
            </w:pPr>
            <w:r>
              <w:rPr>
                <w:b/>
                <w:bCs/>
              </w:rPr>
              <w:t xml:space="preserve">A. Sample Volume</w:t>
            </w:r>
          </w:p>
        </w:tc>
        <w:tc>
          <w:tcPr/>
          <w:p>
            <w:pPr>
              <w:pStyle w:val="Compact"/>
              <w:jc w:val="left"/>
            </w:pPr>
            <w:r>
              <w:t xml:space="preserve">5M biological samples</w:t>
            </w:r>
          </w:p>
        </w:tc>
        <w:tc>
          <w:tcPr/>
          <w:p>
            <w:pPr>
              <w:pStyle w:val="Compact"/>
              <w:jc w:val="center"/>
            </w:pPr>
            <w:r>
              <w:t xml:space="preserve">25</w:t>
            </w:r>
          </w:p>
        </w:tc>
      </w:tr>
      <w:tr>
        <w:tc>
          <w:tcPr/>
          <w:p>
            <w:pPr>
              <w:pStyle w:val="Compact"/>
              <w:jc w:val="left"/>
            </w:pPr>
            <w:r>
              <w:rPr>
                <w:b/>
                <w:bCs/>
              </w:rPr>
              <w:t xml:space="preserve">B. Data Sensitivity</w:t>
            </w:r>
          </w:p>
        </w:tc>
        <w:tc>
          <w:tcPr/>
          <w:p>
            <w:pPr>
              <w:pStyle w:val="Compact"/>
              <w:jc w:val="left"/>
            </w:pPr>
            <w:r>
              <w:t xml:space="preserve">Linked genomic + clinical data</w:t>
            </w:r>
          </w:p>
        </w:tc>
        <w:tc>
          <w:tcPr/>
          <w:p>
            <w:pPr>
              <w:pStyle w:val="Compact"/>
              <w:jc w:val="center"/>
            </w:pPr>
            <w:r>
              <w:t xml:space="preserve">25</w:t>
            </w:r>
          </w:p>
        </w:tc>
      </w:tr>
      <w:tr>
        <w:tc>
          <w:tcPr/>
          <w:p>
            <w:pPr>
              <w:pStyle w:val="Compact"/>
              <w:jc w:val="left"/>
            </w:pPr>
            <w:r>
              <w:rPr>
                <w:b/>
                <w:bCs/>
              </w:rPr>
              <w:t xml:space="preserve">C. Irreplaceability</w:t>
            </w:r>
          </w:p>
        </w:tc>
        <w:tc>
          <w:tcPr/>
          <w:p>
            <w:pPr>
              <w:pStyle w:val="Compact"/>
              <w:jc w:val="left"/>
            </w:pPr>
            <w:r>
              <w:t xml:space="preserve">Samples from discontinued cohorts, deceased donors</w:t>
            </w:r>
          </w:p>
        </w:tc>
        <w:tc>
          <w:tcPr/>
          <w:p>
            <w:pPr>
              <w:pStyle w:val="Compact"/>
              <w:jc w:val="center"/>
            </w:pPr>
            <w:r>
              <w:t xml:space="preserve">20</w:t>
            </w:r>
          </w:p>
        </w:tc>
      </w:tr>
      <w:tr>
        <w:tc>
          <w:tcPr/>
          <w:p>
            <w:pPr>
              <w:pStyle w:val="Compact"/>
              <w:jc w:val="left"/>
            </w:pPr>
            <w:r>
              <w:rPr>
                <w:b/>
                <w:bCs/>
              </w:rPr>
              <w:t xml:space="preserve">D. Research Infrastructure</w:t>
            </w:r>
          </w:p>
        </w:tc>
        <w:tc>
          <w:tcPr/>
          <w:p>
            <w:pPr>
              <w:pStyle w:val="Compact"/>
              <w:jc w:val="left"/>
            </w:pPr>
            <w:r>
              <w:t xml:space="preserve">National research ecosystem dependency</w:t>
            </w:r>
          </w:p>
        </w:tc>
        <w:tc>
          <w:tcPr/>
          <w:p>
            <w:pPr>
              <w:pStyle w:val="Compact"/>
              <w:jc w:val="center"/>
            </w:pPr>
            <w:r>
              <w:t xml:space="preserve">15</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85</w:t>
            </w:r>
          </w:p>
        </w:tc>
      </w:tr>
    </w:tbl>
    <w:bookmarkEnd w:id="591"/>
    <w:bookmarkEnd w:id="592"/>
    <w:bookmarkStart w:id="593" w:name="classification-result-20"/>
    <w:p>
      <w:pPr>
        <w:pStyle w:val="Heading3"/>
      </w:pPr>
      <w:r>
        <w:t xml:space="preserve">Classification Result</w:t>
      </w:r>
    </w:p>
    <w:tbl>
      <w:tblPr>
        <w:tblStyle w:val="Table"/>
        <w:tblW w:type="pct" w:w="5000"/>
        <w:tblLayout w:type="fixed"/>
        <w:tblLook w:firstRow="1" w:lastRow="0" w:firstColumn="0" w:lastColumn="0" w:noHBand="0" w:noVBand="0" w:val="0020"/>
      </w:tblPr>
      <w:tblGrid>
        <w:gridCol w:w="2489"/>
        <w:gridCol w:w="1584"/>
        <w:gridCol w:w="1357"/>
        <w:gridCol w:w="2489"/>
      </w:tblGrid>
      <w:tr>
        <w:trPr>
          <w:tblHeader w:val="on"/>
        </w:trPr>
        <w:tc>
          <w:tcPr/>
          <w:p>
            <w:pPr>
              <w:pStyle w:val="Compact"/>
              <w:jc w:val="left"/>
            </w:pPr>
            <w:r>
              <w:t xml:space="preserve">Framework</w:t>
            </w:r>
          </w:p>
        </w:tc>
        <w:tc>
          <w:tcPr/>
          <w:p>
            <w:pPr>
              <w:pStyle w:val="Compact"/>
              <w:jc w:val="left"/>
            </w:pPr>
            <w:r>
              <w:t xml:space="preserve">Score</w:t>
            </w:r>
          </w:p>
        </w:tc>
        <w:tc>
          <w:tcPr/>
          <w:p>
            <w:pPr>
              <w:pStyle w:val="Compact"/>
              <w:jc w:val="left"/>
            </w:pPr>
            <w:r>
              <w:t xml:space="preserve">Tier</w:t>
            </w:r>
          </w:p>
        </w:tc>
        <w:tc>
          <w:tcPr/>
          <w:p>
            <w:pPr>
              <w:pStyle w:val="Compact"/>
              <w:jc w:val="left"/>
            </w:pPr>
            <w:r>
              <w:t xml:space="preserve">Rationale</w:t>
            </w:r>
          </w:p>
        </w:tc>
      </w:tr>
      <w:tr>
        <w:tc>
          <w:tcPr/>
          <w:p>
            <w:pPr>
              <w:pStyle w:val="Compact"/>
              <w:jc w:val="left"/>
            </w:pPr>
            <w:r>
              <w:rPr>
                <w:b/>
                <w:bCs/>
              </w:rPr>
              <w:t xml:space="preserve">Developing Country</w:t>
            </w:r>
          </w:p>
        </w:tc>
        <w:tc>
          <w:tcPr/>
          <w:p>
            <w:pPr>
              <w:pStyle w:val="Compact"/>
              <w:jc w:val="left"/>
            </w:pPr>
            <w:r>
              <w:t xml:space="preserve">85</w:t>
            </w:r>
          </w:p>
        </w:tc>
        <w:tc>
          <w:tcPr/>
          <w:p>
            <w:pPr>
              <w:pStyle w:val="Compact"/>
              <w:jc w:val="left"/>
            </w:pPr>
            <w:r>
              <w:rPr>
                <w:b/>
                <w:bCs/>
              </w:rPr>
              <w:t xml:space="preserve">Tier 1 (Essential)</w:t>
            </w:r>
          </w:p>
        </w:tc>
        <w:tc>
          <w:tcPr/>
          <w:p>
            <w:pPr>
              <w:pStyle w:val="Compact"/>
              <w:jc w:val="left"/>
            </w:pPr>
            <w:r>
              <w:t xml:space="preserve">Irreplaceable national research resource; linked sensitive data</w:t>
            </w:r>
          </w:p>
        </w:tc>
      </w:tr>
    </w:tbl>
    <w:p>
      <w:pPr>
        <w:pStyle w:val="BlockText"/>
      </w:pPr>
      <w:r>
        <w:t xml:space="preserve">[!NOTE]</w:t>
      </w:r>
      <w:r>
        <w:t xml:space="preserve"> </w:t>
      </w:r>
      <w:r>
        <w:t xml:space="preserve">Biobanks present</w:t>
      </w:r>
      <w:r>
        <w:t xml:space="preserve"> </w:t>
      </w:r>
      <w:r>
        <w:rPr>
          <w:b/>
          <w:bCs/>
        </w:rPr>
        <w:t xml:space="preserve">hybrid physical-cyber security requirements</w:t>
      </w:r>
      <w:r>
        <w:t xml:space="preserve">. Loss of sample integrity (physical) or linked data (cyber) both constitute major incidents. CII frameworks should explicitly address</w:t>
      </w:r>
      <w:r>
        <w:t xml:space="preserve"> </w:t>
      </w:r>
      <w:r>
        <w:rPr>
          <w:b/>
          <w:bCs/>
        </w:rPr>
        <w:t xml:space="preserve">biobank-specific criteria</w:t>
      </w:r>
      <w:r>
        <w:t xml:space="preserve">.</w:t>
      </w:r>
    </w:p>
    <w:bookmarkEnd w:id="593"/>
    <w:bookmarkStart w:id="594" w:name="applicable-obligations-17"/>
    <w:p>
      <w:pPr>
        <w:pStyle w:val="Heading3"/>
      </w:pPr>
      <w:r>
        <w:t xml:space="preserve">Applicable Obligations</w:t>
      </w:r>
    </w:p>
    <w:p>
      <w:pPr>
        <w:pStyle w:val="Compact"/>
        <w:numPr>
          <w:ilvl w:val="0"/>
          <w:numId w:val="1357"/>
        </w:numPr>
      </w:pPr>
      <w:r>
        <w:t xml:space="preserve">Dedicated security officer (physical + cyber)</w:t>
      </w:r>
    </w:p>
    <w:p>
      <w:pPr>
        <w:pStyle w:val="Compact"/>
        <w:numPr>
          <w:ilvl w:val="0"/>
          <w:numId w:val="1357"/>
        </w:numPr>
      </w:pPr>
      <w:r>
        <w:t xml:space="preserve">Annual audit covering both physical and IT security</w:t>
      </w:r>
    </w:p>
    <w:p>
      <w:pPr>
        <w:pStyle w:val="Compact"/>
        <w:numPr>
          <w:ilvl w:val="0"/>
          <w:numId w:val="1357"/>
        </w:numPr>
      </w:pPr>
      <w:r>
        <w:t xml:space="preserve">24-hour incident reporting (including physical security events)</w:t>
      </w:r>
    </w:p>
    <w:p>
      <w:pPr>
        <w:pStyle w:val="Compact"/>
        <w:numPr>
          <w:ilvl w:val="0"/>
          <w:numId w:val="1357"/>
        </w:numPr>
      </w:pPr>
      <w:r>
        <w:t xml:space="preserve">Sample tracking integrity controls</w:t>
      </w:r>
    </w:p>
    <w:p>
      <w:pPr>
        <w:pStyle w:val="Compact"/>
        <w:numPr>
          <w:ilvl w:val="0"/>
          <w:numId w:val="1357"/>
        </w:numPr>
      </w:pPr>
      <w:r>
        <w:t xml:space="preserve">Access management for researchers (physical + data)</w:t>
      </w:r>
    </w:p>
    <w:p>
      <w:pPr>
        <w:pStyle w:val="Compact"/>
        <w:numPr>
          <w:ilvl w:val="0"/>
          <w:numId w:val="1357"/>
        </w:numPr>
      </w:pPr>
      <w:r>
        <w:t xml:space="preserve">Backup and disaster recovery for LIMS</w:t>
      </w:r>
    </w:p>
    <w:p>
      <w:pPr>
        <w:pStyle w:val="Compact"/>
        <w:numPr>
          <w:ilvl w:val="0"/>
          <w:numId w:val="1357"/>
        </w:numPr>
      </w:pPr>
      <w:r>
        <w:t xml:space="preserve">Consent management system security</w:t>
      </w:r>
    </w:p>
    <w:p>
      <w:pPr>
        <w:pStyle w:val="Compact"/>
        <w:numPr>
          <w:ilvl w:val="0"/>
          <w:numId w:val="1357"/>
        </w:numPr>
      </w:pPr>
      <w:r>
        <w:t xml:space="preserve">Third-party researcher security assessment</w:t>
      </w:r>
    </w:p>
    <w:p>
      <w:pPr>
        <w:pStyle w:val="Compact"/>
        <w:numPr>
          <w:ilvl w:val="0"/>
          <w:numId w:val="1357"/>
        </w:numPr>
      </w:pPr>
      <w:r>
        <w:t xml:space="preserve">International collaboration data transfer controls</w:t>
      </w:r>
    </w:p>
    <w:p>
      <w:r>
        <w:pict>
          <v:rect style="width:0;height:1.5pt" o:hralign="center" o:hrstd="t" o:hr="t"/>
        </w:pict>
      </w:r>
    </w:p>
    <w:bookmarkEnd w:id="594"/>
    <w:bookmarkEnd w:id="595"/>
    <w:bookmarkStart w:id="602" w:name="Xbf7d94a7060e12791bacc15231f5aae6b54752e"/>
    <w:p>
      <w:pPr>
        <w:pStyle w:val="Heading2"/>
      </w:pPr>
      <w:r>
        <w:t xml:space="preserve">Case Study 3: State Blood Transfusion Council -</w:t>
      </w:r>
      <w:r>
        <w:t xml:space="preserve"> </w:t>
      </w:r>
      <w:r>
        <w:t xml:space="preserve">“Jeevan Raksha”</w:t>
      </w:r>
    </w:p>
    <w:bookmarkStart w:id="596" w:name="entity-profile-21"/>
    <w:p>
      <w:pPr>
        <w:pStyle w:val="Heading3"/>
      </w:pPr>
      <w:r>
        <w:t xml:space="preserve">Entity Profile</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jc w:val="left"/>
            </w:pPr>
            <w:r>
              <w:t xml:space="preserve">Attribute</w:t>
            </w:r>
          </w:p>
        </w:tc>
        <w:tc>
          <w:tcPr/>
          <w:p>
            <w:pPr>
              <w:pStyle w:val="Compact"/>
              <w:jc w:val="left"/>
            </w:pPr>
            <w:r>
              <w:t xml:space="preserve">Details</w:t>
            </w:r>
          </w:p>
        </w:tc>
      </w:tr>
      <w:tr>
        <w:tc>
          <w:tcPr/>
          <w:p>
            <w:pPr>
              <w:pStyle w:val="Compact"/>
              <w:jc w:val="left"/>
            </w:pPr>
            <w:r>
              <w:rPr>
                <w:b/>
                <w:bCs/>
              </w:rPr>
              <w:t xml:space="preserve">Name</w:t>
            </w:r>
          </w:p>
        </w:tc>
        <w:tc>
          <w:tcPr/>
          <w:p>
            <w:pPr>
              <w:pStyle w:val="Compact"/>
              <w:jc w:val="left"/>
            </w:pPr>
            <w:r>
              <w:t xml:space="preserve">Jeevan Raksha State Blood Transfusion Council</w:t>
            </w:r>
          </w:p>
        </w:tc>
      </w:tr>
      <w:tr>
        <w:tc>
          <w:tcPr/>
          <w:p>
            <w:pPr>
              <w:pStyle w:val="Compact"/>
              <w:jc w:val="left"/>
            </w:pPr>
            <w:r>
              <w:rPr>
                <w:b/>
                <w:bCs/>
              </w:rPr>
              <w:t xml:space="preserve">Type</w:t>
            </w:r>
          </w:p>
        </w:tc>
        <w:tc>
          <w:tcPr/>
          <w:p>
            <w:pPr>
              <w:pStyle w:val="Compact"/>
              <w:jc w:val="left"/>
            </w:pPr>
            <w:r>
              <w:t xml:space="preserve">State-level blood transfusion coordination agency</w:t>
            </w:r>
          </w:p>
        </w:tc>
      </w:tr>
      <w:tr>
        <w:tc>
          <w:tcPr/>
          <w:p>
            <w:pPr>
              <w:pStyle w:val="Compact"/>
              <w:jc w:val="left"/>
            </w:pPr>
            <w:r>
              <w:rPr>
                <w:b/>
                <w:bCs/>
              </w:rPr>
              <w:t xml:space="preserve">Coverage</w:t>
            </w:r>
          </w:p>
        </w:tc>
        <w:tc>
          <w:tcPr/>
          <w:p>
            <w:pPr>
              <w:pStyle w:val="Compact"/>
              <w:jc w:val="left"/>
            </w:pPr>
            <w:r>
              <w:t xml:space="preserve">28 districts; coordinates 45 blood banks</w:t>
            </w:r>
          </w:p>
        </w:tc>
      </w:tr>
      <w:tr>
        <w:tc>
          <w:tcPr/>
          <w:p>
            <w:pPr>
              <w:pStyle w:val="Compact"/>
              <w:jc w:val="left"/>
            </w:pPr>
            <w:r>
              <w:rPr>
                <w:b/>
                <w:bCs/>
              </w:rPr>
              <w:t xml:space="preserve">Functions</w:t>
            </w:r>
          </w:p>
        </w:tc>
        <w:tc>
          <w:tcPr/>
          <w:p>
            <w:pPr>
              <w:pStyle w:val="Compact"/>
              <w:jc w:val="left"/>
            </w:pPr>
            <w:r>
              <w:t xml:space="preserve">Blood inventory management, donor registry, cross-matching coordination</w:t>
            </w:r>
          </w:p>
        </w:tc>
      </w:tr>
      <w:tr>
        <w:tc>
          <w:tcPr/>
          <w:p>
            <w:pPr>
              <w:pStyle w:val="Compact"/>
              <w:jc w:val="left"/>
            </w:pPr>
            <w:r>
              <w:rPr>
                <w:b/>
                <w:bCs/>
              </w:rPr>
              <w:t xml:space="preserve">Population served</w:t>
            </w:r>
          </w:p>
        </w:tc>
        <w:tc>
          <w:tcPr/>
          <w:p>
            <w:pPr>
              <w:pStyle w:val="Compact"/>
              <w:jc w:val="left"/>
            </w:pPr>
            <w:r>
              <w:t xml:space="preserve">50 million</w:t>
            </w:r>
          </w:p>
        </w:tc>
      </w:tr>
      <w:tr>
        <w:tc>
          <w:tcPr/>
          <w:p>
            <w:pPr>
              <w:pStyle w:val="Compact"/>
              <w:jc w:val="left"/>
            </w:pPr>
            <w:r>
              <w:rPr>
                <w:b/>
                <w:bCs/>
              </w:rPr>
              <w:t xml:space="preserve">Employees</w:t>
            </w:r>
          </w:p>
        </w:tc>
        <w:tc>
          <w:tcPr/>
          <w:p>
            <w:pPr>
              <w:pStyle w:val="Compact"/>
              <w:jc w:val="left"/>
            </w:pPr>
            <w:r>
              <w:t xml:space="preserve">85</w:t>
            </w:r>
          </w:p>
        </w:tc>
      </w:tr>
      <w:tr>
        <w:tc>
          <w:tcPr/>
          <w:p>
            <w:pPr>
              <w:pStyle w:val="Compact"/>
              <w:jc w:val="left"/>
            </w:pPr>
            <w:r>
              <w:rPr>
                <w:b/>
                <w:bCs/>
              </w:rPr>
              <w:t xml:space="preserve">Digital systems</w:t>
            </w:r>
          </w:p>
        </w:tc>
        <w:tc>
          <w:tcPr/>
          <w:p>
            <w:pPr>
              <w:pStyle w:val="Compact"/>
              <w:jc w:val="left"/>
            </w:pPr>
            <w:r>
              <w:t xml:space="preserve">State blood bank management system; real-time inventory</w:t>
            </w:r>
          </w:p>
        </w:tc>
      </w:tr>
      <w:tr>
        <w:tc>
          <w:tcPr/>
          <w:p>
            <w:pPr>
              <w:pStyle w:val="Compact"/>
              <w:jc w:val="left"/>
            </w:pPr>
            <w:r>
              <w:rPr>
                <w:b/>
                <w:bCs/>
              </w:rPr>
              <w:t xml:space="preserve">Connectivity</w:t>
            </w:r>
          </w:p>
        </w:tc>
        <w:tc>
          <w:tcPr/>
          <w:p>
            <w:pPr>
              <w:pStyle w:val="Compact"/>
              <w:jc w:val="left"/>
            </w:pPr>
            <w:r>
              <w:t xml:space="preserve">Connected to all district blood banks</w:t>
            </w:r>
          </w:p>
        </w:tc>
      </w:tr>
    </w:tbl>
    <w:bookmarkEnd w:id="596"/>
    <w:bookmarkStart w:id="599" w:name="cii-classification-assessment-21"/>
    <w:p>
      <w:pPr>
        <w:pStyle w:val="Heading3"/>
      </w:pPr>
      <w:r>
        <w:t xml:space="preserve">CII Classification Assessment</w:t>
      </w:r>
    </w:p>
    <w:bookmarkStart w:id="597" w:name="automatic-tier-1-trigger-analysis-6"/>
    <w:p>
      <w:pPr>
        <w:pStyle w:val="Heading4"/>
      </w:pPr>
      <w:r>
        <w:t xml:space="preserve">Automatic Tier 1 Trigger Analysis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“Regardless of Size”</w:t>
            </w:r>
            <w:r>
              <w:t xml:space="preserve"> </w:t>
            </w:r>
            <w:r>
              <w:t xml:space="preserve">Criterion</w:t>
            </w:r>
          </w:p>
        </w:tc>
        <w:tc>
          <w:tcPr/>
          <w:p>
            <w:pPr>
              <w:pStyle w:val="Compact"/>
              <w:jc w:val="center"/>
            </w:pPr>
            <w:r>
              <w:t xml:space="preserve">Applies?</w:t>
            </w:r>
          </w:p>
        </w:tc>
      </w:tr>
      <w:tr>
        <w:tc>
          <w:tcPr/>
          <w:p>
            <w:pPr>
              <w:pStyle w:val="Compact"/>
              <w:jc w:val="left"/>
            </w:pPr>
            <w:r>
              <w:t xml:space="preserve">Operates blood allocation services at regional level</w:t>
            </w:r>
          </w:p>
        </w:tc>
        <w:tc>
          <w:tcPr/>
          <w:p>
            <w:pPr>
              <w:pStyle w:val="Compact"/>
              <w:jc w:val="center"/>
            </w:pPr>
            <w:r>
              <w:t xml:space="preserve">✓</w:t>
            </w:r>
          </w:p>
        </w:tc>
      </w:tr>
      <w:tr>
        <w:tc>
          <w:tcPr/>
          <w:p>
            <w:pPr>
              <w:pStyle w:val="Compact"/>
              <w:jc w:val="left"/>
            </w:pPr>
            <w:r>
              <w:t xml:space="preserve">Single point of coordination for state blood supply</w:t>
            </w:r>
          </w:p>
        </w:tc>
        <w:tc>
          <w:tcPr/>
          <w:p>
            <w:pPr>
              <w:pStyle w:val="Compact"/>
              <w:jc w:val="center"/>
            </w:pPr>
            <w:r>
              <w:t xml:space="preserve">✓</w:t>
            </w:r>
          </w:p>
        </w:tc>
      </w:tr>
      <w:tr>
        <w:tc>
          <w:tcPr/>
          <w:p>
            <w:pPr>
              <w:pStyle w:val="Compact"/>
              <w:jc w:val="left"/>
            </w:pPr>
            <w:r>
              <w:t xml:space="preserve">Life-critical dependency (emergency transfusions)</w:t>
            </w:r>
          </w:p>
        </w:tc>
        <w:tc>
          <w:tcPr/>
          <w:p>
            <w:pPr>
              <w:pStyle w:val="Compact"/>
              <w:jc w:val="center"/>
            </w:pPr>
            <w:r>
              <w:t xml:space="preserve">✓</w:t>
            </w:r>
          </w:p>
        </w:tc>
      </w:tr>
    </w:tbl>
    <w:bookmarkEnd w:id="597"/>
    <w:bookmarkStart w:id="598" w:name="scoring-developing-country-framework-16"/>
    <w:p>
      <w:pPr>
        <w:pStyle w:val="Heading4"/>
      </w:pPr>
      <w:r>
        <w:t xml:space="preserve">Scoring (Developing Country Framework)</w:t>
      </w:r>
    </w:p>
    <w:tbl>
      <w:tblPr>
        <w:tblStyle w:val="Table"/>
        <w:tblW w:type="pct" w:w="5000"/>
        <w:tblLayout w:type="fixed"/>
        <w:tblLook w:firstRow="1" w:lastRow="0" w:firstColumn="0" w:lastColumn="0" w:noHBand="0" w:noVBand="0" w:val="0020"/>
      </w:tblPr>
      <w:tblGrid>
        <w:gridCol w:w="1863"/>
        <w:gridCol w:w="2562"/>
        <w:gridCol w:w="3494"/>
      </w:tblGrid>
      <w:tr>
        <w:trPr>
          <w:tblHeader w:val="on"/>
        </w:trPr>
        <w:tc>
          <w:tcPr/>
          <w:p>
            <w:pPr>
              <w:pStyle w:val="Compact"/>
              <w:jc w:val="left"/>
            </w:pPr>
            <w:r>
              <w:t xml:space="preserve">Domain</w:t>
            </w:r>
          </w:p>
        </w:tc>
        <w:tc>
          <w:tcPr/>
          <w:p>
            <w:pPr>
              <w:pStyle w:val="Compact"/>
              <w:jc w:val="left"/>
            </w:pPr>
            <w:r>
              <w:t xml:space="preserve">Criterion</w:t>
            </w:r>
          </w:p>
        </w:tc>
        <w:tc>
          <w:tcPr/>
          <w:p>
            <w:pPr>
              <w:pStyle w:val="Compact"/>
              <w:jc w:val="center"/>
            </w:pPr>
            <w:r>
              <w:t xml:space="preserve">Points Scored</w:t>
            </w:r>
          </w:p>
        </w:tc>
      </w:tr>
      <w:tr>
        <w:tc>
          <w:tcPr/>
          <w:p>
            <w:pPr>
              <w:pStyle w:val="Compact"/>
              <w:jc w:val="left"/>
            </w:pPr>
            <w:r>
              <w:rPr>
                <w:b/>
                <w:bCs/>
              </w:rPr>
              <w:t xml:space="preserve">A. Scale</w:t>
            </w:r>
          </w:p>
        </w:tc>
        <w:tc>
          <w:tcPr/>
          <w:p>
            <w:pPr>
              <w:pStyle w:val="Compact"/>
              <w:jc w:val="left"/>
            </w:pPr>
            <w:r>
              <w:t xml:space="preserve">Not applicable (coordination agency)</w:t>
            </w:r>
          </w:p>
        </w:tc>
        <w:tc>
          <w:tcPr/>
          <w:p>
            <w:pPr>
              <w:pStyle w:val="Compact"/>
              <w:jc w:val="center"/>
            </w:pPr>
            <w:r>
              <w:t xml:space="preserve">0</w:t>
            </w:r>
          </w:p>
        </w:tc>
      </w:tr>
      <w:tr>
        <w:tc>
          <w:tcPr/>
          <w:p>
            <w:pPr>
              <w:pStyle w:val="Compact"/>
              <w:jc w:val="left"/>
            </w:pPr>
            <w:r>
              <w:rPr>
                <w:b/>
                <w:bCs/>
              </w:rPr>
              <w:t xml:space="preserve">B. Public System Role</w:t>
            </w:r>
          </w:p>
        </w:tc>
        <w:tc>
          <w:tcPr/>
          <w:p>
            <w:pPr>
              <w:pStyle w:val="Compact"/>
              <w:jc w:val="left"/>
            </w:pPr>
            <w:r>
              <w:t xml:space="preserve">State-level life-critical service</w:t>
            </w:r>
          </w:p>
        </w:tc>
        <w:tc>
          <w:tcPr/>
          <w:p>
            <w:pPr>
              <w:pStyle w:val="Compact"/>
              <w:jc w:val="center"/>
            </w:pPr>
            <w:r>
              <w:t xml:space="preserve">25</w:t>
            </w:r>
          </w:p>
        </w:tc>
      </w:tr>
      <w:tr>
        <w:tc>
          <w:tcPr/>
          <w:p>
            <w:pPr>
              <w:pStyle w:val="Compact"/>
              <w:jc w:val="left"/>
            </w:pPr>
            <w:r>
              <w:rPr>
                <w:b/>
                <w:bCs/>
              </w:rPr>
              <w:t xml:space="preserve">C. Geographic Criticality</w:t>
            </w:r>
          </w:p>
        </w:tc>
        <w:tc>
          <w:tcPr/>
          <w:p>
            <w:pPr>
              <w:pStyle w:val="Compact"/>
              <w:jc w:val="left"/>
            </w:pPr>
            <w:r>
              <w:t xml:space="preserve">Single coordination point for state</w:t>
            </w:r>
          </w:p>
        </w:tc>
        <w:tc>
          <w:tcPr/>
          <w:p>
            <w:pPr>
              <w:pStyle w:val="Compact"/>
              <w:jc w:val="center"/>
            </w:pPr>
            <w:r>
              <w:t xml:space="preserve">20</w:t>
            </w:r>
          </w:p>
        </w:tc>
      </w:tr>
      <w:tr>
        <w:tc>
          <w:tcPr/>
          <w:p>
            <w:pPr>
              <w:pStyle w:val="Compact"/>
              <w:jc w:val="left"/>
            </w:pPr>
            <w:r>
              <w:rPr>
                <w:b/>
                <w:bCs/>
              </w:rPr>
              <w:t xml:space="preserve">D. Functions</w:t>
            </w:r>
          </w:p>
        </w:tc>
        <w:tc>
          <w:tcPr/>
          <w:p>
            <w:pPr>
              <w:pStyle w:val="Compact"/>
              <w:jc w:val="left"/>
            </w:pPr>
            <w:r>
              <w:t xml:space="preserve">Blood bank coordination (life-critical)</w:t>
            </w:r>
          </w:p>
        </w:tc>
        <w:tc>
          <w:tcPr/>
          <w:p>
            <w:pPr>
              <w:pStyle w:val="Compact"/>
              <w:jc w:val="center"/>
            </w:pPr>
            <w:r>
              <w:t xml:space="preserve">25</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70</w:t>
            </w:r>
          </w:p>
        </w:tc>
      </w:tr>
    </w:tbl>
    <w:bookmarkEnd w:id="598"/>
    <w:bookmarkEnd w:id="599"/>
    <w:bookmarkStart w:id="600" w:name="classification-result-21"/>
    <w:p>
      <w:pPr>
        <w:pStyle w:val="Heading3"/>
      </w:pPr>
      <w:r>
        <w:t xml:space="preserve">Classification Result</w:t>
      </w:r>
    </w:p>
    <w:tbl>
      <w:tblPr>
        <w:tblStyle w:val="Table"/>
        <w:tblW w:type="pct" w:w="5000"/>
        <w:tblLayout w:type="fixed"/>
        <w:tblLook w:firstRow="1" w:lastRow="0" w:firstColumn="0" w:lastColumn="0" w:noHBand="0" w:noVBand="0" w:val="0020"/>
      </w:tblPr>
      <w:tblGrid>
        <w:gridCol w:w="3065"/>
        <w:gridCol w:w="2043"/>
        <w:gridCol w:w="2810"/>
      </w:tblGrid>
      <w:tr>
        <w:trPr>
          <w:tblHeader w:val="on"/>
        </w:trPr>
        <w:tc>
          <w:tcPr/>
          <w:p>
            <w:pPr>
              <w:pStyle w:val="Compact"/>
              <w:jc w:val="left"/>
            </w:pPr>
            <w:r>
              <w:t xml:space="preserve">Assessment</w:t>
            </w:r>
          </w:p>
        </w:tc>
        <w:tc>
          <w:tcPr/>
          <w:p>
            <w:pPr>
              <w:pStyle w:val="Compact"/>
              <w:jc w:val="left"/>
            </w:pPr>
            <w:r>
              <w:t xml:space="preserve">Result</w:t>
            </w:r>
          </w:p>
        </w:tc>
        <w:tc>
          <w:tcPr/>
          <w:p>
            <w:pPr>
              <w:pStyle w:val="Compact"/>
              <w:jc w:val="left"/>
            </w:pPr>
            <w:r>
              <w:t xml:space="preserve">Rationale</w:t>
            </w:r>
          </w:p>
        </w:tc>
      </w:tr>
      <w:tr>
        <w:tc>
          <w:tcPr/>
          <w:p>
            <w:pPr>
              <w:pStyle w:val="Compact"/>
              <w:jc w:val="left"/>
            </w:pPr>
            <w:r>
              <w:rPr>
                <w:b/>
                <w:bCs/>
              </w:rPr>
              <w:t xml:space="preserve">Score-based</w:t>
            </w:r>
          </w:p>
        </w:tc>
        <w:tc>
          <w:tcPr/>
          <w:p>
            <w:pPr>
              <w:pStyle w:val="Compact"/>
              <w:jc w:val="left"/>
            </w:pPr>
            <w:r>
              <w:t xml:space="preserve">70 → Tier 1</w:t>
            </w:r>
          </w:p>
        </w:tc>
        <w:tc>
          <w:tcPr/>
          <w:p>
            <w:pPr>
              <w:pStyle w:val="Compact"/>
              <w:jc w:val="left"/>
            </w:pPr>
            <w:r>
              <w:t xml:space="preserve">High score on function and uniqueness</w:t>
            </w:r>
          </w:p>
        </w:tc>
      </w:tr>
      <w:tr>
        <w:tc>
          <w:tcPr/>
          <w:p>
            <w:pPr>
              <w:pStyle w:val="Compact"/>
              <w:jc w:val="left"/>
            </w:pPr>
            <w:r>
              <w:rPr>
                <w:b/>
                <w:bCs/>
              </w:rPr>
              <w:t xml:space="preserve">Automatic Tier 1</w:t>
            </w:r>
          </w:p>
        </w:tc>
        <w:tc>
          <w:tcPr/>
          <w:p>
            <w:pPr>
              <w:pStyle w:val="Compact"/>
              <w:jc w:val="left"/>
            </w:pPr>
            <w:r>
              <w:t xml:space="preserve">Yes</w:t>
            </w:r>
          </w:p>
        </w:tc>
        <w:tc>
          <w:tcPr/>
          <w:p>
            <w:pPr>
              <w:pStyle w:val="Compact"/>
              <w:jc w:val="left"/>
            </w:pPr>
            <w:r>
              <w:t xml:space="preserve">Blood supply coordination is automatic trigger</w:t>
            </w:r>
          </w:p>
        </w:tc>
      </w:tr>
    </w:tbl>
    <w:bookmarkEnd w:id="600"/>
    <w:bookmarkStart w:id="601" w:name="applicable-obligations-18"/>
    <w:p>
      <w:pPr>
        <w:pStyle w:val="Heading3"/>
      </w:pPr>
      <w:r>
        <w:t xml:space="preserve">Applicable Obligations</w:t>
      </w:r>
    </w:p>
    <w:p>
      <w:pPr>
        <w:pStyle w:val="Compact"/>
        <w:numPr>
          <w:ilvl w:val="0"/>
          <w:numId w:val="1358"/>
        </w:numPr>
      </w:pPr>
      <w:r>
        <w:t xml:space="preserve">Dedicated security officer</w:t>
      </w:r>
    </w:p>
    <w:p>
      <w:pPr>
        <w:pStyle w:val="Compact"/>
        <w:numPr>
          <w:ilvl w:val="0"/>
          <w:numId w:val="1358"/>
        </w:numPr>
      </w:pPr>
      <w:r>
        <w:t xml:space="preserve">Real-time monitoring of blood inventory system</w:t>
      </w:r>
    </w:p>
    <w:p>
      <w:pPr>
        <w:pStyle w:val="Compact"/>
        <w:numPr>
          <w:ilvl w:val="0"/>
          <w:numId w:val="1358"/>
        </w:numPr>
      </w:pPr>
      <w:r>
        <w:t xml:space="preserve">24-hour incident reporting (supply chain disruption)</w:t>
      </w:r>
    </w:p>
    <w:p>
      <w:pPr>
        <w:pStyle w:val="Compact"/>
        <w:numPr>
          <w:ilvl w:val="0"/>
          <w:numId w:val="1358"/>
        </w:numPr>
      </w:pPr>
      <w:r>
        <w:t xml:space="preserve">Business continuity: Manual fallback for blood matching/allocation</w:t>
      </w:r>
    </w:p>
    <w:p>
      <w:pPr>
        <w:pStyle w:val="Compact"/>
        <w:numPr>
          <w:ilvl w:val="0"/>
          <w:numId w:val="1358"/>
        </w:numPr>
      </w:pPr>
      <w:r>
        <w:t xml:space="preserve">Annual audit with focus on data integrity</w:t>
      </w:r>
    </w:p>
    <w:p>
      <w:r>
        <w:pict>
          <v:rect style="width:0;height:1.5pt" o:hralign="center" o:hrstd="t" o:hr="t"/>
        </w:pict>
      </w:r>
    </w:p>
    <w:bookmarkEnd w:id="601"/>
    <w:bookmarkEnd w:id="602"/>
    <w:bookmarkStart w:id="604" w:name="Xa21d8f1ab49949316018fef355f42632b9a5831"/>
    <w:p>
      <w:pPr>
        <w:pStyle w:val="Heading2"/>
      </w:pPr>
      <w:r>
        <w:t xml:space="preserve">Summary: Registries, Biobanks, and Blood Services Classification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Case Study</w:t>
            </w:r>
          </w:p>
        </w:tc>
        <w:tc>
          <w:tcPr/>
          <w:p>
            <w:pPr>
              <w:pStyle w:val="Compact"/>
              <w:jc w:val="left"/>
            </w:pPr>
            <w:r>
              <w:t xml:space="preserve">Entity Type</w:t>
            </w:r>
          </w:p>
        </w:tc>
        <w:tc>
          <w:tcPr/>
          <w:p>
            <w:pPr>
              <w:pStyle w:val="Compact"/>
              <w:jc w:val="center"/>
            </w:pPr>
            <w:r>
              <w:t xml:space="preserve">Score</w:t>
            </w:r>
          </w:p>
        </w:tc>
        <w:tc>
          <w:tcPr/>
          <w:p>
            <w:pPr>
              <w:pStyle w:val="Compact"/>
              <w:jc w:val="center"/>
            </w:pPr>
            <w:r>
              <w:t xml:space="preserve">Tier</w:t>
            </w:r>
          </w:p>
        </w:tc>
      </w:tr>
      <w:tr>
        <w:tc>
          <w:tcPr/>
          <w:p>
            <w:pPr>
              <w:pStyle w:val="Compact"/>
              <w:jc w:val="left"/>
            </w:pPr>
            <w:r>
              <w:t xml:space="preserve">OncoWatch</w:t>
            </w:r>
          </w:p>
        </w:tc>
        <w:tc>
          <w:tcPr/>
          <w:p>
            <w:pPr>
              <w:pStyle w:val="Compact"/>
              <w:jc w:val="left"/>
            </w:pPr>
            <w:r>
              <w:t xml:space="preserve">National cancer registry</w:t>
            </w:r>
          </w:p>
        </w:tc>
        <w:tc>
          <w:tcPr/>
          <w:p>
            <w:pPr>
              <w:pStyle w:val="Compact"/>
              <w:jc w:val="center"/>
            </w:pPr>
            <w:r>
              <w:t xml:space="preserve">85</w:t>
            </w:r>
          </w:p>
        </w:tc>
        <w:tc>
          <w:tcPr/>
          <w:p>
            <w:pPr>
              <w:pStyle w:val="Compact"/>
              <w:jc w:val="center"/>
            </w:pPr>
            <w:r>
              <w:rPr>
                <w:b/>
                <w:bCs/>
              </w:rPr>
              <w:t xml:space="preserve">Tier 1</w:t>
            </w:r>
            <w:r>
              <w:t xml:space="preserve"> </w:t>
            </w:r>
            <w:r>
              <w:t xml:space="preserve">(auto)</w:t>
            </w:r>
          </w:p>
        </w:tc>
      </w:tr>
      <w:tr>
        <w:tc>
          <w:tcPr/>
          <w:p>
            <w:pPr>
              <w:pStyle w:val="Compact"/>
              <w:jc w:val="left"/>
            </w:pPr>
            <w:r>
              <w:t xml:space="preserve">JeevanKosh</w:t>
            </w:r>
          </w:p>
        </w:tc>
        <w:tc>
          <w:tcPr/>
          <w:p>
            <w:pPr>
              <w:pStyle w:val="Compact"/>
              <w:jc w:val="left"/>
            </w:pPr>
            <w:r>
              <w:t xml:space="preserve">National biobank</w:t>
            </w:r>
          </w:p>
        </w:tc>
        <w:tc>
          <w:tcPr/>
          <w:p>
            <w:pPr>
              <w:pStyle w:val="Compact"/>
              <w:jc w:val="center"/>
            </w:pPr>
            <w:r>
              <w:t xml:space="preserve">85</w:t>
            </w:r>
          </w:p>
        </w:tc>
        <w:tc>
          <w:tcPr/>
          <w:p>
            <w:pPr>
              <w:pStyle w:val="Compact"/>
              <w:jc w:val="center"/>
            </w:pPr>
            <w:r>
              <w:rPr>
                <w:b/>
                <w:bCs/>
              </w:rPr>
              <w:t xml:space="preserve">Tier 1</w:t>
            </w:r>
          </w:p>
        </w:tc>
      </w:tr>
      <w:tr>
        <w:tc>
          <w:tcPr/>
          <w:p>
            <w:pPr>
              <w:pStyle w:val="Compact"/>
              <w:jc w:val="left"/>
            </w:pPr>
            <w:r>
              <w:t xml:space="preserve">Jeevan Raksha</w:t>
            </w:r>
          </w:p>
        </w:tc>
        <w:tc>
          <w:tcPr/>
          <w:p>
            <w:pPr>
              <w:pStyle w:val="Compact"/>
              <w:jc w:val="left"/>
            </w:pPr>
            <w:r>
              <w:t xml:space="preserve">State blood coordination</w:t>
            </w:r>
          </w:p>
        </w:tc>
        <w:tc>
          <w:tcPr/>
          <w:p>
            <w:pPr>
              <w:pStyle w:val="Compact"/>
              <w:jc w:val="center"/>
            </w:pPr>
            <w:r>
              <w:t xml:space="preserve">70</w:t>
            </w:r>
          </w:p>
        </w:tc>
        <w:tc>
          <w:tcPr/>
          <w:p>
            <w:pPr>
              <w:pStyle w:val="Compact"/>
              <w:jc w:val="center"/>
            </w:pPr>
            <w:r>
              <w:rPr>
                <w:b/>
                <w:bCs/>
              </w:rPr>
              <w:t xml:space="preserve">Tier 1</w:t>
            </w:r>
            <w:r>
              <w:t xml:space="preserve"> </w:t>
            </w:r>
            <w:r>
              <w:t xml:space="preserve">(auto)</w:t>
            </w:r>
          </w:p>
        </w:tc>
      </w:tr>
    </w:tbl>
    <w:bookmarkStart w:id="603" w:name="key-insights-4"/>
    <w:p>
      <w:pPr>
        <w:pStyle w:val="Heading3"/>
      </w:pPr>
      <w:r>
        <w:t xml:space="preserve">Key Insights</w:t>
      </w:r>
    </w:p>
    <w:p>
      <w:pPr>
        <w:pStyle w:val="Compact"/>
        <w:numPr>
          <w:ilvl w:val="0"/>
          <w:numId w:val="1359"/>
        </w:numPr>
      </w:pPr>
      <w:r>
        <w:rPr>
          <w:b/>
          <w:bCs/>
        </w:rPr>
        <w:t xml:space="preserve">Disease registries support public health planning</w:t>
      </w:r>
      <w:r>
        <w:t xml:space="preserve">: National registry data is irreplaceable and supports policy decisions</w:t>
      </w:r>
    </w:p>
    <w:p>
      <w:pPr>
        <w:pStyle w:val="Compact"/>
        <w:numPr>
          <w:ilvl w:val="0"/>
          <w:numId w:val="1359"/>
        </w:numPr>
      </w:pPr>
      <w:r>
        <w:rPr>
          <w:b/>
          <w:bCs/>
        </w:rPr>
        <w:t xml:space="preserve">Biobanks need hybrid security</w:t>
      </w:r>
      <w:r>
        <w:t xml:space="preserve">: Physical sample integrity + cyber data protection are equally critical</w:t>
      </w:r>
    </w:p>
    <w:p>
      <w:pPr>
        <w:pStyle w:val="Compact"/>
        <w:numPr>
          <w:ilvl w:val="0"/>
          <w:numId w:val="1359"/>
        </w:numPr>
      </w:pPr>
      <w:r>
        <w:rPr>
          <w:b/>
          <w:bCs/>
        </w:rPr>
        <w:t xml:space="preserve">Blood services are life-critical</w:t>
      </w:r>
      <w:r>
        <w:t xml:space="preserve">: Real-time coordination for emergency transfusions has immediate mortality implications</w:t>
      </w:r>
    </w:p>
    <w:p>
      <w:pPr>
        <w:pStyle w:val="Compact"/>
        <w:numPr>
          <w:ilvl w:val="0"/>
          <w:numId w:val="1359"/>
        </w:numPr>
      </w:pPr>
      <w:r>
        <w:rPr>
          <w:b/>
          <w:bCs/>
        </w:rPr>
        <w:t xml:space="preserve">Longitudinal data is irreplaceable</w:t>
      </w:r>
      <w:r>
        <w:t xml:space="preserve">: Decades of registry/biobank data cannot be reconstructed after loss</w:t>
      </w:r>
    </w:p>
    <w:bookmarkEnd w:id="603"/>
    <w:bookmarkEnd w:id="604"/>
    <w:bookmarkEnd w:id="605"/>
    <w:sectPr>
      <w:footerReference w:type="first" r:id="rId13"/>
      <w:footerReference w:type="default" r:id="rId11"/>
      <w:footerReference w:type="even" r:id="rId1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11">
    <w:abstractNumId w:val="991"/>
  </w:num>
  <w:num w:numId="1012">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3">
    <w:abstractNumId w:val="991"/>
  </w:num>
  <w:num w:numId="1014">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1"/>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3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335">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1"/>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hyperlink" Id="rId457" Target="file:///Users/vivekgupta/workspace/CI%20in%20health/chapters/61%20-%20Case%20Studies%20-%20Healthcare%20Delivery.md" TargetMode="External"/><Relationship Type="http://schemas.openxmlformats.org/officeDocument/2006/relationships/hyperlink" Id="rId458" Target="file:///Users/vivekgupta/workspace/CI%20in%20health/chapters/62%20-%20Case%20Studies%20-%20Digital%20Health%20Platforms.md" TargetMode="External"/><Relationship Type="http://schemas.openxmlformats.org/officeDocument/2006/relationships/hyperlink" Id="rId459" Target="file:///Users/vivekgupta/workspace/CI%20in%20health/chapters/63%20-%20Case%20Studies%20-%20Diagnostics%20Pharma%20Biotech.md" TargetMode="External"/><Relationship Type="http://schemas.openxmlformats.org/officeDocument/2006/relationships/hyperlink" Id="rId460" Target="file:///Users/vivekgupta/workspace/CI%20in%20health/chapters/64%20-%20Case%20Studies%20-%20Public%20Health%20Programs.md" TargetMode="External"/><Relationship Type="http://schemas.openxmlformats.org/officeDocument/2006/relationships/hyperlink" Id="rId461" Target="file:///Users/vivekgupta/workspace/CI%20in%20health/chapters/65%20-%20Case%20Studies%20-%20Registries%20Biobanks%20Blood.md" TargetMode="External"/><Relationship Type="http://schemas.openxmlformats.org/officeDocument/2006/relationships/hyperlink" Id="rId343" Target="https://adilet.zan.kz/eng/docs/P1600000529" TargetMode="External"/><Relationship Type="http://schemas.openxmlformats.org/officeDocument/2006/relationships/hyperlink" Id="rId350" Target="https://dpa.gov.kg/en/npa/17" TargetMode="External"/><Relationship Type="http://schemas.openxmlformats.org/officeDocument/2006/relationships/hyperlink" Id="rId101" Target="https://egcert.eg/publications/%D8%A7%D9%84%D8%A7%D8%B3%D8%AA%D8%B1%D8%A7%D8%AA%D9%8A%D8%AC%D9%8A%D8%A9-%D8%A7%D9%84%D9%88%D8%B7%D9%86%D9%8A%D8%A9-%D9%84%D9%84%D8%A3%D9%85%D9%86-%D8%A7%D9%84%D8%B3%D9%8A%D8%A8%D8%B1%D8%A7%D9%86-2/" TargetMode="External"/><Relationship Type="http://schemas.openxmlformats.org/officeDocument/2006/relationships/hyperlink" Id="rId347" Target="https://kelmczasopisma.com/viewpdf/9631" TargetMode="External"/><Relationship Type="http://schemas.openxmlformats.org/officeDocument/2006/relationships/hyperlink" Id="rId287" Target="https://main.knesset.gov.il/Activity/Legislation/Laws/Pages/LawSecondary.aspx?lawitem=2001695" TargetMode="External"/><Relationship Type="http://schemas.openxmlformats.org/officeDocument/2006/relationships/hyperlink" Id="rId290" Target="https://main.knesset.gov.il/Activity/Legislation/Laws/Pages/LawSecondary.aspx?lawitem=2203300" TargetMode="External"/><Relationship Type="http://schemas.openxmlformats.org/officeDocument/2006/relationships/hyperlink" Id="rId99" Target="https://nc4.go.ke/" TargetMode="External"/><Relationship Type="http://schemas.openxmlformats.org/officeDocument/2006/relationships/hyperlink" Id="rId98" Target="https://nc4.go.ke/services/" TargetMode="External"/><Relationship Type="http://schemas.openxmlformats.org/officeDocument/2006/relationships/hyperlink" Id="rId57" Target="https://new.abb.com/th/process-automation/process-automation-service/advanced-digital-services/cyber-security" TargetMode="External"/><Relationship Type="http://schemas.openxmlformats.org/officeDocument/2006/relationships/hyperlink" Id="rId346" Target="https://regulhub.kaspersky.ru/laws/fz-187" TargetMode="External"/><Relationship Type="http://schemas.openxmlformats.org/officeDocument/2006/relationships/hyperlink" Id="rId56" Target="https://setkab.go.id/presiden-terbitkan-perpres-82-2022-tentang-pelindungan-infrastruktur-informasi-vital/" TargetMode="External"/><Relationship Type="http://schemas.openxmlformats.org/officeDocument/2006/relationships/hyperlink" Id="rId123" Target="https://thepeninsulaqatar.com/article/18/09/2024/national-cyber-security-strategy-2024-2030-launched" TargetMode="External"/><Relationship Type="http://schemas.openxmlformats.org/officeDocument/2006/relationships/hyperlink" Id="rId345" Target="https://www.bocra.org.bw/sites/default/files/documents/approved%20botswana-national-cybersecurity-strategy.pdf" TargetMode="External"/><Relationship Type="http://schemas.openxmlformats.org/officeDocument/2006/relationships/hyperlink" Id="rId271" Target="https://www.coms-auth.hk/en/policies_regulations/other/pcicso/index.html" TargetMode="External"/><Relationship Type="http://schemas.openxmlformats.org/officeDocument/2006/relationships/hyperlink" Id="rId58" Target="https://www.csa.gov.gh/cii" TargetMode="External"/><Relationship Type="http://schemas.openxmlformats.org/officeDocument/2006/relationships/hyperlink" Id="rId54" Target="https://www.csa.gov.sg/legislation/cybersecurity-act/" TargetMode="External"/><Relationship Type="http://schemas.openxmlformats.org/officeDocument/2006/relationships/hyperlink" Id="rId288" Target="https://www.gov.il/BlobFolder/legalinfo/protection-of-privacy-regulations-data-security/en/Protection_of_Privacy_Regulations_Data_Security_5777_2017.pdf" TargetMode="External"/><Relationship Type="http://schemas.openxmlformats.org/officeDocument/2006/relationships/hyperlink" Id="rId53" Target="https://www.interior.gob.cl/noticias/2023/12/12/se-despacha-a-ley-el-proyecto-sobre-ciberseguridad-e-infraestructura-critica-de-la-informacion/" TargetMode="External"/><Relationship Type="http://schemas.openxmlformats.org/officeDocument/2006/relationships/hyperlink" Id="rId270" Target="https://www.legco.gov.hk/yr2025/english/ord/2025ord004-e.pdf" TargetMode="External"/><Relationship Type="http://schemas.openxmlformats.org/officeDocument/2006/relationships/hyperlink" Id="rId289" Target="https://www.mevaker.gov.il/HE/Reports/Pages/695.aspx" TargetMode="External"/><Relationship Type="http://schemas.openxmlformats.org/officeDocument/2006/relationships/hyperlink" Id="rId55" Target="https://www.nacsa.gov.my/NCII.php" TargetMode="External"/><Relationship Type="http://schemas.openxmlformats.org/officeDocument/2006/relationships/hyperlink" Id="rId121" Target="https://www.parliament.gov.zm/node/12319" TargetMode="External"/><Relationship Type="http://schemas.openxmlformats.org/officeDocument/2006/relationships/hyperlink" Id="rId125" Target="https://www.unodc.org/cld/fr/treaties/strategies/united_arab_emirates/are0003s.html" TargetMode="External"/><Relationship Type="http://schemas.openxmlformats.org/officeDocument/2006/relationships/hyperlink" Id="rId344" Target="https://zambialii.org/akn/zm/act/2025/3/eng%402025-04-15" TargetMode="External"/></Relationships>
</file>

<file path=word/_rels/footnotes.xml.rels><?xml version="1.0" encoding="UTF-8"?><Relationships xmlns="http://schemas.openxmlformats.org/package/2006/relationships"><Relationship Type="http://schemas.openxmlformats.org/officeDocument/2006/relationships/hyperlink" Id="rId457" Target="file:///Users/vivekgupta/workspace/CI%20in%20health/chapters/61%20-%20Case%20Studies%20-%20Healthcare%20Delivery.md" TargetMode="External"/><Relationship Type="http://schemas.openxmlformats.org/officeDocument/2006/relationships/hyperlink" Id="rId458" Target="file:///Users/vivekgupta/workspace/CI%20in%20health/chapters/62%20-%20Case%20Studies%20-%20Digital%20Health%20Platforms.md" TargetMode="External"/><Relationship Type="http://schemas.openxmlformats.org/officeDocument/2006/relationships/hyperlink" Id="rId459" Target="file:///Users/vivekgupta/workspace/CI%20in%20health/chapters/63%20-%20Case%20Studies%20-%20Diagnostics%20Pharma%20Biotech.md" TargetMode="External"/><Relationship Type="http://schemas.openxmlformats.org/officeDocument/2006/relationships/hyperlink" Id="rId460" Target="file:///Users/vivekgupta/workspace/CI%20in%20health/chapters/64%20-%20Case%20Studies%20-%20Public%20Health%20Programs.md" TargetMode="External"/><Relationship Type="http://schemas.openxmlformats.org/officeDocument/2006/relationships/hyperlink" Id="rId461" Target="file:///Users/vivekgupta/workspace/CI%20in%20health/chapters/65%20-%20Case%20Studies%20-%20Registries%20Biobanks%20Blood.md" TargetMode="External"/><Relationship Type="http://schemas.openxmlformats.org/officeDocument/2006/relationships/hyperlink" Id="rId343" Target="https://adilet.zan.kz/eng/docs/P1600000529" TargetMode="External"/><Relationship Type="http://schemas.openxmlformats.org/officeDocument/2006/relationships/hyperlink" Id="rId350" Target="https://dpa.gov.kg/en/npa/17" TargetMode="External"/><Relationship Type="http://schemas.openxmlformats.org/officeDocument/2006/relationships/hyperlink" Id="rId101" Target="https://egcert.eg/publications/%D8%A7%D9%84%D8%A7%D8%B3%D8%AA%D8%B1%D8%A7%D8%AA%D9%8A%D8%AC%D9%8A%D8%A9-%D8%A7%D9%84%D9%88%D8%B7%D9%86%D9%8A%D8%A9-%D9%84%D9%84%D8%A3%D9%85%D9%86-%D8%A7%D9%84%D8%B3%D9%8A%D8%A8%D8%B1%D8%A7%D9%86-2/" TargetMode="External"/><Relationship Type="http://schemas.openxmlformats.org/officeDocument/2006/relationships/hyperlink" Id="rId347" Target="https://kelmczasopisma.com/viewpdf/9631" TargetMode="External"/><Relationship Type="http://schemas.openxmlformats.org/officeDocument/2006/relationships/hyperlink" Id="rId287" Target="https://main.knesset.gov.il/Activity/Legislation/Laws/Pages/LawSecondary.aspx?lawitem=2001695" TargetMode="External"/><Relationship Type="http://schemas.openxmlformats.org/officeDocument/2006/relationships/hyperlink" Id="rId290" Target="https://main.knesset.gov.il/Activity/Legislation/Laws/Pages/LawSecondary.aspx?lawitem=2203300" TargetMode="External"/><Relationship Type="http://schemas.openxmlformats.org/officeDocument/2006/relationships/hyperlink" Id="rId99" Target="https://nc4.go.ke/" TargetMode="External"/><Relationship Type="http://schemas.openxmlformats.org/officeDocument/2006/relationships/hyperlink" Id="rId98" Target="https://nc4.go.ke/services/" TargetMode="External"/><Relationship Type="http://schemas.openxmlformats.org/officeDocument/2006/relationships/hyperlink" Id="rId57" Target="https://new.abb.com/th/process-automation/process-automation-service/advanced-digital-services/cyber-security" TargetMode="External"/><Relationship Type="http://schemas.openxmlformats.org/officeDocument/2006/relationships/hyperlink" Id="rId346" Target="https://regulhub.kaspersky.ru/laws/fz-187" TargetMode="External"/><Relationship Type="http://schemas.openxmlformats.org/officeDocument/2006/relationships/hyperlink" Id="rId56" Target="https://setkab.go.id/presiden-terbitkan-perpres-82-2022-tentang-pelindungan-infrastruktur-informasi-vital/" TargetMode="External"/><Relationship Type="http://schemas.openxmlformats.org/officeDocument/2006/relationships/hyperlink" Id="rId123" Target="https://thepeninsulaqatar.com/article/18/09/2024/national-cyber-security-strategy-2024-2030-launched" TargetMode="External"/><Relationship Type="http://schemas.openxmlformats.org/officeDocument/2006/relationships/hyperlink" Id="rId345" Target="https://www.bocra.org.bw/sites/default/files/documents/approved%20botswana-national-cybersecurity-strategy.pdf" TargetMode="External"/><Relationship Type="http://schemas.openxmlformats.org/officeDocument/2006/relationships/hyperlink" Id="rId271" Target="https://www.coms-auth.hk/en/policies_regulations/other/pcicso/index.html" TargetMode="External"/><Relationship Type="http://schemas.openxmlformats.org/officeDocument/2006/relationships/hyperlink" Id="rId58" Target="https://www.csa.gov.gh/cii" TargetMode="External"/><Relationship Type="http://schemas.openxmlformats.org/officeDocument/2006/relationships/hyperlink" Id="rId54" Target="https://www.csa.gov.sg/legislation/cybersecurity-act/" TargetMode="External"/><Relationship Type="http://schemas.openxmlformats.org/officeDocument/2006/relationships/hyperlink" Id="rId288" Target="https://www.gov.il/BlobFolder/legalinfo/protection-of-privacy-regulations-data-security/en/Protection_of_Privacy_Regulations_Data_Security_5777_2017.pdf" TargetMode="External"/><Relationship Type="http://schemas.openxmlformats.org/officeDocument/2006/relationships/hyperlink" Id="rId53" Target="https://www.interior.gob.cl/noticias/2023/12/12/se-despacha-a-ley-el-proyecto-sobre-ciberseguridad-e-infraestructura-critica-de-la-informacion/" TargetMode="External"/><Relationship Type="http://schemas.openxmlformats.org/officeDocument/2006/relationships/hyperlink" Id="rId270" Target="https://www.legco.gov.hk/yr2025/english/ord/2025ord004-e.pdf" TargetMode="External"/><Relationship Type="http://schemas.openxmlformats.org/officeDocument/2006/relationships/hyperlink" Id="rId289" Target="https://www.mevaker.gov.il/HE/Reports/Pages/695.aspx" TargetMode="External"/><Relationship Type="http://schemas.openxmlformats.org/officeDocument/2006/relationships/hyperlink" Id="rId55" Target="https://www.nacsa.gov.my/NCII.php" TargetMode="External"/><Relationship Type="http://schemas.openxmlformats.org/officeDocument/2006/relationships/hyperlink" Id="rId121" Target="https://www.parliament.gov.zm/node/12319" TargetMode="External"/><Relationship Type="http://schemas.openxmlformats.org/officeDocument/2006/relationships/hyperlink" Id="rId125" Target="https://www.unodc.org/cld/fr/treaties/strategies/united_arab_emirates/are0003s.html" TargetMode="External"/><Relationship Type="http://schemas.openxmlformats.org/officeDocument/2006/relationships/hyperlink" Id="rId344" Target="https://zambialii.org/akn/zm/act/2025/3/eng%402025-04-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2026-01-09T21:29:05Z</dcterms:created>
  <dcterms:modified xsi:type="dcterms:W3CDTF">2026-01-09T21:29:05Z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agetitle">
    <vt:lpwstr>Global Classification of Health Information Systems as Critical Infrastructure</vt:lpwstr>
  </property>
</Properties>
</file>