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sz w:val="56"/>
        </w:rPr>
        <w:t>Global Classification of Health Information Systems as Critical, Protected, or High-Security Infrastructure</w:t>
      </w:r>
    </w:p>
    <w:p>
      <w:pPr>
        <w:jc w:val="center"/>
      </w:pPr>
    </w:p>
    <w:p>
      <w:pPr>
        <w:jc w:val="center"/>
      </w:pPr>
      <w:r>
        <w:rPr>
          <w:sz w:val="32"/>
        </w:rPr>
        <w:t>A comparative study (updated through January 2026)</w:t>
      </w:r>
    </w:p>
    <w:p>
      <w:pPr>
        <w:jc w:val="center"/>
      </w:pPr>
      <w:r>
        <w:rPr>
          <w:sz w:val="28"/>
        </w:rPr>
        <w:t>Version 2.0 — January 2026</w:t>
      </w:r>
    </w:p>
    <w:p>
      <w:pPr>
        <w:jc w:val="center"/>
      </w:pPr>
    </w:p>
    <w:p>
      <w:pPr>
        <w:jc w:val="center"/>
      </w:pPr>
      <w:r>
        <w:rPr>
          <w:b/>
          <w:sz w:val="36"/>
        </w:rPr>
        <w:t>Dr Vivek Gupta, MD, MSc</w:t>
      </w:r>
    </w:p>
    <w:p>
      <w:pPr>
        <w:jc w:val="center"/>
      </w:pPr>
      <w:r>
        <w:rPr>
          <w:sz w:val="28"/>
        </w:rPr>
        <w:t>Addl. Prof. and CISO, AIIMS, New Delhi</w:t>
      </w:r>
    </w:p>
    <w:p>
      <w:r>
        <w:br w:type="page"/>
      </w:r>
    </w:p>
    <w:bookmarkStart w:id="17" w:name="executive-summary"/>
    <w:p>
      <w:pPr>
        <w:pStyle w:val="Heading1"/>
      </w:pPr>
      <w:r>
        <w:t xml:space="preserve">Executive Summary</w:t>
      </w:r>
    </w:p>
    <w:p>
      <w:pPr>
        <w:pStyle w:val="FirstParagraph"/>
      </w:pPr>
      <w:r>
        <w:t xml:space="preserve">This comparative study analyzes how</w:t>
      </w:r>
      <w:r>
        <w:t xml:space="preserve"> </w:t>
      </w:r>
      <w:r>
        <w:rPr>
          <w:b/>
          <w:bCs/>
        </w:rPr>
        <w:t xml:space="preserve">17 jurisdictions</w:t>
      </w:r>
      <w:r>
        <w:t xml:space="preserve"> </w:t>
      </w:r>
      <w:r>
        <w:t xml:space="preserve">classify health-related information systems and operators as critical infrastructure, plus an additional</w:t>
      </w:r>
      <w:r>
        <w:t xml:space="preserve"> </w:t>
      </w:r>
      <w:r>
        <w:rPr>
          <w:b/>
          <w:bCs/>
        </w:rPr>
        <w:t xml:space="preserve">20+ countries</w:t>
      </w:r>
      <w:r>
        <w:t xml:space="preserve"> </w:t>
      </w:r>
      <w:r>
        <w:t xml:space="preserve">surveyed across Latin America, ASEAN, Africa, the Middle East, and Central Asia. Whether framed as</w:t>
      </w:r>
      <w:r>
        <w:t xml:space="preserve"> </w:t>
      </w:r>
      <w:r>
        <w:rPr>
          <w:i/>
          <w:iCs/>
        </w:rPr>
        <w:t xml:space="preserve">critical information infrastructure</w:t>
      </w:r>
      <w:r>
        <w:t xml:space="preserve">,</w:t>
      </w:r>
      <w:r>
        <w:t xml:space="preserve"> </w:t>
      </w:r>
      <w:r>
        <w:rPr>
          <w:i/>
          <w:iCs/>
        </w:rPr>
        <w:t xml:space="preserve">critical entities</w:t>
      </w:r>
      <w:r>
        <w:t xml:space="preserve">,</w:t>
      </w:r>
      <w:r>
        <w:t xml:space="preserve"> </w:t>
      </w:r>
      <w:r>
        <w:rPr>
          <w:i/>
          <w:iCs/>
        </w:rPr>
        <w:t xml:space="preserve">essential services</w:t>
      </w:r>
      <w:r>
        <w:t xml:space="preserve">, or equivalent constructs, this report identifies global patterns and actionable insights for policymakers.</w:t>
      </w:r>
    </w:p>
    <w:bookmarkStart w:id="9" w:name="scope-of-analysis"/>
    <w:p>
      <w:pPr>
        <w:pStyle w:val="Heading2"/>
      </w:pPr>
      <w:r>
        <w:t xml:space="preserve">Scope of Analysis</w:t>
      </w:r>
    </w:p>
    <w:tbl>
      <w:tblPr>
        <w:tblStyle w:val="Table"/>
        <w:tblW w:type="pct" w:w="5000"/>
        <w:tblLayout w:type="fixed"/>
        <w:tblLook w:firstRow="1" w:lastRow="0" w:firstColumn="0" w:lastColumn="0" w:noHBand="0" w:noVBand="0" w:val="0020"/>
      </w:tblPr>
      <w:tblGrid>
        <w:gridCol w:w="3046"/>
        <w:gridCol w:w="2132"/>
        <w:gridCol w:w="2741"/>
      </w:tblGrid>
      <w:tr>
        <w:trPr>
          <w:tblHeader w:val="on"/>
        </w:trPr>
        <w:tc>
          <w:tcPr/>
          <w:p>
            <w:pPr>
              <w:pStyle w:val="Compact"/>
              <w:jc w:val="left"/>
            </w:pPr>
            <w:r>
              <w:t xml:space="preserve">Coverage</w:t>
            </w:r>
          </w:p>
        </w:tc>
        <w:tc>
          <w:tcPr/>
          <w:p>
            <w:pPr>
              <w:pStyle w:val="Compact"/>
              <w:jc w:val="left"/>
            </w:pPr>
            <w:r>
              <w:t xml:space="preserve">Count</w:t>
            </w:r>
          </w:p>
        </w:tc>
        <w:tc>
          <w:tcPr/>
          <w:p>
            <w:pPr>
              <w:pStyle w:val="Compact"/>
              <w:jc w:val="left"/>
            </w:pPr>
            <w:r>
              <w:t xml:space="preserve">Regions</w:t>
            </w:r>
          </w:p>
        </w:tc>
      </w:tr>
      <w:tr>
        <w:tc>
          <w:tcPr/>
          <w:p>
            <w:pPr>
              <w:pStyle w:val="Compact"/>
              <w:jc w:val="left"/>
            </w:pPr>
            <w:r>
              <w:rPr>
                <w:b/>
                <w:bCs/>
              </w:rPr>
              <w:t xml:space="preserve">Deep-dive chapters</w:t>
            </w:r>
          </w:p>
        </w:tc>
        <w:tc>
          <w:tcPr/>
          <w:p>
            <w:pPr>
              <w:pStyle w:val="Compact"/>
              <w:jc w:val="left"/>
            </w:pPr>
            <w:r>
              <w:t xml:space="preserve">17</w:t>
            </w:r>
          </w:p>
        </w:tc>
        <w:tc>
          <w:tcPr/>
          <w:p>
            <w:pPr>
              <w:pStyle w:val="Compact"/>
              <w:jc w:val="left"/>
            </w:pPr>
            <w:r>
              <w:t xml:space="preserve">North America, Europe, Asia-Pacific, Middle East</w:t>
            </w:r>
          </w:p>
        </w:tc>
      </w:tr>
      <w:tr>
        <w:tc>
          <w:tcPr/>
          <w:p>
            <w:pPr>
              <w:pStyle w:val="Compact"/>
              <w:jc w:val="left"/>
            </w:pPr>
            <w:r>
              <w:rPr>
                <w:b/>
                <w:bCs/>
              </w:rPr>
              <w:t xml:space="preserve">Multi-region survey</w:t>
            </w:r>
          </w:p>
        </w:tc>
        <w:tc>
          <w:tcPr/>
          <w:p>
            <w:pPr>
              <w:pStyle w:val="Compact"/>
              <w:jc w:val="left"/>
            </w:pPr>
            <w:r>
              <w:t xml:space="preserve">20+</w:t>
            </w:r>
          </w:p>
        </w:tc>
        <w:tc>
          <w:tcPr/>
          <w:p>
            <w:pPr>
              <w:pStyle w:val="Compact"/>
              <w:jc w:val="left"/>
            </w:pPr>
            <w:r>
              <w:t xml:space="preserve">Latin America, ASEAN, Africa, Central Asia, Eastern Europe</w:t>
            </w:r>
          </w:p>
        </w:tc>
      </w:tr>
    </w:tbl>
    <w:bookmarkEnd w:id="9"/>
    <w:bookmarkStart w:id="10" w:name="key-findings"/>
    <w:p>
      <w:pPr>
        <w:pStyle w:val="Heading2"/>
      </w:pPr>
      <w:r>
        <w:t xml:space="preserve">Key Findings</w:t>
      </w:r>
    </w:p>
    <w:p>
      <w:pPr>
        <w:pStyle w:val="Compact"/>
        <w:numPr>
          <w:ilvl w:val="0"/>
          <w:numId w:val="1001"/>
        </w:numPr>
      </w:pPr>
      <w:r>
        <w:rPr>
          <w:b/>
          <w:bCs/>
        </w:rPr>
        <w:t xml:space="preserve">Universal prioritization of life-and-safety digital functions.</w:t>
      </w:r>
      <w:r>
        <w:t xml:space="preserve"> </w:t>
      </w:r>
      <w:r>
        <w:t xml:space="preserve">Across all 17 jurisdictions, consistent prioritization emerges for: emergency dispatch systems, major hospital clinical platforms (EMR/EHR, ICU monitoring), blood and organ allocation services, disease surveillance systems, and national health information exchanges.</w:t>
      </w:r>
    </w:p>
    <w:p>
      <w:pPr>
        <w:pStyle w:val="Compact"/>
        <w:numPr>
          <w:ilvl w:val="0"/>
          <w:numId w:val="1001"/>
        </w:numPr>
      </w:pPr>
      <w:r>
        <w:rPr>
          <w:b/>
          <w:bCs/>
        </w:rPr>
        <w:t xml:space="preserve">Multiple designation models, converging on hybrids.</w:t>
      </w:r>
      <w:r>
        <w:t xml:space="preserve"> </w:t>
      </w:r>
      <w:r>
        <w:t xml:space="preserve">Approaches include:</w:t>
      </w:r>
    </w:p>
    <w:p>
      <w:pPr>
        <w:pStyle w:val="Compact"/>
        <w:numPr>
          <w:ilvl w:val="1"/>
          <w:numId w:val="1002"/>
        </w:numPr>
      </w:pPr>
      <w:r>
        <w:rPr>
          <w:b/>
          <w:bCs/>
        </w:rPr>
        <w:t xml:space="preserve">Sector-based</w:t>
      </w:r>
      <w:r>
        <w:t xml:space="preserve"> </w:t>
      </w:r>
      <w:r>
        <w:t xml:space="preserve">(USA, Canada): broad coverage, lower precision</w:t>
      </w:r>
    </w:p>
    <w:p>
      <w:pPr>
        <w:pStyle w:val="Compact"/>
        <w:numPr>
          <w:ilvl w:val="1"/>
          <w:numId w:val="1002"/>
        </w:numPr>
      </w:pPr>
      <w:r>
        <w:rPr>
          <w:b/>
          <w:bCs/>
        </w:rPr>
        <w:t xml:space="preserve">Entity-based</w:t>
      </w:r>
      <w:r>
        <w:t xml:space="preserve"> </w:t>
      </w:r>
      <w:r>
        <w:t xml:space="preserve">(UK, EU, France): clear accountability, scalable</w:t>
      </w:r>
    </w:p>
    <w:p>
      <w:pPr>
        <w:pStyle w:val="Compact"/>
        <w:numPr>
          <w:ilvl w:val="1"/>
          <w:numId w:val="1002"/>
        </w:numPr>
      </w:pPr>
      <w:r>
        <w:rPr>
          <w:b/>
          <w:bCs/>
        </w:rPr>
        <w:t xml:space="preserve">System-based</w:t>
      </w:r>
      <w:r>
        <w:t xml:space="preserve"> </w:t>
      </w:r>
      <w:r>
        <w:t xml:space="preserve">(Singapore): precise, but complex to administer</w:t>
      </w:r>
    </w:p>
    <w:p>
      <w:pPr>
        <w:pStyle w:val="Compact"/>
        <w:numPr>
          <w:ilvl w:val="1"/>
          <w:numId w:val="1002"/>
        </w:numPr>
      </w:pPr>
      <w:r>
        <w:rPr>
          <w:b/>
          <w:bCs/>
        </w:rPr>
        <w:t xml:space="preserve">Asset-based</w:t>
      </w:r>
      <w:r>
        <w:t xml:space="preserve"> </w:t>
      </w:r>
      <w:r>
        <w:t xml:space="preserve">(Australia, Germany): explicit thresholds, easy to verify</w:t>
      </w:r>
    </w:p>
    <w:p>
      <w:pPr>
        <w:pStyle w:val="Compact"/>
        <w:numPr>
          <w:ilvl w:val="1"/>
          <w:numId w:val="1002"/>
        </w:numPr>
      </w:pPr>
      <w:r>
        <w:rPr>
          <w:b/>
          <w:bCs/>
        </w:rPr>
        <w:t xml:space="preserve">Hybrid models</w:t>
      </w:r>
      <w:r>
        <w:t xml:space="preserve"> </w:t>
      </w:r>
      <w:r>
        <w:t xml:space="preserve">increasingly common: combining quantitative thresholds with qualitative</w:t>
      </w:r>
      <w:r>
        <w:t xml:space="preserve"> </w:t>
      </w:r>
      <w:r>
        <w:t xml:space="preserve">“safety net”</w:t>
      </w:r>
      <w:r>
        <w:t xml:space="preserve"> </w:t>
      </w:r>
      <w:r>
        <w:t xml:space="preserve">criteria</w:t>
      </w:r>
    </w:p>
    <w:p>
      <w:pPr>
        <w:pStyle w:val="Compact"/>
        <w:numPr>
          <w:ilvl w:val="0"/>
          <w:numId w:val="1001"/>
        </w:numPr>
      </w:pPr>
      <w:r>
        <w:rPr>
          <w:b/>
          <w:bCs/>
        </w:rPr>
        <w:t xml:space="preserve">Criteria public; lists often confidential.</w:t>
      </w:r>
      <w:r>
        <w:t xml:space="preserve"> </w:t>
      </w:r>
      <w:r>
        <w:t xml:space="preserve">Most regimes publish designation</w:t>
      </w:r>
      <w:r>
        <w:t xml:space="preserve"> </w:t>
      </w:r>
      <w:r>
        <w:rPr>
          <w:i/>
          <w:iCs/>
        </w:rPr>
        <w:t xml:space="preserve">criteria</w:t>
      </w:r>
      <w:r>
        <w:t xml:space="preserve"> </w:t>
      </w:r>
      <w:r>
        <w:t xml:space="preserve">(enabling self-assessment) while keeping specific entity lists confidential to avoid creating target lists.</w:t>
      </w:r>
      <w:r>
        <w:t xml:space="preserve"> </w:t>
      </w:r>
      <w:r>
        <w:rPr>
          <w:b/>
          <w:bCs/>
        </w:rPr>
        <w:t xml:space="preserve">Exception:</w:t>
      </w:r>
      <w:r>
        <w:t xml:space="preserve"> </w:t>
      </w:r>
      <w:r>
        <w:t xml:space="preserve">South Korea publishes designations in the Official Gazette.</w:t>
      </w:r>
    </w:p>
    <w:p>
      <w:pPr>
        <w:pStyle w:val="Compact"/>
        <w:numPr>
          <w:ilvl w:val="0"/>
          <w:numId w:val="1001"/>
        </w:numPr>
      </w:pPr>
      <w:r>
        <w:rPr>
          <w:b/>
          <w:bCs/>
        </w:rPr>
        <w:t xml:space="preserve">Tiering structures vary.</w:t>
      </w:r>
      <w:r>
        <w:t xml:space="preserve"> </w:t>
      </w:r>
      <w:r>
        <w:t xml:space="preserve">From binary (designated/not) to multi-tier:</w:t>
      </w:r>
    </w:p>
    <w:p>
      <w:pPr>
        <w:pStyle w:val="Compact"/>
        <w:numPr>
          <w:ilvl w:val="1"/>
          <w:numId w:val="1003"/>
        </w:numPr>
      </w:pPr>
      <w:r>
        <w:rPr>
          <w:b/>
          <w:bCs/>
        </w:rPr>
        <w:t xml:space="preserve">Two-tier:</w:t>
      </w:r>
      <w:r>
        <w:t xml:space="preserve"> </w:t>
      </w:r>
      <w:r>
        <w:t xml:space="preserve">EU NIS2 (Essential/Important), Hong Kong (Category 1/2/3 obligations)</w:t>
      </w:r>
    </w:p>
    <w:p>
      <w:pPr>
        <w:pStyle w:val="Compact"/>
        <w:numPr>
          <w:ilvl w:val="1"/>
          <w:numId w:val="1003"/>
        </w:numPr>
      </w:pPr>
      <w:r>
        <w:rPr>
          <w:b/>
          <w:bCs/>
        </w:rPr>
        <w:t xml:space="preserve">Three-tier:</w:t>
      </w:r>
      <w:r>
        <w:t xml:space="preserve"> </w:t>
      </w:r>
      <w:r>
        <w:t xml:space="preserve">Israel (Basic/Medium/High database security)</w:t>
      </w:r>
    </w:p>
    <w:p>
      <w:pPr>
        <w:pStyle w:val="Compact"/>
        <w:numPr>
          <w:ilvl w:val="1"/>
          <w:numId w:val="1003"/>
        </w:numPr>
      </w:pPr>
      <w:r>
        <w:rPr>
          <w:b/>
          <w:bCs/>
        </w:rPr>
        <w:t xml:space="preserve">Single-tier + enhanced:</w:t>
      </w:r>
      <w:r>
        <w:t xml:space="preserve"> </w:t>
      </w:r>
      <w:r>
        <w:t xml:space="preserve">Australia (Critical Hospital → SoNS)</w:t>
      </w:r>
    </w:p>
    <w:p>
      <w:pPr>
        <w:pStyle w:val="Compact"/>
        <w:numPr>
          <w:ilvl w:val="0"/>
          <w:numId w:val="1001"/>
        </w:numPr>
      </w:pPr>
      <w:r>
        <w:rPr>
          <w:b/>
          <w:bCs/>
        </w:rPr>
        <w:t xml:space="preserve">2025–2026: A regulatory inflection point.</w:t>
      </w:r>
      <w:r>
        <w:t xml:space="preserve"> </w:t>
      </w:r>
      <w:r>
        <w:t xml:space="preserve">Eleven major regulatory milestones across eight jurisdictions are entering force, with convergence toward 24-hour early warning and 72-hour detailed incident reporting.</w:t>
      </w:r>
    </w:p>
    <w:bookmarkEnd w:id="10"/>
    <w:bookmarkStart w:id="11" w:name="key-regulatory-milestones-20252026"/>
    <w:p>
      <w:pPr>
        <w:pStyle w:val="Heading2"/>
      </w:pPr>
      <w:r>
        <w:t xml:space="preserve">Key Regulatory Milestones (2025–2026)</w:t>
      </w:r>
    </w:p>
    <w:tbl>
      <w:tblPr>
        <w:tblStyle w:val="Table"/>
        <w:tblW w:type="pct" w:w="5000"/>
        <w:tblLayout w:type="fixed"/>
        <w:tblLook w:firstRow="1" w:lastRow="0" w:firstColumn="0" w:lastColumn="0" w:noHBand="0" w:noVBand="0" w:val="0020"/>
      </w:tblPr>
      <w:tblGrid>
        <w:gridCol w:w="896"/>
        <w:gridCol w:w="2092"/>
        <w:gridCol w:w="1643"/>
        <w:gridCol w:w="3287"/>
      </w:tblGrid>
      <w:tr>
        <w:trPr>
          <w:tblHeader w:val="on"/>
        </w:trPr>
        <w:tc>
          <w:tcPr/>
          <w:p>
            <w:pPr>
              <w:pStyle w:val="Compact"/>
              <w:jc w:val="left"/>
            </w:pPr>
            <w:r>
              <w:t xml:space="preserve">Date</w:t>
            </w:r>
          </w:p>
        </w:tc>
        <w:tc>
          <w:tcPr/>
          <w:p>
            <w:pPr>
              <w:pStyle w:val="Compact"/>
              <w:jc w:val="left"/>
            </w:pPr>
            <w:r>
              <w:t xml:space="preserve">Jurisdiction</w:t>
            </w:r>
          </w:p>
        </w:tc>
        <w:tc>
          <w:tcPr/>
          <w:p>
            <w:pPr>
              <w:pStyle w:val="Compact"/>
              <w:jc w:val="left"/>
            </w:pPr>
            <w:r>
              <w:t xml:space="preserve">Milestone</w:t>
            </w:r>
          </w:p>
        </w:tc>
        <w:tc>
          <w:tcPr/>
          <w:p>
            <w:pPr>
              <w:pStyle w:val="Compact"/>
              <w:jc w:val="left"/>
            </w:pPr>
            <w:r>
              <w:t xml:space="preserve">Health Sector Impact</w:t>
            </w:r>
          </w:p>
        </w:tc>
      </w:tr>
      <w:tr>
        <w:tc>
          <w:tcPr/>
          <w:p>
            <w:pPr>
              <w:pStyle w:val="Compact"/>
              <w:jc w:val="left"/>
            </w:pPr>
            <w:r>
              <w:rPr>
                <w:b/>
                <w:bCs/>
              </w:rPr>
              <w:t xml:space="preserve">1 Apr 2025</w:t>
            </w:r>
          </w:p>
        </w:tc>
        <w:tc>
          <w:tcPr/>
          <w:p>
            <w:pPr>
              <w:pStyle w:val="Compact"/>
              <w:jc w:val="left"/>
            </w:pPr>
            <w:r>
              <w:t xml:space="preserve">Switzerland</w:t>
            </w:r>
          </w:p>
        </w:tc>
        <w:tc>
          <w:tcPr/>
          <w:p>
            <w:pPr>
              <w:pStyle w:val="Compact"/>
              <w:jc w:val="left"/>
            </w:pPr>
            <w:r>
              <w:t xml:space="preserve">Cybersecurity Ordinance (CSV) in force</w:t>
            </w:r>
          </w:p>
        </w:tc>
        <w:tc>
          <w:tcPr/>
          <w:p>
            <w:pPr>
              <w:pStyle w:val="Compact"/>
              <w:jc w:val="left"/>
            </w:pPr>
            <w:r>
              <w:t xml:space="preserve">24h reporting for hospitals, labs</w:t>
            </w:r>
          </w:p>
        </w:tc>
      </w:tr>
      <w:tr>
        <w:tc>
          <w:tcPr/>
          <w:p>
            <w:pPr>
              <w:pStyle w:val="Compact"/>
              <w:jc w:val="left"/>
            </w:pPr>
            <w:r>
              <w:rPr>
                <w:b/>
                <w:bCs/>
              </w:rPr>
              <w:t xml:space="preserve">30 May 2025</w:t>
            </w:r>
          </w:p>
        </w:tc>
        <w:tc>
          <w:tcPr/>
          <w:p>
            <w:pPr>
              <w:pStyle w:val="Compact"/>
              <w:jc w:val="left"/>
            </w:pPr>
            <w:r>
              <w:t xml:space="preserve">Australia</w:t>
            </w:r>
          </w:p>
        </w:tc>
        <w:tc>
          <w:tcPr/>
          <w:p>
            <w:pPr>
              <w:pStyle w:val="Compact"/>
              <w:jc w:val="left"/>
            </w:pPr>
            <w:r>
              <w:t xml:space="preserve">Ransomware payment reporting mandatory</w:t>
            </w:r>
          </w:p>
        </w:tc>
        <w:tc>
          <w:tcPr/>
          <w:p>
            <w:pPr>
              <w:pStyle w:val="Compact"/>
              <w:jc w:val="left"/>
            </w:pPr>
            <w:r>
              <w:t xml:space="preserve">Applies to critical hospitals</w:t>
            </w:r>
          </w:p>
        </w:tc>
      </w:tr>
      <w:tr>
        <w:tc>
          <w:tcPr/>
          <w:p>
            <w:pPr>
              <w:pStyle w:val="Compact"/>
              <w:jc w:val="left"/>
            </w:pPr>
            <w:r>
              <w:rPr>
                <w:b/>
                <w:bCs/>
              </w:rPr>
              <w:t xml:space="preserve">14 Aug 2025</w:t>
            </w:r>
          </w:p>
        </w:tc>
        <w:tc>
          <w:tcPr/>
          <w:p>
            <w:pPr>
              <w:pStyle w:val="Compact"/>
              <w:jc w:val="left"/>
            </w:pPr>
            <w:r>
              <w:t xml:space="preserve">Israel</w:t>
            </w:r>
          </w:p>
        </w:tc>
        <w:tc>
          <w:tcPr/>
          <w:p>
            <w:pPr>
              <w:pStyle w:val="Compact"/>
              <w:jc w:val="left"/>
            </w:pPr>
            <w:r>
              <w:t xml:space="preserve">Privacy Protection Law Amendment 13</w:t>
            </w:r>
          </w:p>
        </w:tc>
        <w:tc>
          <w:tcPr/>
          <w:p>
            <w:pPr>
              <w:pStyle w:val="Compact"/>
              <w:jc w:val="left"/>
            </w:pPr>
            <w:r>
              <w:t xml:space="preserve">3-tier database security levels</w:t>
            </w:r>
          </w:p>
        </w:tc>
      </w:tr>
      <w:tr>
        <w:tc>
          <w:tcPr/>
          <w:p>
            <w:pPr>
              <w:pStyle w:val="Compact"/>
              <w:jc w:val="left"/>
            </w:pPr>
            <w:r>
              <w:rPr>
                <w:b/>
                <w:bCs/>
              </w:rPr>
              <w:t xml:space="preserve">24 Sept 2025</w:t>
            </w:r>
          </w:p>
        </w:tc>
        <w:tc>
          <w:tcPr/>
          <w:p>
            <w:pPr>
              <w:pStyle w:val="Compact"/>
              <w:jc w:val="left"/>
            </w:pPr>
            <w:r>
              <w:t xml:space="preserve">Taiwan</w:t>
            </w:r>
          </w:p>
        </w:tc>
        <w:tc>
          <w:tcPr/>
          <w:p>
            <w:pPr>
              <w:pStyle w:val="Compact"/>
              <w:jc w:val="left"/>
            </w:pPr>
            <w:r>
              <w:t xml:space="preserve">Revised Cyber Security Management Act</w:t>
            </w:r>
          </w:p>
        </w:tc>
        <w:tc>
          <w:tcPr/>
          <w:p>
            <w:pPr>
              <w:pStyle w:val="Compact"/>
              <w:jc w:val="left"/>
            </w:pPr>
            <w:r>
              <w:t xml:space="preserve">MoDA as competent authority</w:t>
            </w:r>
          </w:p>
        </w:tc>
      </w:tr>
      <w:tr>
        <w:tc>
          <w:tcPr/>
          <w:p>
            <w:pPr>
              <w:pStyle w:val="Compact"/>
              <w:jc w:val="left"/>
            </w:pPr>
            <w:r>
              <w:rPr>
                <w:b/>
                <w:bCs/>
              </w:rPr>
              <w:t xml:space="preserve">1 Oct 2025</w:t>
            </w:r>
          </w:p>
        </w:tc>
        <w:tc>
          <w:tcPr/>
          <w:p>
            <w:pPr>
              <w:pStyle w:val="Compact"/>
              <w:jc w:val="left"/>
            </w:pPr>
            <w:r>
              <w:t xml:space="preserve">Norway</w:t>
            </w:r>
          </w:p>
        </w:tc>
        <w:tc>
          <w:tcPr/>
          <w:p>
            <w:pPr>
              <w:pStyle w:val="Compact"/>
              <w:jc w:val="left"/>
            </w:pPr>
            <w:r>
              <w:t xml:space="preserve">Digital Security Act in force</w:t>
            </w:r>
          </w:p>
        </w:tc>
        <w:tc>
          <w:tcPr/>
          <w:p>
            <w:pPr>
              <w:pStyle w:val="Compact"/>
              <w:jc w:val="left"/>
            </w:pPr>
            <w:r>
              <w:t xml:space="preserve">Health as</w:t>
            </w:r>
            <w:r>
              <w:t xml:space="preserve"> </w:t>
            </w:r>
            <w:r>
              <w:t xml:space="preserve">“socially important service”</w:t>
            </w:r>
          </w:p>
        </w:tc>
      </w:tr>
      <w:tr>
        <w:tc>
          <w:tcPr/>
          <w:p>
            <w:pPr>
              <w:pStyle w:val="Compact"/>
              <w:jc w:val="left"/>
            </w:pPr>
            <w:r>
              <w:rPr>
                <w:b/>
                <w:bCs/>
              </w:rPr>
              <w:t xml:space="preserve">Nov 2025</w:t>
            </w:r>
          </w:p>
        </w:tc>
        <w:tc>
          <w:tcPr/>
          <w:p>
            <w:pPr>
              <w:pStyle w:val="Compact"/>
              <w:jc w:val="left"/>
            </w:pPr>
            <w:r>
              <w:t xml:space="preserve">UK</w:t>
            </w:r>
          </w:p>
        </w:tc>
        <w:tc>
          <w:tcPr/>
          <w:p>
            <w:pPr>
              <w:pStyle w:val="Compact"/>
              <w:jc w:val="left"/>
            </w:pPr>
            <w:r>
              <w:t xml:space="preserve">Cyber Security Bill introduced</w:t>
            </w:r>
          </w:p>
        </w:tc>
        <w:tc>
          <w:tcPr/>
          <w:p>
            <w:pPr>
              <w:pStyle w:val="Compact"/>
              <w:jc w:val="left"/>
            </w:pPr>
            <w:r>
              <w:t xml:space="preserve">Expands to MSPs, 24h reporting</w:t>
            </w:r>
          </w:p>
        </w:tc>
      </w:tr>
      <w:tr>
        <w:tc>
          <w:tcPr/>
          <w:p>
            <w:pPr>
              <w:pStyle w:val="Compact"/>
              <w:jc w:val="left"/>
            </w:pPr>
            <w:r>
              <w:rPr>
                <w:b/>
                <w:bCs/>
              </w:rPr>
              <w:t xml:space="preserve">6 Dec 2025</w:t>
            </w:r>
          </w:p>
        </w:tc>
        <w:tc>
          <w:tcPr/>
          <w:p>
            <w:pPr>
              <w:pStyle w:val="Compact"/>
              <w:jc w:val="left"/>
            </w:pPr>
            <w:r>
              <w:t xml:space="preserve">Germany</w:t>
            </w:r>
          </w:p>
        </w:tc>
        <w:tc>
          <w:tcPr/>
          <w:p>
            <w:pPr>
              <w:pStyle w:val="Compact"/>
              <w:jc w:val="left"/>
            </w:pPr>
            <w:r>
              <w:t xml:space="preserve">NIS2 implementation law in force</w:t>
            </w:r>
          </w:p>
        </w:tc>
        <w:tc>
          <w:tcPr/>
          <w:p>
            <w:pPr>
              <w:pStyle w:val="Compact"/>
              <w:jc w:val="left"/>
            </w:pPr>
            <w:r>
              <w:t xml:space="preserve">30,000-case hospital threshold</w:t>
            </w:r>
          </w:p>
        </w:tc>
      </w:tr>
      <w:tr>
        <w:tc>
          <w:tcPr/>
          <w:p>
            <w:pPr>
              <w:pStyle w:val="Compact"/>
              <w:jc w:val="left"/>
            </w:pPr>
            <w:r>
              <w:rPr>
                <w:b/>
                <w:bCs/>
              </w:rPr>
              <w:t xml:space="preserve">1 Jan 2026</w:t>
            </w:r>
          </w:p>
        </w:tc>
        <w:tc>
          <w:tcPr/>
          <w:p>
            <w:pPr>
              <w:pStyle w:val="Compact"/>
              <w:jc w:val="left"/>
            </w:pPr>
            <w:r>
              <w:t xml:space="preserve">Hong Kong</w:t>
            </w:r>
          </w:p>
        </w:tc>
        <w:tc>
          <w:tcPr/>
          <w:p>
            <w:pPr>
              <w:pStyle w:val="Compact"/>
              <w:jc w:val="left"/>
            </w:pPr>
            <w:r>
              <w:t xml:space="preserve">CI Ordinance in force</w:t>
            </w:r>
          </w:p>
        </w:tc>
        <w:tc>
          <w:tcPr/>
          <w:p>
            <w:pPr>
              <w:pStyle w:val="Compact"/>
              <w:jc w:val="left"/>
            </w:pPr>
            <w:r>
              <w:t xml:space="preserve">12h/48h/14d incident reporting</w:t>
            </w:r>
          </w:p>
        </w:tc>
      </w:tr>
      <w:tr>
        <w:tc>
          <w:tcPr/>
          <w:p>
            <w:pPr>
              <w:pStyle w:val="Compact"/>
              <w:jc w:val="left"/>
            </w:pPr>
            <w:r>
              <w:rPr>
                <w:b/>
                <w:bCs/>
              </w:rPr>
              <w:t xml:space="preserve">1 Jan 2026</w:t>
            </w:r>
          </w:p>
        </w:tc>
        <w:tc>
          <w:tcPr/>
          <w:p>
            <w:pPr>
              <w:pStyle w:val="Compact"/>
              <w:jc w:val="left"/>
            </w:pPr>
            <w:r>
              <w:t xml:space="preserve">Australia</w:t>
            </w:r>
          </w:p>
        </w:tc>
        <w:tc>
          <w:tcPr/>
          <w:p>
            <w:pPr>
              <w:pStyle w:val="Compact"/>
              <w:jc w:val="left"/>
            </w:pPr>
            <w:r>
              <w:t xml:space="preserve">Strict enforcement posture begins</w:t>
            </w:r>
          </w:p>
        </w:tc>
        <w:tc>
          <w:tcPr/>
          <w:p>
            <w:pPr>
              <w:pStyle w:val="Compact"/>
              <w:jc w:val="left"/>
            </w:pPr>
            <w:r>
              <w:t xml:space="preserve">Enhanced supervision of ICU hospitals</w:t>
            </w:r>
          </w:p>
        </w:tc>
      </w:tr>
      <w:tr>
        <w:tc>
          <w:tcPr/>
          <w:p>
            <w:pPr>
              <w:pStyle w:val="Compact"/>
              <w:jc w:val="left"/>
            </w:pPr>
            <w:r>
              <w:rPr>
                <w:b/>
                <w:bCs/>
              </w:rPr>
              <w:t xml:space="preserve">May 2026</w:t>
            </w:r>
          </w:p>
        </w:tc>
        <w:tc>
          <w:tcPr/>
          <w:p>
            <w:pPr>
              <w:pStyle w:val="Compact"/>
              <w:jc w:val="left"/>
            </w:pPr>
            <w:r>
              <w:t xml:space="preserve">USA</w:t>
            </w:r>
          </w:p>
        </w:tc>
        <w:tc>
          <w:tcPr/>
          <w:p>
            <w:pPr>
              <w:pStyle w:val="Compact"/>
              <w:jc w:val="left"/>
            </w:pPr>
            <w:r>
              <w:t xml:space="preserve">CIRCIA final rule expected</w:t>
            </w:r>
          </w:p>
        </w:tc>
        <w:tc>
          <w:tcPr/>
          <w:p>
            <w:pPr>
              <w:pStyle w:val="Compact"/>
              <w:jc w:val="left"/>
            </w:pPr>
            <w:r>
              <w:t xml:space="preserve">72h incident/24h ransom reporting</w:t>
            </w:r>
          </w:p>
        </w:tc>
      </w:tr>
      <w:tr>
        <w:tc>
          <w:tcPr/>
          <w:p>
            <w:pPr>
              <w:pStyle w:val="Compact"/>
              <w:jc w:val="left"/>
            </w:pPr>
            <w:r>
              <w:rPr>
                <w:b/>
                <w:bCs/>
              </w:rPr>
              <w:t xml:space="preserve">17 July 2026</w:t>
            </w:r>
          </w:p>
        </w:tc>
        <w:tc>
          <w:tcPr/>
          <w:p>
            <w:pPr>
              <w:pStyle w:val="Compact"/>
              <w:jc w:val="left"/>
            </w:pPr>
            <w:r>
              <w:t xml:space="preserve">EU</w:t>
            </w:r>
          </w:p>
        </w:tc>
        <w:tc>
          <w:tcPr/>
          <w:p>
            <w:pPr>
              <w:pStyle w:val="Compact"/>
              <w:jc w:val="left"/>
            </w:pPr>
            <w:r>
              <w:t xml:space="preserve">CER Directive deadline</w:t>
            </w:r>
          </w:p>
        </w:tc>
        <w:tc>
          <w:tcPr/>
          <w:p>
            <w:pPr>
              <w:pStyle w:val="Compact"/>
              <w:jc w:val="left"/>
            </w:pPr>
            <w:r>
              <w:t xml:space="preserve">All-hazard resilience for health</w:t>
            </w:r>
          </w:p>
        </w:tc>
      </w:tr>
    </w:tbl>
    <w:bookmarkEnd w:id="11"/>
    <w:bookmarkStart w:id="12" w:name="incident-reporting-global-convergence"/>
    <w:p>
      <w:pPr>
        <w:pStyle w:val="Heading2"/>
      </w:pPr>
      <w:r>
        <w:t xml:space="preserve">Incident Reporting: Global Convergence</w:t>
      </w:r>
    </w:p>
    <w:tbl>
      <w:tblPr>
        <w:tblStyle w:val="Table"/>
        <w:tblW w:type="pct" w:w="5000"/>
        <w:tblLayout w:type="fixed"/>
        <w:tblLook w:firstRow="1" w:lastRow="0" w:firstColumn="0" w:lastColumn="0" w:noHBand="0" w:noVBand="0" w:val="0020"/>
      </w:tblPr>
      <w:tblGrid>
        <w:gridCol w:w="2640"/>
        <w:gridCol w:w="2950"/>
        <w:gridCol w:w="2329"/>
      </w:tblGrid>
      <w:tr>
        <w:trPr>
          <w:tblHeader w:val="on"/>
        </w:trPr>
        <w:tc>
          <w:tcPr/>
          <w:p>
            <w:pPr>
              <w:pStyle w:val="Compact"/>
              <w:jc w:val="left"/>
            </w:pPr>
            <w:r>
              <w:t xml:space="preserve">Reporting Stage</w:t>
            </w:r>
          </w:p>
        </w:tc>
        <w:tc>
          <w:tcPr/>
          <w:p>
            <w:pPr>
              <w:pStyle w:val="Compact"/>
              <w:jc w:val="left"/>
            </w:pPr>
            <w:r>
              <w:t xml:space="preserve">Emerging Standard</w:t>
            </w:r>
          </w:p>
        </w:tc>
        <w:tc>
          <w:tcPr/>
          <w:p>
            <w:pPr>
              <w:pStyle w:val="Compact"/>
              <w:jc w:val="left"/>
            </w:pPr>
            <w:r>
              <w:t xml:space="preserve">Jurisdictions</w:t>
            </w:r>
          </w:p>
        </w:tc>
      </w:tr>
      <w:tr>
        <w:tc>
          <w:tcPr/>
          <w:p>
            <w:pPr>
              <w:pStyle w:val="Compact"/>
              <w:jc w:val="left"/>
            </w:pPr>
            <w:r>
              <w:rPr>
                <w:b/>
                <w:bCs/>
              </w:rPr>
              <w:t xml:space="preserve">Early warning</w:t>
            </w:r>
          </w:p>
        </w:tc>
        <w:tc>
          <w:tcPr/>
          <w:p>
            <w:pPr>
              <w:pStyle w:val="Compact"/>
              <w:jc w:val="left"/>
            </w:pPr>
            <w:r>
              <w:t xml:space="preserve">12–24 hours</w:t>
            </w:r>
          </w:p>
        </w:tc>
        <w:tc>
          <w:tcPr/>
          <w:p>
            <w:pPr>
              <w:pStyle w:val="Compact"/>
              <w:jc w:val="left"/>
            </w:pPr>
            <w:r>
              <w:t xml:space="preserve">Hong Kong (12h), Norway (24h), Switzerland (24h), EU NIS2 (24h), UK (24h)</w:t>
            </w:r>
          </w:p>
        </w:tc>
      </w:tr>
      <w:tr>
        <w:tc>
          <w:tcPr/>
          <w:p>
            <w:pPr>
              <w:pStyle w:val="Compact"/>
              <w:jc w:val="left"/>
            </w:pPr>
            <w:r>
              <w:rPr>
                <w:b/>
                <w:bCs/>
              </w:rPr>
              <w:t xml:space="preserve">Detailed notification</w:t>
            </w:r>
          </w:p>
        </w:tc>
        <w:tc>
          <w:tcPr/>
          <w:p>
            <w:pPr>
              <w:pStyle w:val="Compact"/>
              <w:jc w:val="left"/>
            </w:pPr>
            <w:r>
              <w:t xml:space="preserve">48–72 hours</w:t>
            </w:r>
          </w:p>
        </w:tc>
        <w:tc>
          <w:tcPr/>
          <w:p>
            <w:pPr>
              <w:pStyle w:val="Compact"/>
              <w:jc w:val="left"/>
            </w:pPr>
            <w:r>
              <w:t xml:space="preserve">Hong Kong (48h), Norway (72h), EU NIS2 (72h), USA CIRCIA (72h)</w:t>
            </w:r>
          </w:p>
        </w:tc>
      </w:tr>
      <w:tr>
        <w:tc>
          <w:tcPr/>
          <w:p>
            <w:pPr>
              <w:pStyle w:val="Compact"/>
              <w:jc w:val="left"/>
            </w:pPr>
            <w:r>
              <w:rPr>
                <w:b/>
                <w:bCs/>
              </w:rPr>
              <w:t xml:space="preserve">Final report</w:t>
            </w:r>
          </w:p>
        </w:tc>
        <w:tc>
          <w:tcPr/>
          <w:p>
            <w:pPr>
              <w:pStyle w:val="Compact"/>
              <w:jc w:val="left"/>
            </w:pPr>
            <w:r>
              <w:t xml:space="preserve">14–30 days</w:t>
            </w:r>
          </w:p>
        </w:tc>
        <w:tc>
          <w:tcPr/>
          <w:p>
            <w:pPr>
              <w:pStyle w:val="Compact"/>
              <w:jc w:val="left"/>
            </w:pPr>
            <w:r>
              <w:t xml:space="preserve">Hong Kong (14d), Norway (1 month), EU NIS2 (1 month)</w:t>
            </w:r>
          </w:p>
        </w:tc>
      </w:tr>
      <w:tr>
        <w:tc>
          <w:tcPr/>
          <w:p>
            <w:pPr>
              <w:pStyle w:val="Compact"/>
              <w:jc w:val="left"/>
            </w:pPr>
            <w:r>
              <w:rPr>
                <w:b/>
                <w:bCs/>
              </w:rPr>
              <w:t xml:space="preserve">Ransom payment</w:t>
            </w:r>
          </w:p>
        </w:tc>
        <w:tc>
          <w:tcPr/>
          <w:p>
            <w:pPr>
              <w:pStyle w:val="Compact"/>
              <w:jc w:val="left"/>
            </w:pPr>
            <w:r>
              <w:t xml:space="preserve">24 hours</w:t>
            </w:r>
          </w:p>
        </w:tc>
        <w:tc>
          <w:tcPr/>
          <w:p>
            <w:pPr>
              <w:pStyle w:val="Compact"/>
              <w:jc w:val="left"/>
            </w:pPr>
            <w:r>
              <w:t xml:space="preserve">USA CIRCIA, Australia</w:t>
            </w:r>
          </w:p>
        </w:tc>
      </w:tr>
    </w:tbl>
    <w:bookmarkEnd w:id="12"/>
    <w:bookmarkStart w:id="13" w:name="designation-models-taxonomy"/>
    <w:p>
      <w:pPr>
        <w:pStyle w:val="Heading2"/>
      </w:pPr>
      <w:r>
        <w:t xml:space="preserve">Designation Models (Taxonomy)</w:t>
      </w:r>
    </w:p>
    <w:tbl>
      <w:tblPr>
        <w:tblStyle w:val="Table"/>
        <w:tblW w:type="pct" w:w="5000"/>
        <w:tblLayout w:type="fixed"/>
        <w:tblLook w:firstRow="1" w:lastRow="0" w:firstColumn="0" w:lastColumn="0" w:noHBand="0" w:noVBand="0" w:val="0020"/>
      </w:tblPr>
      <w:tblGrid>
        <w:gridCol w:w="1848"/>
        <w:gridCol w:w="3432"/>
        <w:gridCol w:w="2640"/>
      </w:tblGrid>
      <w:tr>
        <w:trPr>
          <w:tblHeader w:val="on"/>
        </w:trPr>
        <w:tc>
          <w:tcPr/>
          <w:p>
            <w:pPr>
              <w:pStyle w:val="Compact"/>
              <w:jc w:val="left"/>
            </w:pPr>
            <w:r>
              <w:t xml:space="preserve">Model</w:t>
            </w:r>
          </w:p>
        </w:tc>
        <w:tc>
          <w:tcPr/>
          <w:p>
            <w:pPr>
              <w:pStyle w:val="Compact"/>
              <w:jc w:val="left"/>
            </w:pPr>
            <w:r>
              <w:t xml:space="preserve">Description</w:t>
            </w:r>
          </w:p>
        </w:tc>
        <w:tc>
          <w:tcPr/>
          <w:p>
            <w:pPr>
              <w:pStyle w:val="Compact"/>
              <w:jc w:val="left"/>
            </w:pPr>
            <w:r>
              <w:t xml:space="preserve">Examples</w:t>
            </w:r>
          </w:p>
        </w:tc>
      </w:tr>
      <w:tr>
        <w:tc>
          <w:tcPr/>
          <w:p>
            <w:pPr>
              <w:pStyle w:val="Compact"/>
              <w:jc w:val="left"/>
            </w:pPr>
            <w:r>
              <w:rPr>
                <w:b/>
                <w:bCs/>
              </w:rPr>
              <w:t xml:space="preserve">System-based</w:t>
            </w:r>
          </w:p>
        </w:tc>
        <w:tc>
          <w:tcPr/>
          <w:p>
            <w:pPr>
              <w:pStyle w:val="Compact"/>
              <w:jc w:val="left"/>
            </w:pPr>
            <w:r>
              <w:t xml:space="preserve">Specific systems designated</w:t>
            </w:r>
          </w:p>
        </w:tc>
        <w:tc>
          <w:tcPr/>
          <w:p>
            <w:pPr>
              <w:pStyle w:val="Compact"/>
              <w:jc w:val="left"/>
            </w:pPr>
            <w:r>
              <w:t xml:space="preserve">Singapore (CII)</w:t>
            </w:r>
          </w:p>
        </w:tc>
      </w:tr>
      <w:tr>
        <w:tc>
          <w:tcPr/>
          <w:p>
            <w:pPr>
              <w:pStyle w:val="Compact"/>
              <w:jc w:val="left"/>
            </w:pPr>
            <w:r>
              <w:rPr>
                <w:b/>
                <w:bCs/>
              </w:rPr>
              <w:t xml:space="preserve">Entity-based</w:t>
            </w:r>
          </w:p>
        </w:tc>
        <w:tc>
          <w:tcPr/>
          <w:p>
            <w:pPr>
              <w:pStyle w:val="Compact"/>
              <w:jc w:val="left"/>
            </w:pPr>
            <w:r>
              <w:t xml:space="preserve">Operators/providers designated</w:t>
            </w:r>
          </w:p>
        </w:tc>
        <w:tc>
          <w:tcPr/>
          <w:p>
            <w:pPr>
              <w:pStyle w:val="Compact"/>
              <w:jc w:val="left"/>
            </w:pPr>
            <w:r>
              <w:t xml:space="preserve">UK (OES), EU (NIS2), France (OIV)</w:t>
            </w:r>
          </w:p>
        </w:tc>
      </w:tr>
      <w:tr>
        <w:tc>
          <w:tcPr/>
          <w:p>
            <w:pPr>
              <w:pStyle w:val="Compact"/>
              <w:jc w:val="left"/>
            </w:pPr>
            <w:r>
              <w:rPr>
                <w:b/>
                <w:bCs/>
              </w:rPr>
              <w:t xml:space="preserve">Asset-based</w:t>
            </w:r>
          </w:p>
        </w:tc>
        <w:tc>
          <w:tcPr/>
          <w:p>
            <w:pPr>
              <w:pStyle w:val="Compact"/>
              <w:jc w:val="left"/>
            </w:pPr>
            <w:r>
              <w:t xml:space="preserve">Specific facilities designated</w:t>
            </w:r>
          </w:p>
        </w:tc>
        <w:tc>
          <w:tcPr/>
          <w:p>
            <w:pPr>
              <w:pStyle w:val="Compact"/>
              <w:jc w:val="left"/>
            </w:pPr>
            <w:r>
              <w:t xml:space="preserve">Australia (ICU hospitals), Germany (30k cases)</w:t>
            </w:r>
          </w:p>
        </w:tc>
      </w:tr>
      <w:tr>
        <w:tc>
          <w:tcPr/>
          <w:p>
            <w:pPr>
              <w:pStyle w:val="Compact"/>
              <w:jc w:val="left"/>
            </w:pPr>
            <w:r>
              <w:rPr>
                <w:b/>
                <w:bCs/>
              </w:rPr>
              <w:t xml:space="preserve">Sector-based</w:t>
            </w:r>
          </w:p>
        </w:tc>
        <w:tc>
          <w:tcPr/>
          <w:p>
            <w:pPr>
              <w:pStyle w:val="Compact"/>
              <w:jc w:val="left"/>
            </w:pPr>
            <w:r>
              <w:t xml:space="preserve">Obligations apply to classes</w:t>
            </w:r>
          </w:p>
        </w:tc>
        <w:tc>
          <w:tcPr/>
          <w:p>
            <w:pPr>
              <w:pStyle w:val="Compact"/>
              <w:jc w:val="left"/>
            </w:pPr>
            <w:r>
              <w:t xml:space="preserve">USA (HPH sector), Canada (10 CI sectors)</w:t>
            </w:r>
          </w:p>
        </w:tc>
      </w:tr>
      <w:tr>
        <w:tc>
          <w:tcPr/>
          <w:p>
            <w:pPr>
              <w:pStyle w:val="Compact"/>
              <w:jc w:val="left"/>
            </w:pPr>
            <w:r>
              <w:rPr>
                <w:b/>
                <w:bCs/>
              </w:rPr>
              <w:t xml:space="preserve">Hybrid</w:t>
            </w:r>
          </w:p>
        </w:tc>
        <w:tc>
          <w:tcPr/>
          <w:p>
            <w:pPr>
              <w:pStyle w:val="Compact"/>
              <w:jc w:val="left"/>
            </w:pPr>
            <w:r>
              <w:t xml:space="preserve">Combined approaches</w:t>
            </w:r>
          </w:p>
        </w:tc>
        <w:tc>
          <w:tcPr/>
          <w:p>
            <w:pPr>
              <w:pStyle w:val="Compact"/>
              <w:jc w:val="left"/>
            </w:pPr>
            <w:r>
              <w:t xml:space="preserve">Germany (KRITIS + NIS2), Hong Kong</w:t>
            </w:r>
          </w:p>
        </w:tc>
      </w:tr>
    </w:tbl>
    <w:bookmarkEnd w:id="13"/>
    <w:bookmarkStart w:id="14" w:name="health-entities-most-commonly-designated"/>
    <w:p>
      <w:pPr>
        <w:pStyle w:val="Heading2"/>
      </w:pPr>
      <w:r>
        <w:t xml:space="preserve">Health Entities Most Commonly Designated</w:t>
      </w:r>
    </w:p>
    <w:p>
      <w:pPr>
        <w:pStyle w:val="FirstParagraph"/>
      </w:pPr>
      <w:r>
        <w:rPr>
          <w:b/>
          <w:bCs/>
        </w:rPr>
        <w:t xml:space="preserve">Near-universal inclusion (80%+ of frameworks):</w:t>
      </w:r>
    </w:p>
    <w:p>
      <w:pPr>
        <w:pStyle w:val="Compact"/>
        <w:numPr>
          <w:ilvl w:val="0"/>
          <w:numId w:val="1004"/>
        </w:numPr>
      </w:pPr>
      <w:r>
        <w:t xml:space="preserve">Hospitals with ICU/emergency capability</w:t>
      </w:r>
    </w:p>
    <w:p>
      <w:pPr>
        <w:pStyle w:val="Compact"/>
        <w:numPr>
          <w:ilvl w:val="0"/>
          <w:numId w:val="1004"/>
        </w:numPr>
      </w:pPr>
      <w:r>
        <w:t xml:space="preserve">National/regional health information exchanges</w:t>
      </w:r>
    </w:p>
    <w:p>
      <w:pPr>
        <w:pStyle w:val="Compact"/>
        <w:numPr>
          <w:ilvl w:val="0"/>
          <w:numId w:val="1004"/>
        </w:numPr>
      </w:pPr>
      <w:r>
        <w:t xml:space="preserve">Blood and organ allocation services</w:t>
      </w:r>
    </w:p>
    <w:p>
      <w:pPr>
        <w:pStyle w:val="Compact"/>
        <w:numPr>
          <w:ilvl w:val="0"/>
          <w:numId w:val="1004"/>
        </w:numPr>
      </w:pPr>
      <w:r>
        <w:t xml:space="preserve">Disease surveillance systems</w:t>
      </w:r>
    </w:p>
    <w:p>
      <w:pPr>
        <w:pStyle w:val="Compact"/>
        <w:numPr>
          <w:ilvl w:val="0"/>
          <w:numId w:val="1004"/>
        </w:numPr>
      </w:pPr>
      <w:r>
        <w:t xml:space="preserve">Emergency ambulance dispatch (CAD)</w:t>
      </w:r>
    </w:p>
    <w:p>
      <w:pPr>
        <w:pStyle w:val="FirstParagraph"/>
      </w:pPr>
      <w:r>
        <w:rPr>
          <w:b/>
          <w:bCs/>
        </w:rPr>
        <w:t xml:space="preserve">Frequently included (50–80%):</w:t>
      </w:r>
    </w:p>
    <w:p>
      <w:pPr>
        <w:pStyle w:val="Compact"/>
        <w:numPr>
          <w:ilvl w:val="0"/>
          <w:numId w:val="1005"/>
        </w:numPr>
      </w:pPr>
      <w:r>
        <w:t xml:space="preserve">Medical laboratories (reference/diagnostic)</w:t>
      </w:r>
    </w:p>
    <w:p>
      <w:pPr>
        <w:pStyle w:val="Compact"/>
        <w:numPr>
          <w:ilvl w:val="0"/>
          <w:numId w:val="1005"/>
        </w:numPr>
      </w:pPr>
      <w:r>
        <w:t xml:space="preserve">Pharmaceutical manufacturers/distributors</w:t>
      </w:r>
    </w:p>
    <w:p>
      <w:pPr>
        <w:pStyle w:val="Compact"/>
        <w:numPr>
          <w:ilvl w:val="0"/>
          <w:numId w:val="1005"/>
        </w:numPr>
      </w:pPr>
      <w:r>
        <w:t xml:space="preserve">Medical device manufacturers</w:t>
      </w:r>
    </w:p>
    <w:bookmarkEnd w:id="14"/>
    <w:bookmarkStart w:id="15" w:name="evidence-labels"/>
    <w:p>
      <w:pPr>
        <w:pStyle w:val="Heading2"/>
      </w:pPr>
      <w:r>
        <w:t xml:space="preserve">Evidence Labels</w:t>
      </w:r>
    </w:p>
    <w:p>
      <w:pPr>
        <w:pStyle w:val="FirstParagraph"/>
      </w:pPr>
      <w:r>
        <w:t xml:space="preserve">Where this report lists systems</w:t>
      </w:r>
      <w:r>
        <w:t xml:space="preserve"> </w:t>
      </w:r>
      <w:r>
        <w:t xml:space="preserve">“most likely”</w:t>
      </w:r>
      <w:r>
        <w:t xml:space="preserve"> </w:t>
      </w:r>
      <w:r>
        <w:t xml:space="preserve">to be treated as critical:</w:t>
      </w:r>
    </w:p>
    <w:p>
      <w:pPr>
        <w:pStyle w:val="Compact"/>
        <w:numPr>
          <w:ilvl w:val="0"/>
          <w:numId w:val="1006"/>
        </w:numPr>
      </w:pPr>
      <w:r>
        <w:rPr>
          <w:b/>
          <w:bCs/>
        </w:rPr>
        <w:t xml:space="preserve">(A) Explicit</w:t>
      </w:r>
      <w:r>
        <w:t xml:space="preserve"> </w:t>
      </w:r>
      <w:r>
        <w:t xml:space="preserve">— directly stated in law/regulation</w:t>
      </w:r>
      <w:r>
        <w:br/>
      </w:r>
    </w:p>
    <w:p>
      <w:pPr>
        <w:pStyle w:val="Compact"/>
        <w:numPr>
          <w:ilvl w:val="0"/>
          <w:numId w:val="1006"/>
        </w:numPr>
      </w:pPr>
      <w:r>
        <w:rPr>
          <w:b/>
          <w:bCs/>
        </w:rPr>
        <w:t xml:space="preserve">(B) Guidance</w:t>
      </w:r>
      <w:r>
        <w:t xml:space="preserve"> </w:t>
      </w:r>
      <w:r>
        <w:t xml:space="preserve">— stated in official policy documents</w:t>
      </w:r>
      <w:r>
        <w:br/>
      </w:r>
    </w:p>
    <w:p>
      <w:pPr>
        <w:pStyle w:val="Compact"/>
        <w:numPr>
          <w:ilvl w:val="0"/>
          <w:numId w:val="1006"/>
        </w:numPr>
      </w:pPr>
      <w:r>
        <w:rPr>
          <w:b/>
          <w:bCs/>
        </w:rPr>
        <w:t xml:space="preserve">(C) Criteria inference</w:t>
      </w:r>
      <w:r>
        <w:t xml:space="preserve"> </w:t>
      </w:r>
      <w:r>
        <w:t xml:space="preserve">— inferred from published thresholds</w:t>
      </w:r>
      <w:r>
        <w:br/>
      </w:r>
    </w:p>
    <w:p>
      <w:pPr>
        <w:pStyle w:val="Compact"/>
        <w:numPr>
          <w:ilvl w:val="0"/>
          <w:numId w:val="1006"/>
        </w:numPr>
      </w:pPr>
      <w:r>
        <w:rPr>
          <w:b/>
          <w:bCs/>
        </w:rPr>
        <w:t xml:space="preserve">(D) Expert judgement</w:t>
      </w:r>
      <w:r>
        <w:t xml:space="preserve"> </w:t>
      </w:r>
      <w:r>
        <w:t xml:space="preserve">— reasoned where sources are incomplete</w:t>
      </w:r>
    </w:p>
    <w:bookmarkEnd w:id="15"/>
    <w:bookmarkStart w:id="16" w:name="methodology"/>
    <w:p>
      <w:pPr>
        <w:pStyle w:val="Heading2"/>
      </w:pPr>
      <w:r>
        <w:t xml:space="preserve">Methodology</w:t>
      </w:r>
    </w:p>
    <w:p>
      <w:pPr>
        <w:pStyle w:val="FirstParagraph"/>
      </w:pPr>
      <w:r>
        <w:t xml:space="preserve">This analysis synthesizes:</w:t>
      </w:r>
    </w:p>
    <w:p>
      <w:pPr>
        <w:pStyle w:val="Compact"/>
        <w:numPr>
          <w:ilvl w:val="0"/>
          <w:numId w:val="1007"/>
        </w:numPr>
      </w:pPr>
      <w:r>
        <w:t xml:space="preserve">Official legislation and regulations (updated through January 2026)</w:t>
      </w:r>
    </w:p>
    <w:p>
      <w:pPr>
        <w:pStyle w:val="Compact"/>
        <w:numPr>
          <w:ilvl w:val="0"/>
          <w:numId w:val="1007"/>
        </w:numPr>
      </w:pPr>
      <w:r>
        <w:t xml:space="preserve">Competent-authority guidance documents and consultation papers</w:t>
      </w:r>
    </w:p>
    <w:p>
      <w:pPr>
        <w:pStyle w:val="Compact"/>
        <w:numPr>
          <w:ilvl w:val="0"/>
          <w:numId w:val="1007"/>
        </w:numPr>
      </w:pPr>
      <w:r>
        <w:t xml:space="preserve">Primary source verification for all 17 deep-dive jurisdictions</w:t>
      </w:r>
    </w:p>
    <w:p>
      <w:pPr>
        <w:pStyle w:val="Compact"/>
        <w:numPr>
          <w:ilvl w:val="0"/>
          <w:numId w:val="1007"/>
        </w:numPr>
      </w:pPr>
      <w:r>
        <w:t xml:space="preserve">Multi-region survey based on official government and agency sources</w:t>
      </w:r>
    </w:p>
    <w:p>
      <w:pPr>
        <w:pStyle w:val="FirstParagraph"/>
      </w:pPr>
      <w:r>
        <w:t xml:space="preserve">All substantive claims are supported by numbered references. Where lists are confidential, the report distinguishes between what is directly evidenced and what is inferred.</w:t>
      </w:r>
    </w:p>
    <w:p>
      <w:pPr>
        <w:sectPr>
          <w:type w:val="nextPage"/>
        </w:sectPr>
      </w:pPr>
    </w:p>
    <w:bookmarkEnd w:id="16"/>
    <w:bookmarkEnd w:id="17"/>
    <w:bookmarkStart w:id="18" w:name="table-of-contents"/>
    <w:p>
      <w:pPr>
        <w:pStyle w:val="Heading1"/>
      </w:pPr>
      <w:r>
        <w:t xml:space="preserve">Table of Contents</w:t>
      </w:r>
    </w:p>
    <w:p>
      <w:pPr>
        <w:sectPr>
          <w:type w:val="nextPage"/>
        </w:sectPr>
      </w:pPr>
    </w:p>
    <w:bookmarkEnd w:id="18"/>
    <w:bookmarkStart w:id="30" w:name="methodology-1"/>
    <w:p>
      <w:pPr>
        <w:pStyle w:val="Heading1"/>
      </w:pPr>
      <w:r>
        <w:t xml:space="preserve">Methodology</w:t>
      </w:r>
    </w:p>
    <w:p>
      <w:pPr>
        <w:pStyle w:val="FirstParagraph"/>
      </w:pPr>
      <w:r>
        <w:t xml:space="preserve">identifying, extracting, shortlisting, and categorising “highest-critical / protected” health information systems</w:t>
      </w:r>
    </w:p>
    <w:p>
      <w:pPr>
        <w:pStyle w:val="BodyText"/>
      </w:pPr>
      <w:r>
        <w:t xml:space="preserve">This chapter documents the</w:t>
      </w:r>
      <w:r>
        <w:t xml:space="preserve"> </w:t>
      </w:r>
      <w:r>
        <w:rPr>
          <w:b/>
          <w:bCs/>
        </w:rPr>
        <w:t xml:space="preserve">repeatable method</w:t>
      </w:r>
      <w:r>
        <w:t xml:space="preserve"> </w:t>
      </w:r>
      <w:r>
        <w:t xml:space="preserve">used to identify country frameworks, extract only verifiable requirements, shortlist what qualifies as “highest critical / protected,” and categorise regimes consistently across jurisdictions (as applied in the country chapters already produced).</w:t>
      </w:r>
    </w:p>
    <w:bookmarkStart w:id="19" w:name="objective-and-unit-of-analysis"/>
    <w:p>
      <w:pPr>
        <w:pStyle w:val="Heading2"/>
      </w:pPr>
      <w:r>
        <w:t xml:space="preserve">1) Objective and unit of analysis</w:t>
      </w:r>
    </w:p>
    <w:p>
      <w:pPr>
        <w:pStyle w:val="FirstParagraph"/>
      </w:pPr>
      <w:r>
        <w:rPr>
          <w:b/>
          <w:bCs/>
        </w:rPr>
        <w:t xml:space="preserve">Objective:</w:t>
      </w:r>
      <w:r>
        <w:t xml:space="preserve"> </w:t>
      </w:r>
      <w:r>
        <w:t xml:space="preserve">Determine, for each jurisdiction, the</w:t>
      </w:r>
      <w:r>
        <w:t xml:space="preserve"> </w:t>
      </w:r>
      <w:r>
        <w:rPr>
          <w:b/>
          <w:bCs/>
        </w:rPr>
        <w:t xml:space="preserve">highest critical / protected categories</w:t>
      </w:r>
      <w:r>
        <w:t xml:space="preserve"> </w:t>
      </w:r>
      <w:r>
        <w:t xml:space="preserve">that can apply to the</w:t>
      </w:r>
      <w:r>
        <w:t xml:space="preserve"> </w:t>
      </w:r>
      <w:r>
        <w:rPr>
          <w:b/>
          <w:bCs/>
        </w:rPr>
        <w:t xml:space="preserve">health sector and/or health information systems</w:t>
      </w:r>
      <w:r>
        <w:t xml:space="preserve">, and document:</w:t>
      </w:r>
    </w:p>
    <w:p>
      <w:pPr>
        <w:pStyle w:val="Compact"/>
        <w:numPr>
          <w:ilvl w:val="0"/>
          <w:numId w:val="1008"/>
        </w:numPr>
      </w:pPr>
      <w:r>
        <w:t xml:space="preserve">the</w:t>
      </w:r>
      <w:r>
        <w:t xml:space="preserve"> </w:t>
      </w:r>
      <w:r>
        <w:rPr>
          <w:b/>
          <w:bCs/>
        </w:rPr>
        <w:t xml:space="preserve">exact legal/regulatory trigger</w:t>
      </w:r>
      <w:r>
        <w:t xml:space="preserve"> </w:t>
      </w:r>
      <w:r>
        <w:t xml:space="preserve">(definition + threshold test),</w:t>
      </w:r>
    </w:p>
    <w:p>
      <w:pPr>
        <w:pStyle w:val="Compact"/>
        <w:numPr>
          <w:ilvl w:val="0"/>
          <w:numId w:val="1008"/>
        </w:numPr>
      </w:pPr>
      <w:r>
        <w:t xml:space="preserve">any</w:t>
      </w:r>
      <w:r>
        <w:t xml:space="preserve"> </w:t>
      </w:r>
      <w:r>
        <w:rPr>
          <w:b/>
          <w:bCs/>
        </w:rPr>
        <w:t xml:space="preserve">tiering / grading scheme</w:t>
      </w:r>
      <w:r>
        <w:t xml:space="preserve">,</w:t>
      </w:r>
    </w:p>
    <w:p>
      <w:pPr>
        <w:pStyle w:val="Compact"/>
        <w:numPr>
          <w:ilvl w:val="0"/>
          <w:numId w:val="1008"/>
        </w:numPr>
      </w:pPr>
      <w:r>
        <w:rPr>
          <w:b/>
          <w:bCs/>
        </w:rPr>
        <w:t xml:space="preserve">incident reporting triggers + deadlines</w:t>
      </w:r>
      <w:r>
        <w:t xml:space="preserve">, and</w:t>
      </w:r>
    </w:p>
    <w:p>
      <w:pPr>
        <w:pStyle w:val="Compact"/>
        <w:numPr>
          <w:ilvl w:val="0"/>
          <w:numId w:val="1008"/>
        </w:numPr>
      </w:pPr>
      <w:r>
        <w:t xml:space="preserve">what is</w:t>
      </w:r>
      <w:r>
        <w:t xml:space="preserve"> </w:t>
      </w:r>
      <w:r>
        <w:rPr>
          <w:b/>
          <w:bCs/>
        </w:rPr>
        <w:t xml:space="preserve">explicitly health-specific</w:t>
      </w:r>
      <w:r>
        <w:t xml:space="preserve"> </w:t>
      </w:r>
      <w:r>
        <w:t xml:space="preserve">vs</w:t>
      </w:r>
      <w:r>
        <w:t xml:space="preserve"> </w:t>
      </w:r>
      <w:r>
        <w:rPr>
          <w:b/>
          <w:bCs/>
        </w:rPr>
        <w:t xml:space="preserve">cross-sector but applicable to health</w:t>
      </w:r>
      <w:r>
        <w:t xml:space="preserve">.</w:t>
      </w:r>
    </w:p>
    <w:p>
      <w:pPr>
        <w:pStyle w:val="FirstParagraph"/>
      </w:pPr>
      <w:r>
        <w:rPr>
          <w:b/>
          <w:bCs/>
        </w:rPr>
        <w:t xml:space="preserve">Unit of analysis:</w:t>
      </w:r>
      <w:r>
        <w:t xml:space="preserve"> </w:t>
      </w:r>
      <w:r>
        <w:t xml:space="preserve">Always record what the instrument legally regulates:</w:t>
      </w:r>
    </w:p>
    <w:p>
      <w:pPr>
        <w:pStyle w:val="Compact"/>
        <w:numPr>
          <w:ilvl w:val="0"/>
          <w:numId w:val="1009"/>
        </w:numPr>
      </w:pPr>
      <w:r>
        <w:rPr>
          <w:b/>
          <w:bCs/>
        </w:rPr>
        <w:t xml:space="preserve">Entity-level</w:t>
      </w:r>
      <w:r>
        <w:t xml:space="preserve"> </w:t>
      </w:r>
      <w:r>
        <w:t xml:space="preserve">classification (e.g., “essential entity” vs “important entity”), or</w:t>
      </w:r>
    </w:p>
    <w:p>
      <w:pPr>
        <w:pStyle w:val="Compact"/>
        <w:numPr>
          <w:ilvl w:val="0"/>
          <w:numId w:val="1009"/>
        </w:numPr>
      </w:pPr>
      <w:r>
        <w:rPr>
          <w:b/>
          <w:bCs/>
        </w:rPr>
        <w:t xml:space="preserve">Asset/system-level</w:t>
      </w:r>
      <w:r>
        <w:t xml:space="preserve"> </w:t>
      </w:r>
      <w:r>
        <w:t xml:space="preserve">designation (e.g., “designated system/installation”), or</w:t>
      </w:r>
    </w:p>
    <w:p>
      <w:pPr>
        <w:pStyle w:val="Compact"/>
        <w:numPr>
          <w:ilvl w:val="0"/>
          <w:numId w:val="1009"/>
        </w:numPr>
      </w:pPr>
      <w:r>
        <w:rPr>
          <w:b/>
          <w:bCs/>
        </w:rPr>
        <w:t xml:space="preserve">Sector-level</w:t>
      </w:r>
      <w:r>
        <w:t xml:space="preserve"> </w:t>
      </w:r>
      <w:r>
        <w:t xml:space="preserve">recognition (e.g., “health as a critical sector”) when no designation mechanism exists.</w:t>
      </w:r>
    </w:p>
    <w:bookmarkEnd w:id="19"/>
    <w:bookmarkStart w:id="20" w:name="X644f95903f7678947529250e915b81dd9ecc5db"/>
    <w:p>
      <w:pPr>
        <w:pStyle w:val="Heading2"/>
      </w:pPr>
      <w:r>
        <w:t xml:space="preserve">2) Evidence hierarchy (what counts as “primary”)</w:t>
      </w:r>
    </w:p>
    <w:p>
      <w:pPr>
        <w:pStyle w:val="FirstParagraph"/>
      </w:pPr>
      <w:r>
        <w:t xml:space="preserve">To meet a strict evidence standard, sources are ranked and used in this order:</w:t>
      </w:r>
    </w:p>
    <w:p>
      <w:pPr>
        <w:pStyle w:val="Compact"/>
        <w:numPr>
          <w:ilvl w:val="0"/>
          <w:numId w:val="1010"/>
        </w:numPr>
      </w:pPr>
      <w:r>
        <w:rPr>
          <w:b/>
          <w:bCs/>
        </w:rPr>
        <w:t xml:space="preserve">Primary legal texts</w:t>
      </w:r>
      <w:r>
        <w:t xml:space="preserve"> </w:t>
      </w:r>
      <w:r>
        <w:t xml:space="preserve">(acts, regulations, directives, annexes/schedules, official compilations).</w:t>
      </w:r>
    </w:p>
    <w:p>
      <w:pPr>
        <w:pStyle w:val="Compact"/>
        <w:numPr>
          <w:ilvl w:val="0"/>
          <w:numId w:val="1010"/>
        </w:numPr>
      </w:pPr>
      <w:r>
        <w:rPr>
          <w:b/>
          <w:bCs/>
        </w:rPr>
        <w:t xml:space="preserve">Official regulator/government guidance</w:t>
      </w:r>
      <w:r>
        <w:t xml:space="preserve"> </w:t>
      </w:r>
      <w:r>
        <w:t xml:space="preserve">that is explicitly issued under, or directly interprets/implements, the primary instrument (e.g., competent authority guidance containing reporting thresholds).</w:t>
      </w:r>
    </w:p>
    <w:p>
      <w:pPr>
        <w:pStyle w:val="Compact"/>
        <w:numPr>
          <w:ilvl w:val="0"/>
          <w:numId w:val="1010"/>
        </w:numPr>
      </w:pPr>
      <w:r>
        <w:rPr>
          <w:b/>
          <w:bCs/>
        </w:rPr>
        <w:t xml:space="preserve">Official explanatory materials</w:t>
      </w:r>
      <w:r>
        <w:t xml:space="preserve"> </w:t>
      </w:r>
      <w:r>
        <w:t xml:space="preserve">(explanatory memoranda/notes, government bill notes) used only to explain</w:t>
      </w:r>
      <w:r>
        <w:t xml:space="preserve"> </w:t>
      </w:r>
      <w:r>
        <w:rPr>
          <w:b/>
          <w:bCs/>
        </w:rPr>
        <w:t xml:space="preserve">what the law states</w:t>
      </w:r>
      <w:r>
        <w:t xml:space="preserve">, not to invent new thresholds.</w:t>
      </w:r>
    </w:p>
    <w:p>
      <w:pPr>
        <w:pStyle w:val="Compact"/>
        <w:numPr>
          <w:ilvl w:val="0"/>
          <w:numId w:val="1010"/>
        </w:numPr>
      </w:pPr>
      <w:r>
        <w:rPr>
          <w:b/>
          <w:bCs/>
        </w:rPr>
        <w:t xml:space="preserve">Secondary sources</w:t>
      </w:r>
      <w:r>
        <w:t xml:space="preserve"> </w:t>
      </w:r>
      <w:r>
        <w:t xml:space="preserve">(law firm notes, academic papers, blogs) are</w:t>
      </w:r>
      <w:r>
        <w:t xml:space="preserve"> </w:t>
      </w:r>
      <w:r>
        <w:rPr>
          <w:b/>
          <w:bCs/>
        </w:rPr>
        <w:t xml:space="preserve">not used to assert obligations</w:t>
      </w:r>
      <w:r>
        <w:t xml:space="preserve"> </w:t>
      </w:r>
      <w:r>
        <w:t xml:space="preserve">unless the underlying primary text is also captured; if referenced, they are labelled as secondary.</w:t>
      </w:r>
    </w:p>
    <w:p>
      <w:pPr>
        <w:pStyle w:val="FirstParagraph"/>
      </w:pPr>
      <w:r>
        <w:rPr>
          <w:b/>
          <w:bCs/>
        </w:rPr>
        <w:t xml:space="preserve">Hard rule:</w:t>
      </w:r>
      <w:r>
        <w:t xml:space="preserve"> </w:t>
      </w:r>
      <w:r>
        <w:t xml:space="preserve">If a cited document cannot be accessed/verified in full text, it is</w:t>
      </w:r>
      <w:r>
        <w:t xml:space="preserve"> </w:t>
      </w:r>
      <w:r>
        <w:rPr>
          <w:b/>
          <w:bCs/>
        </w:rPr>
        <w:t xml:space="preserve">not used</w:t>
      </w:r>
      <w:r>
        <w:t xml:space="preserve"> </w:t>
      </w:r>
      <w:r>
        <w:t xml:space="preserve">to support a factual claim; it is listed as</w:t>
      </w:r>
      <w:r>
        <w:t xml:space="preserve"> </w:t>
      </w:r>
      <w:r>
        <w:rPr>
          <w:b/>
          <w:bCs/>
        </w:rPr>
        <w:t xml:space="preserve">“not accessible in this environment”</w:t>
      </w:r>
      <w:r>
        <w:t xml:space="preserve"> </w:t>
      </w:r>
      <w:r>
        <w:t xml:space="preserve">(transparency note).</w:t>
      </w:r>
    </w:p>
    <w:bookmarkEnd w:id="20"/>
    <w:bookmarkStart w:id="21" w:name="source-discovery-and-retrieval-workflow"/>
    <w:p>
      <w:pPr>
        <w:pStyle w:val="Heading2"/>
      </w:pPr>
      <w:r>
        <w:t xml:space="preserve">3) Source discovery and retrieval workflow</w:t>
      </w:r>
    </w:p>
    <w:p>
      <w:pPr>
        <w:pStyle w:val="FirstParagraph"/>
      </w:pPr>
      <w:r>
        <w:t xml:space="preserve">For each jurisdiction:</w:t>
      </w:r>
    </w:p>
    <w:p>
      <w:pPr>
        <w:pStyle w:val="Compact"/>
        <w:numPr>
          <w:ilvl w:val="0"/>
          <w:numId w:val="1011"/>
        </w:numPr>
      </w:pPr>
      <w:r>
        <w:rPr>
          <w:b/>
          <w:bCs/>
        </w:rPr>
        <w:t xml:space="preserve">Start from the canonical portal</w:t>
      </w:r>
      <w:r>
        <w:t xml:space="preserve"> </w:t>
      </w:r>
      <w:r>
        <w:t xml:space="preserve">for legislation (e.g., official gazette/legislation website, EUR-Lex, etc.).</w:t>
      </w:r>
    </w:p>
    <w:p>
      <w:pPr>
        <w:pStyle w:val="Compact"/>
        <w:numPr>
          <w:ilvl w:val="0"/>
          <w:numId w:val="1011"/>
        </w:numPr>
      </w:pPr>
      <w:r>
        <w:t xml:space="preserve">Identify the</w:t>
      </w:r>
      <w:r>
        <w:t xml:space="preserve"> </w:t>
      </w:r>
      <w:r>
        <w:rPr>
          <w:b/>
          <w:bCs/>
        </w:rPr>
        <w:t xml:space="preserve">top instrument(s)</w:t>
      </w:r>
      <w:r>
        <w:t xml:space="preserve"> </w:t>
      </w:r>
      <w:r>
        <w:t xml:space="preserve">that create “critical/essential” obligations:</w:t>
      </w:r>
    </w:p>
    <w:p>
      <w:pPr>
        <w:pStyle w:val="Compact"/>
        <w:numPr>
          <w:ilvl w:val="1"/>
          <w:numId w:val="1012"/>
        </w:numPr>
      </w:pPr>
      <w:r>
        <w:t xml:space="preserve">cybersecurity/critical infrastructure statute,</w:t>
      </w:r>
    </w:p>
    <w:p>
      <w:pPr>
        <w:pStyle w:val="Compact"/>
        <w:numPr>
          <w:ilvl w:val="1"/>
          <w:numId w:val="1012"/>
        </w:numPr>
      </w:pPr>
      <w:r>
        <w:t xml:space="preserve">sectoral implementing regulation,</w:t>
      </w:r>
    </w:p>
    <w:p>
      <w:pPr>
        <w:pStyle w:val="Compact"/>
        <w:numPr>
          <w:ilvl w:val="1"/>
          <w:numId w:val="1012"/>
        </w:numPr>
      </w:pPr>
      <w:r>
        <w:t xml:space="preserve">annexes/schedules that contain</w:t>
      </w:r>
      <w:r>
        <w:t xml:space="preserve"> </w:t>
      </w:r>
      <w:r>
        <w:rPr>
          <w:b/>
          <w:bCs/>
        </w:rPr>
        <w:t xml:space="preserve">sector lists</w:t>
      </w:r>
      <w:r>
        <w:t xml:space="preserve"> </w:t>
      </w:r>
      <w:r>
        <w:t xml:space="preserve">or</w:t>
      </w:r>
      <w:r>
        <w:t xml:space="preserve"> </w:t>
      </w:r>
      <w:r>
        <w:rPr>
          <w:b/>
          <w:bCs/>
        </w:rPr>
        <w:t xml:space="preserve">numeric thresholds</w:t>
      </w:r>
      <w:r>
        <w:t xml:space="preserve">.</w:t>
      </w:r>
    </w:p>
    <w:p>
      <w:pPr>
        <w:pStyle w:val="Compact"/>
        <w:numPr>
          <w:ilvl w:val="0"/>
          <w:numId w:val="1011"/>
        </w:numPr>
      </w:pPr>
      <w:r>
        <w:t xml:space="preserve">Retrieve</w:t>
      </w:r>
      <w:r>
        <w:t xml:space="preserve"> </w:t>
      </w:r>
      <w:r>
        <w:rPr>
          <w:b/>
          <w:bCs/>
        </w:rPr>
        <w:t xml:space="preserve">competent authority guidance</w:t>
      </w:r>
      <w:r>
        <w:t xml:space="preserve"> </w:t>
      </w:r>
      <w:r>
        <w:t xml:space="preserve">only where it contains</w:t>
      </w:r>
      <w:r>
        <w:t xml:space="preserve"> </w:t>
      </w:r>
      <w:r>
        <w:rPr>
          <w:i/>
          <w:iCs/>
        </w:rPr>
        <w:t xml:space="preserve">operational tests</w:t>
      </w:r>
      <w:r>
        <w:t xml:space="preserve"> </w:t>
      </w:r>
      <w:r>
        <w:t xml:space="preserve">(e.g., explicit “significant incident” thresholds, reporting routes).</w:t>
      </w:r>
    </w:p>
    <w:p>
      <w:pPr>
        <w:pStyle w:val="Compact"/>
        <w:numPr>
          <w:ilvl w:val="0"/>
          <w:numId w:val="1011"/>
        </w:numPr>
      </w:pPr>
      <w:r>
        <w:t xml:space="preserve">Capture</w:t>
      </w:r>
      <w:r>
        <w:t xml:space="preserve"> </w:t>
      </w:r>
      <w:r>
        <w:rPr>
          <w:b/>
          <w:bCs/>
        </w:rPr>
        <w:t xml:space="preserve">version and date</w:t>
      </w:r>
      <w:r>
        <w:t xml:space="preserve"> </w:t>
      </w:r>
      <w:r>
        <w:t xml:space="preserve">(consolidation date, amendment date, entry into force date) for each instrument.</w:t>
      </w:r>
    </w:p>
    <w:bookmarkEnd w:id="21"/>
    <w:bookmarkStart w:id="22" w:name="X2cd268aa746cc965fa4c9539de80c3b46dad3c8"/>
    <w:p>
      <w:pPr>
        <w:pStyle w:val="Heading2"/>
      </w:pPr>
      <w:r>
        <w:t xml:space="preserve">4) Extraction template (what we extract from each source)</w:t>
      </w:r>
    </w:p>
    <w:p>
      <w:pPr>
        <w:pStyle w:val="FirstParagraph"/>
      </w:pPr>
      <w:r>
        <w:t xml:space="preserve">For every instrument, extract only text that supports one of the following fields:</w:t>
      </w:r>
    </w:p>
    <w:p>
      <w:pPr>
        <w:pStyle w:val="BodyText"/>
      </w:pPr>
      <w:r>
        <w:rPr>
          <w:b/>
          <w:bCs/>
        </w:rPr>
        <w:t xml:space="preserve">A. Final category (the legal label)</w:t>
      </w:r>
    </w:p>
    <w:p>
      <w:pPr>
        <w:pStyle w:val="Compact"/>
        <w:numPr>
          <w:ilvl w:val="0"/>
          <w:numId w:val="1013"/>
        </w:numPr>
      </w:pPr>
      <w:r>
        <w:t xml:space="preserve">Exact legal term(s): e.g., “critical infrastructure installation,” “operator of essential services,” “designated critical information infrastructure,” etc.</w:t>
      </w:r>
    </w:p>
    <w:p>
      <w:pPr>
        <w:pStyle w:val="FirstParagraph"/>
      </w:pPr>
      <w:r>
        <w:rPr>
          <w:b/>
          <w:bCs/>
        </w:rPr>
        <w:t xml:space="preserve">B. Trigger criteria</w:t>
      </w:r>
    </w:p>
    <w:p>
      <w:pPr>
        <w:pStyle w:val="Compact"/>
        <w:numPr>
          <w:ilvl w:val="0"/>
          <w:numId w:val="1014"/>
        </w:numPr>
      </w:pPr>
      <w:r>
        <w:rPr>
          <w:b/>
          <w:bCs/>
        </w:rPr>
        <w:t xml:space="preserve">Definition clause</w:t>
      </w:r>
      <w:r>
        <w:t xml:space="preserve"> </w:t>
      </w:r>
      <w:r>
        <w:t xml:space="preserve">(what the category is).</w:t>
      </w:r>
    </w:p>
    <w:p>
      <w:pPr>
        <w:pStyle w:val="Compact"/>
        <w:numPr>
          <w:ilvl w:val="0"/>
          <w:numId w:val="1014"/>
        </w:numPr>
      </w:pPr>
      <w:r>
        <w:rPr>
          <w:b/>
          <w:bCs/>
        </w:rPr>
        <w:t xml:space="preserve">Threshold test</w:t>
      </w:r>
      <w:r>
        <w:t xml:space="preserve"> </w:t>
      </w:r>
      <w:r>
        <w:t xml:space="preserve">(numeric or qualitative; annex/schedule thresholds where available).</w:t>
      </w:r>
    </w:p>
    <w:p>
      <w:pPr>
        <w:pStyle w:val="Compact"/>
        <w:numPr>
          <w:ilvl w:val="0"/>
          <w:numId w:val="1014"/>
        </w:numPr>
      </w:pPr>
      <w:r>
        <w:rPr>
          <w:b/>
          <w:bCs/>
        </w:rPr>
        <w:t xml:space="preserve">Designation mechanics</w:t>
      </w:r>
      <w:r>
        <w:t xml:space="preserve"> </w:t>
      </w:r>
      <w:r>
        <w:t xml:space="preserve">(who designates; notice; duration; confidentiality of registers, if stated).</w:t>
      </w:r>
    </w:p>
    <w:p>
      <w:pPr>
        <w:pStyle w:val="FirstParagraph"/>
      </w:pPr>
      <w:r>
        <w:rPr>
          <w:b/>
          <w:bCs/>
        </w:rPr>
        <w:t xml:space="preserve">C. Tiering / grading</w:t>
      </w:r>
    </w:p>
    <w:p>
      <w:pPr>
        <w:pStyle w:val="Compact"/>
        <w:numPr>
          <w:ilvl w:val="0"/>
          <w:numId w:val="1015"/>
        </w:numPr>
      </w:pPr>
      <w:r>
        <w:t xml:space="preserve">Binary vs tiered system; the legal names of tiers; annex references.</w:t>
      </w:r>
    </w:p>
    <w:p>
      <w:pPr>
        <w:pStyle w:val="FirstParagraph"/>
      </w:pPr>
      <w:r>
        <w:rPr>
          <w:b/>
          <w:bCs/>
        </w:rPr>
        <w:t xml:space="preserve">D. Incident reporting tests</w:t>
      </w:r>
    </w:p>
    <w:p>
      <w:pPr>
        <w:pStyle w:val="Compact"/>
        <w:numPr>
          <w:ilvl w:val="0"/>
          <w:numId w:val="1016"/>
        </w:numPr>
      </w:pPr>
      <w:r>
        <w:t xml:space="preserve">Trigger term used by law/guidance (“significant incident,” “covered incident,” etc.).</w:t>
      </w:r>
    </w:p>
    <w:p>
      <w:pPr>
        <w:pStyle w:val="Compact"/>
        <w:numPr>
          <w:ilvl w:val="0"/>
          <w:numId w:val="1016"/>
        </w:numPr>
      </w:pPr>
      <w:r>
        <w:t xml:space="preserve">Deadlines (24h/72h/other) and the legal basis for the clock.</w:t>
      </w:r>
    </w:p>
    <w:p>
      <w:pPr>
        <w:pStyle w:val="FirstParagraph"/>
      </w:pPr>
      <w:r>
        <w:rPr>
          <w:b/>
          <w:bCs/>
        </w:rPr>
        <w:t xml:space="preserve">E. Health-specific hooks</w:t>
      </w:r>
    </w:p>
    <w:p>
      <w:pPr>
        <w:pStyle w:val="Compact"/>
        <w:numPr>
          <w:ilvl w:val="0"/>
          <w:numId w:val="1017"/>
        </w:numPr>
      </w:pPr>
      <w:r>
        <w:t xml:space="preserve">Where health is</w:t>
      </w:r>
      <w:r>
        <w:t xml:space="preserve"> </w:t>
      </w:r>
      <w:r>
        <w:rPr>
          <w:b/>
          <w:bCs/>
        </w:rPr>
        <w:t xml:space="preserve">explicitly named</w:t>
      </w:r>
      <w:r>
        <w:t xml:space="preserve"> </w:t>
      </w:r>
      <w:r>
        <w:t xml:space="preserve">as a sector/service (or where “medical services,” “healthcare providers,” “hospitals,” etc. appear in annexes).</w:t>
      </w:r>
    </w:p>
    <w:p>
      <w:pPr>
        <w:pStyle w:val="FirstParagraph"/>
      </w:pPr>
      <w:r>
        <w:rPr>
          <w:b/>
          <w:bCs/>
        </w:rPr>
        <w:t xml:space="preserve">F. Public vs confidential</w:t>
      </w:r>
    </w:p>
    <w:p>
      <w:pPr>
        <w:pStyle w:val="Compact"/>
        <w:numPr>
          <w:ilvl w:val="0"/>
          <w:numId w:val="1018"/>
        </w:numPr>
      </w:pPr>
      <w:r>
        <w:t xml:space="preserve">Only recorded if the instrument explicitly states registry confidentiality / publication requirements.</w:t>
      </w:r>
    </w:p>
    <w:bookmarkEnd w:id="22"/>
    <w:bookmarkStart w:id="25" w:name="shortlisting-logic-inclusion-exclusion"/>
    <w:p>
      <w:pPr>
        <w:pStyle w:val="Heading2"/>
      </w:pPr>
      <w:r>
        <w:t xml:space="preserve">5) Shortlisting logic (inclusion / exclusion)</w:t>
      </w:r>
    </w:p>
    <w:bookmarkStart w:id="23" w:name="X38c0bd6232cb5dc2db7cbb4d0928814cdf8ad5d"/>
    <w:p>
      <w:pPr>
        <w:pStyle w:val="Heading3"/>
      </w:pPr>
      <w:r>
        <w:t xml:space="preserve">Inclusion criteria (a framework is shortlisted if it meets any of the following)</w:t>
      </w:r>
    </w:p>
    <w:p>
      <w:pPr>
        <w:pStyle w:val="Compact"/>
        <w:numPr>
          <w:ilvl w:val="0"/>
          <w:numId w:val="1019"/>
        </w:numPr>
      </w:pPr>
      <w:r>
        <w:t xml:space="preserve">The legal text</w:t>
      </w:r>
      <w:r>
        <w:t xml:space="preserve"> </w:t>
      </w:r>
      <w:r>
        <w:rPr>
          <w:b/>
          <w:bCs/>
        </w:rPr>
        <w:t xml:space="preserve">explicitly names health/medical services</w:t>
      </w:r>
      <w:r>
        <w:t xml:space="preserve"> </w:t>
      </w:r>
      <w:r>
        <w:t xml:space="preserve">as a critical/essential sector/type;</w:t>
      </w:r>
      <w:r>
        <w:t xml:space="preserve"> </w:t>
      </w:r>
      <w:r>
        <w:rPr>
          <w:b/>
          <w:bCs/>
        </w:rPr>
        <w:t xml:space="preserve">or</w:t>
      </w:r>
    </w:p>
    <w:p>
      <w:pPr>
        <w:pStyle w:val="Compact"/>
        <w:numPr>
          <w:ilvl w:val="0"/>
          <w:numId w:val="1019"/>
        </w:numPr>
      </w:pPr>
      <w:r>
        <w:t xml:space="preserve">The legal text creates a</w:t>
      </w:r>
      <w:r>
        <w:t xml:space="preserve"> </w:t>
      </w:r>
      <w:r>
        <w:rPr>
          <w:b/>
          <w:bCs/>
        </w:rPr>
        <w:t xml:space="preserve">designation category</w:t>
      </w:r>
      <w:r>
        <w:t xml:space="preserve"> </w:t>
      </w:r>
      <w:r>
        <w:t xml:space="preserve">that clearly can include health systems by function (e.g., “essential service” including public health) and the health mapping is explicitly present in annex/guidance;</w:t>
      </w:r>
      <w:r>
        <w:t xml:space="preserve"> </w:t>
      </w:r>
      <w:r>
        <w:rPr>
          <w:b/>
          <w:bCs/>
        </w:rPr>
        <w:t xml:space="preserve">or</w:t>
      </w:r>
    </w:p>
    <w:p>
      <w:pPr>
        <w:pStyle w:val="Compact"/>
        <w:numPr>
          <w:ilvl w:val="0"/>
          <w:numId w:val="1019"/>
        </w:numPr>
      </w:pPr>
      <w:r>
        <w:t xml:space="preserve">The instrument imposes</w:t>
      </w:r>
      <w:r>
        <w:t xml:space="preserve"> </w:t>
      </w:r>
      <w:r>
        <w:rPr>
          <w:b/>
          <w:bCs/>
        </w:rPr>
        <w:t xml:space="preserve">incident reporting/security obligations</w:t>
      </w:r>
      <w:r>
        <w:t xml:space="preserve"> </w:t>
      </w:r>
      <w:r>
        <w:t xml:space="preserve">on regulated entities/systems and health entities are explicitly in-scope.</w:t>
      </w:r>
    </w:p>
    <w:bookmarkEnd w:id="23"/>
    <w:bookmarkStart w:id="24" w:name="X26b4a9cb7e94c0040e22f9564bee69bcf9705c9"/>
    <w:p>
      <w:pPr>
        <w:pStyle w:val="Heading3"/>
      </w:pPr>
      <w:r>
        <w:t xml:space="preserve">Exclusion criteria (do not include as “highest critical/protected” category)</w:t>
      </w:r>
    </w:p>
    <w:p>
      <w:pPr>
        <w:pStyle w:val="Compact"/>
        <w:numPr>
          <w:ilvl w:val="0"/>
          <w:numId w:val="1020"/>
        </w:numPr>
      </w:pPr>
      <w:r>
        <w:t xml:space="preserve">General cybersecurity or data protection obligations</w:t>
      </w:r>
      <w:r>
        <w:t xml:space="preserve"> </w:t>
      </w:r>
      <w:r>
        <w:rPr>
          <w:b/>
          <w:bCs/>
        </w:rPr>
        <w:t xml:space="preserve">without a “critical/essential” scoping mechanism</w:t>
      </w:r>
      <w:r>
        <w:t xml:space="preserve"> </w:t>
      </w:r>
      <w:r>
        <w:t xml:space="preserve">(i.e., applies to everyone equally).</w:t>
      </w:r>
    </w:p>
    <w:p>
      <w:pPr>
        <w:pStyle w:val="Compact"/>
        <w:numPr>
          <w:ilvl w:val="0"/>
          <w:numId w:val="1020"/>
        </w:numPr>
      </w:pPr>
      <w:r>
        <w:t xml:space="preserve">Voluntary strategies/whitepapers without binding designation tests or mandatory obligations.</w:t>
      </w:r>
    </w:p>
    <w:p>
      <w:pPr>
        <w:pStyle w:val="Compact"/>
        <w:numPr>
          <w:ilvl w:val="0"/>
          <w:numId w:val="1020"/>
        </w:numPr>
      </w:pPr>
      <w:r>
        <w:t xml:space="preserve">Purely operational best-practice documents</w:t>
      </w:r>
      <w:r>
        <w:t xml:space="preserve"> </w:t>
      </w:r>
      <w:r>
        <w:rPr>
          <w:b/>
          <w:bCs/>
        </w:rPr>
        <w:t xml:space="preserve">not anchored</w:t>
      </w:r>
      <w:r>
        <w:t xml:space="preserve"> </w:t>
      </w:r>
      <w:r>
        <w:t xml:space="preserve">to an identified legal/regulatory regime.</w:t>
      </w:r>
    </w:p>
    <w:p>
      <w:pPr>
        <w:pStyle w:val="Compact"/>
        <w:numPr>
          <w:ilvl w:val="0"/>
          <w:numId w:val="1020"/>
        </w:numPr>
      </w:pPr>
      <w:r>
        <w:t xml:space="preserve">Secondary commentary that cannot be traced to accessible primary text.</w:t>
      </w:r>
    </w:p>
    <w:bookmarkEnd w:id="24"/>
    <w:bookmarkEnd w:id="25"/>
    <w:bookmarkStart w:id="26" w:name="X03d7b57b4649e6d052a880f031969c10c84c034"/>
    <w:p>
      <w:pPr>
        <w:pStyle w:val="Heading2"/>
      </w:pPr>
      <w:r>
        <w:t xml:space="preserve">6) Categorisation scheme used across countries (normalisation)</w:t>
      </w:r>
    </w:p>
    <w:p>
      <w:pPr>
        <w:pStyle w:val="FirstParagraph"/>
      </w:pPr>
      <w:r>
        <w:t xml:space="preserve">To compare jurisdictions consistently, each country is categorised along</w:t>
      </w:r>
      <w:r>
        <w:t xml:space="preserve"> </w:t>
      </w:r>
      <w:r>
        <w:rPr>
          <w:b/>
          <w:bCs/>
        </w:rPr>
        <w:t xml:space="preserve">two orthogonal axes</w:t>
      </w:r>
      <w:r>
        <w:t xml:space="preserve">:</w:t>
      </w:r>
    </w:p>
    <w:p>
      <w:pPr>
        <w:pStyle w:val="BodyText"/>
      </w:pPr>
      <w:r>
        <w:rPr>
          <w:b/>
          <w:bCs/>
        </w:rPr>
        <w:t xml:space="preserve">Axis 1 — What is classified</w:t>
      </w:r>
    </w:p>
    <w:p>
      <w:pPr>
        <w:pStyle w:val="Compact"/>
        <w:numPr>
          <w:ilvl w:val="0"/>
          <w:numId w:val="1021"/>
        </w:numPr>
      </w:pPr>
      <w:r>
        <w:rPr>
          <w:b/>
          <w:bCs/>
        </w:rPr>
        <w:t xml:space="preserve">Entity-based regimes</w:t>
      </w:r>
      <w:r>
        <w:t xml:space="preserve"> </w:t>
      </w:r>
      <w:r>
        <w:t xml:space="preserve">(regulated organisations): e.g., essential/important entities.</w:t>
      </w:r>
    </w:p>
    <w:p>
      <w:pPr>
        <w:pStyle w:val="Compact"/>
        <w:numPr>
          <w:ilvl w:val="0"/>
          <w:numId w:val="1021"/>
        </w:numPr>
      </w:pPr>
      <w:r>
        <w:rPr>
          <w:b/>
          <w:bCs/>
        </w:rPr>
        <w:t xml:space="preserve">Asset/system-based regimes</w:t>
      </w:r>
      <w:r>
        <w:t xml:space="preserve"> </w:t>
      </w:r>
      <w:r>
        <w:t xml:space="preserve">(designated installations/systems): e.g., designated CII, KRITIS installations, designated systems.</w:t>
      </w:r>
    </w:p>
    <w:p>
      <w:pPr>
        <w:pStyle w:val="Compact"/>
        <w:numPr>
          <w:ilvl w:val="0"/>
          <w:numId w:val="1021"/>
        </w:numPr>
      </w:pPr>
      <w:r>
        <w:rPr>
          <w:b/>
          <w:bCs/>
        </w:rPr>
        <w:t xml:space="preserve">Sector-based framing</w:t>
      </w:r>
      <w:r>
        <w:t xml:space="preserve"> </w:t>
      </w:r>
      <w:r>
        <w:t xml:space="preserve">(health as a CI sector, but without a public designation list).</w:t>
      </w:r>
    </w:p>
    <w:p>
      <w:pPr>
        <w:pStyle w:val="FirstParagraph"/>
      </w:pPr>
      <w:r>
        <w:rPr>
          <w:b/>
          <w:bCs/>
        </w:rPr>
        <w:t xml:space="preserve">Axis 2 — How inclusion is triggered</w:t>
      </w:r>
    </w:p>
    <w:p>
      <w:pPr>
        <w:pStyle w:val="Compact"/>
        <w:numPr>
          <w:ilvl w:val="0"/>
          <w:numId w:val="1022"/>
        </w:numPr>
      </w:pPr>
      <w:r>
        <w:rPr>
          <w:b/>
          <w:bCs/>
        </w:rPr>
        <w:t xml:space="preserve">Explicit sector listing</w:t>
      </w:r>
      <w:r>
        <w:t xml:space="preserve"> </w:t>
      </w:r>
      <w:r>
        <w:t xml:space="preserve">(health/medical named in annex/sector list).</w:t>
      </w:r>
    </w:p>
    <w:p>
      <w:pPr>
        <w:pStyle w:val="Compact"/>
        <w:numPr>
          <w:ilvl w:val="0"/>
          <w:numId w:val="1022"/>
        </w:numPr>
      </w:pPr>
      <w:r>
        <w:rPr>
          <w:b/>
          <w:bCs/>
        </w:rPr>
        <w:t xml:space="preserve">Threshold-based</w:t>
      </w:r>
      <w:r>
        <w:t xml:space="preserve"> </w:t>
      </w:r>
      <w:r>
        <w:t xml:space="preserve">(numeric thresholds like bed counts/case volumes/customers served).</w:t>
      </w:r>
    </w:p>
    <w:p>
      <w:pPr>
        <w:pStyle w:val="Compact"/>
        <w:numPr>
          <w:ilvl w:val="0"/>
          <w:numId w:val="1022"/>
        </w:numPr>
      </w:pPr>
      <w:r>
        <w:rPr>
          <w:b/>
          <w:bCs/>
        </w:rPr>
        <w:t xml:space="preserve">Designation-based</w:t>
      </w:r>
      <w:r>
        <w:t xml:space="preserve"> </w:t>
      </w:r>
      <w:r>
        <w:t xml:space="preserve">(authority determination/notice, often non-public lists).</w:t>
      </w:r>
    </w:p>
    <w:p>
      <w:pPr>
        <w:pStyle w:val="Compact"/>
        <w:numPr>
          <w:ilvl w:val="0"/>
          <w:numId w:val="1022"/>
        </w:numPr>
      </w:pPr>
      <w:r>
        <w:rPr>
          <w:b/>
          <w:bCs/>
        </w:rPr>
        <w:t xml:space="preserve">Consequence-based overrides</w:t>
      </w:r>
      <w:r>
        <w:t xml:space="preserve"> </w:t>
      </w:r>
      <w:r>
        <w:t xml:space="preserve">(“regardless of size” / “significant public health impact” triggers).</w:t>
      </w:r>
    </w:p>
    <w:p>
      <w:pPr>
        <w:pStyle w:val="FirstParagraph"/>
      </w:pPr>
      <w:r>
        <w:t xml:space="preserve">This normalisation enables consistent comparison even when countries regulate different objects (entities vs assets).</w:t>
      </w:r>
    </w:p>
    <w:bookmarkEnd w:id="26"/>
    <w:bookmarkStart w:id="27" w:name="X91f95f7f9aac01b03325697a6ad05ce22113118"/>
    <w:p>
      <w:pPr>
        <w:pStyle w:val="Heading2"/>
      </w:pPr>
      <w:r>
        <w:t xml:space="preserve">7) Quality assurance and “zero-interpretation” controls</w:t>
      </w:r>
    </w:p>
    <w:p>
      <w:pPr>
        <w:pStyle w:val="FirstParagraph"/>
      </w:pPr>
      <w:r>
        <w:t xml:space="preserve">To keep the output strictly evidentiary:</w:t>
      </w:r>
    </w:p>
    <w:p>
      <w:pPr>
        <w:pStyle w:val="Compact"/>
        <w:numPr>
          <w:ilvl w:val="0"/>
          <w:numId w:val="1023"/>
        </w:numPr>
      </w:pPr>
      <w:r>
        <w:rPr>
          <w:b/>
          <w:bCs/>
        </w:rPr>
        <w:t xml:space="preserve">Every factual claim is tied to a citation</w:t>
      </w:r>
      <w:r>
        <w:t xml:space="preserve"> </w:t>
      </w:r>
      <w:r>
        <w:t xml:space="preserve">(act/regulation clause, annex, or competent authority guidance).</w:t>
      </w:r>
    </w:p>
    <w:p>
      <w:pPr>
        <w:pStyle w:val="Compact"/>
        <w:numPr>
          <w:ilvl w:val="0"/>
          <w:numId w:val="1023"/>
        </w:numPr>
      </w:pPr>
      <w:r>
        <w:t xml:space="preserve">Any inference is either:</w:t>
      </w:r>
    </w:p>
    <w:p>
      <w:pPr>
        <w:pStyle w:val="Compact"/>
        <w:numPr>
          <w:ilvl w:val="1"/>
          <w:numId w:val="1024"/>
        </w:numPr>
      </w:pPr>
      <w:r>
        <w:rPr>
          <w:b/>
          <w:bCs/>
        </w:rPr>
        <w:t xml:space="preserve">not made</w:t>
      </w:r>
      <w:r>
        <w:t xml:space="preserve">, or</w:t>
      </w:r>
    </w:p>
    <w:p>
      <w:pPr>
        <w:pStyle w:val="Compact"/>
        <w:numPr>
          <w:ilvl w:val="1"/>
          <w:numId w:val="1024"/>
        </w:numPr>
      </w:pPr>
      <w:r>
        <w:t xml:space="preserve">clearly labelled as</w:t>
      </w:r>
      <w:r>
        <w:t xml:space="preserve"> </w:t>
      </w:r>
      <w:r>
        <w:rPr>
          <w:b/>
          <w:bCs/>
        </w:rPr>
        <w:t xml:space="preserve">interpretation</w:t>
      </w:r>
      <w:r>
        <w:t xml:space="preserve"> </w:t>
      </w:r>
      <w:r>
        <w:t xml:space="preserve">and separated from the “evidence-only” core (depending on the document’s rules; for strictest mode, interpretations are omitted).</w:t>
      </w:r>
    </w:p>
    <w:p>
      <w:pPr>
        <w:pStyle w:val="Compact"/>
        <w:numPr>
          <w:ilvl w:val="0"/>
          <w:numId w:val="1023"/>
        </w:numPr>
      </w:pPr>
      <w:r>
        <w:rPr>
          <w:b/>
          <w:bCs/>
        </w:rPr>
        <w:t xml:space="preserve">Cross-check dates</w:t>
      </w:r>
      <w:r>
        <w:t xml:space="preserve"> </w:t>
      </w:r>
      <w:r>
        <w:t xml:space="preserve">(amendment/entry into force) against official sources.</w:t>
      </w:r>
    </w:p>
    <w:p>
      <w:pPr>
        <w:pStyle w:val="Compact"/>
        <w:numPr>
          <w:ilvl w:val="0"/>
          <w:numId w:val="1023"/>
        </w:numPr>
      </w:pPr>
      <w:r>
        <w:t xml:space="preserve">Maintain a</w:t>
      </w:r>
      <w:r>
        <w:t xml:space="preserve"> </w:t>
      </w:r>
      <w:r>
        <w:rPr>
          <w:b/>
          <w:bCs/>
        </w:rPr>
        <w:t xml:space="preserve">change log</w:t>
      </w:r>
      <w:r>
        <w:t xml:space="preserve">: if new PDFs are supplied, update only the portions affected and record what changed.</w:t>
      </w:r>
    </w:p>
    <w:bookmarkEnd w:id="27"/>
    <w:bookmarkStart w:id="28" w:name="handling-language-and-translation"/>
    <w:p>
      <w:pPr>
        <w:pStyle w:val="Heading2"/>
      </w:pPr>
      <w:r>
        <w:t xml:space="preserve">8) Handling language and translation</w:t>
      </w:r>
    </w:p>
    <w:p>
      <w:pPr>
        <w:pStyle w:val="Compact"/>
        <w:numPr>
          <w:ilvl w:val="0"/>
          <w:numId w:val="1025"/>
        </w:numPr>
      </w:pPr>
      <w:r>
        <w:t xml:space="preserve">Prefer</w:t>
      </w:r>
      <w:r>
        <w:t xml:space="preserve"> </w:t>
      </w:r>
      <w:r>
        <w:rPr>
          <w:b/>
          <w:bCs/>
        </w:rPr>
        <w:t xml:space="preserve">official English translations</w:t>
      </w:r>
      <w:r>
        <w:t xml:space="preserve"> </w:t>
      </w:r>
      <w:r>
        <w:t xml:space="preserve">where available (official ministries, EUR-Lex English, etc.).</w:t>
      </w:r>
    </w:p>
    <w:p>
      <w:pPr>
        <w:pStyle w:val="Compact"/>
        <w:numPr>
          <w:ilvl w:val="0"/>
          <w:numId w:val="1025"/>
        </w:numPr>
      </w:pPr>
      <w:r>
        <w:t xml:space="preserve">If only local-language law is available, extract from:</w:t>
      </w:r>
    </w:p>
    <w:p>
      <w:pPr>
        <w:pStyle w:val="Compact"/>
        <w:numPr>
          <w:ilvl w:val="1"/>
          <w:numId w:val="1026"/>
        </w:numPr>
      </w:pPr>
      <w:r>
        <w:t xml:space="preserve">official consolidated text, and</w:t>
      </w:r>
    </w:p>
    <w:p>
      <w:pPr>
        <w:pStyle w:val="Compact"/>
        <w:numPr>
          <w:ilvl w:val="1"/>
          <w:numId w:val="1026"/>
        </w:numPr>
      </w:pPr>
      <w:r>
        <w:t xml:space="preserve">reputable official/semiofficial translations where explicitly identified.</w:t>
      </w:r>
    </w:p>
    <w:p>
      <w:pPr>
        <w:pStyle w:val="Compact"/>
        <w:numPr>
          <w:ilvl w:val="0"/>
          <w:numId w:val="1025"/>
        </w:numPr>
      </w:pPr>
      <w:r>
        <w:t xml:space="preserve">Do</w:t>
      </w:r>
      <w:r>
        <w:t xml:space="preserve"> </w:t>
      </w:r>
      <w:r>
        <w:rPr>
          <w:b/>
          <w:bCs/>
        </w:rPr>
        <w:t xml:space="preserve">not</w:t>
      </w:r>
      <w:r>
        <w:t xml:space="preserve"> </w:t>
      </w:r>
      <w:r>
        <w:t xml:space="preserve">“fill gaps” with guessed translation; instead record the limitation.</w:t>
      </w:r>
    </w:p>
    <w:bookmarkEnd w:id="28"/>
    <w:bookmarkStart w:id="29" w:name="known-limitations-explicitly-documented"/>
    <w:p>
      <w:pPr>
        <w:pStyle w:val="Heading2"/>
      </w:pPr>
      <w:r>
        <w:t xml:space="preserve">9) Known limitations (explicitly documented)</w:t>
      </w:r>
    </w:p>
    <w:p>
      <w:pPr>
        <w:pStyle w:val="Compact"/>
        <w:numPr>
          <w:ilvl w:val="0"/>
          <w:numId w:val="1027"/>
        </w:numPr>
      </w:pPr>
      <w:r>
        <w:t xml:space="preserve">Some regimes intentionally keep</w:t>
      </w:r>
      <w:r>
        <w:t xml:space="preserve"> </w:t>
      </w:r>
      <w:r>
        <w:rPr>
          <w:b/>
          <w:bCs/>
        </w:rPr>
        <w:t xml:space="preserve">designation lists non-public</w:t>
      </w:r>
      <w:r>
        <w:t xml:space="preserve">; in such cases, the methodology can document</w:t>
      </w:r>
      <w:r>
        <w:t xml:space="preserve"> </w:t>
      </w:r>
      <w:r>
        <w:rPr>
          <w:b/>
          <w:bCs/>
        </w:rPr>
        <w:t xml:space="preserve">the designation test</w:t>
      </w:r>
      <w:r>
        <w:t xml:space="preserve"> </w:t>
      </w:r>
      <w:r>
        <w:t xml:space="preserve">and</w:t>
      </w:r>
      <w:r>
        <w:t xml:space="preserve"> </w:t>
      </w:r>
      <w:r>
        <w:rPr>
          <w:b/>
          <w:bCs/>
        </w:rPr>
        <w:t xml:space="preserve">the secrecy rule</w:t>
      </w:r>
      <w:r>
        <w:t xml:space="preserve">, but cannot confirm named systems/operators from public sources.</w:t>
      </w:r>
    </w:p>
    <w:p>
      <w:pPr>
        <w:pStyle w:val="Compact"/>
        <w:numPr>
          <w:ilvl w:val="0"/>
          <w:numId w:val="1027"/>
        </w:numPr>
      </w:pPr>
      <w:r>
        <w:t xml:space="preserve">Where official portals block access (e.g., technical/geoblocking), the chapter notes the access limitation and relies only on alternative official materials that were successfully retrieved.</w:t>
      </w:r>
    </w:p>
    <w:p>
      <w:pPr>
        <w:sectPr>
          <w:footerReference w:type="first" r:id="rId13"/>
          <w:footerReference w:type="default" r:id="rId11"/>
          <w:footerReference w:type="even" r:id="rId10"/>
          <w:pgNumType w:fmt="decimal" w:start="1"/>
        </w:sectPr>
      </w:pPr>
    </w:p>
    <w:p>
      <w:pPr>
        <w:sectPr>
          <w:footerReference w:type="first" r:id="rId13"/>
          <w:footerReference w:type="default" r:id="rId11"/>
          <w:footerReference w:type="even" r:id="rId10"/>
          <w:type w:val="nextPage"/>
        </w:sectPr>
      </w:pPr>
    </w:p>
    <w:bookmarkEnd w:id="29"/>
    <w:bookmarkEnd w:id="30"/>
    <w:bookmarkStart w:id="55" w:name="united-states-of-america-usa"/>
    <w:p>
      <w:pPr>
        <w:pStyle w:val="Heading1"/>
      </w:pPr>
      <w:r>
        <w:t xml:space="preserve">UNITED STATES OF AMERICA (USA)</w:t>
      </w:r>
    </w:p>
    <w:bookmarkStart w:id="31" w:name="final-category"/>
    <w:p>
      <w:pPr>
        <w:pStyle w:val="Heading2"/>
      </w:pPr>
      <w:r>
        <w:t xml:space="preserve">Final category</w:t>
      </w:r>
    </w:p>
    <w:p>
      <w:pPr>
        <w:pStyle w:val="FirstParagraph"/>
      </w:pPr>
      <w:r>
        <w:rPr>
          <w:b/>
          <w:bCs/>
        </w:rPr>
        <w:t xml:space="preserve">Healthcare and Public Health (HPH) Sector</w:t>
      </w:r>
      <w:r>
        <w:t xml:space="preserve"> </w:t>
      </w:r>
      <w:r>
        <w:t xml:space="preserve">— one of the U.S.</w:t>
      </w:r>
      <w:r>
        <w:t xml:space="preserve"> </w:t>
      </w:r>
      <w:r>
        <w:rPr>
          <w:b/>
          <w:bCs/>
        </w:rPr>
        <w:t xml:space="preserve">Critical Infrastructure Sectors</w:t>
      </w:r>
      <w:r>
        <w:t xml:space="preserve">.</w:t>
      </w:r>
    </w:p>
    <w:p>
      <w:pPr>
        <w:pStyle w:val="BodyText"/>
      </w:pPr>
      <w:r>
        <w:t xml:space="preserve">In the U.S. model, this is primarily a</w:t>
      </w:r>
      <w:r>
        <w:t xml:space="preserve"> </w:t>
      </w:r>
      <w:r>
        <w:rPr>
          <w:b/>
          <w:bCs/>
        </w:rPr>
        <w:t xml:space="preserve">sector-level classification</w:t>
      </w:r>
      <w:r>
        <w:t xml:space="preserve"> </w:t>
      </w:r>
      <w:r>
        <w:t xml:space="preserve">(not a single public “designated list” of health information systems).</w:t>
      </w:r>
    </w:p>
    <w:bookmarkEnd w:id="31"/>
    <w:bookmarkStart w:id="34" w:name="X9606b8d8065533bfced6833834d0c86fd25deaf"/>
    <w:p>
      <w:pPr>
        <w:pStyle w:val="Heading2"/>
      </w:pPr>
      <w:r>
        <w:t xml:space="preserve">What is “classified” or “designated” in practice?</w:t>
      </w:r>
    </w:p>
    <w:bookmarkStart w:id="32" w:name="sector-classification-public"/>
    <w:p>
      <w:pPr>
        <w:pStyle w:val="Heading3"/>
      </w:pPr>
      <w:r>
        <w:t xml:space="preserve">1) Sector classification (public)</w:t>
      </w:r>
    </w:p>
    <w:p>
      <w:pPr>
        <w:pStyle w:val="FirstParagraph"/>
      </w:pPr>
      <w:r>
        <w:t xml:space="preserve">CISA describes U.S. Critical Infrastructure as organized into multiple sectors;</w:t>
      </w:r>
      <w:r>
        <w:t xml:space="preserve"> </w:t>
      </w:r>
      <w:r>
        <w:rPr>
          <w:b/>
          <w:bCs/>
        </w:rPr>
        <w:t xml:space="preserve">Healthcare and Public Health</w:t>
      </w:r>
      <w:r>
        <w:t xml:space="preserve"> </w:t>
      </w:r>
      <w:r>
        <w:t xml:space="preserve">is one of them.</w:t>
      </w:r>
    </w:p>
    <w:bookmarkEnd w:id="32"/>
    <w:bookmarkStart w:id="33" w:name="Xa25b313c3e077f68c727c471fa1efa34da7cee9"/>
    <w:p>
      <w:pPr>
        <w:pStyle w:val="Heading3"/>
      </w:pPr>
      <w:r>
        <w:t xml:space="preserve">2) Entity/asset scoping for incident reporting (developing, rule-based)</w:t>
      </w:r>
    </w:p>
    <w:p>
      <w:pPr>
        <w:pStyle w:val="FirstParagraph"/>
      </w:pPr>
      <w:r>
        <w:t xml:space="preserve">Under</w:t>
      </w:r>
      <w:r>
        <w:t xml:space="preserve"> </w:t>
      </w:r>
      <w:r>
        <w:rPr>
          <w:b/>
          <w:bCs/>
        </w:rPr>
        <w:t xml:space="preserve">CIRCIA</w:t>
      </w:r>
      <w:r>
        <w:t xml:space="preserve">, reporting obligations apply to</w:t>
      </w:r>
      <w:r>
        <w:t xml:space="preserve"> </w:t>
      </w:r>
      <w:r>
        <w:rPr>
          <w:b/>
          <w:bCs/>
        </w:rPr>
        <w:t xml:space="preserve">“covered entities”</w:t>
      </w:r>
      <w:r>
        <w:t xml:space="preserve"> </w:t>
      </w:r>
      <w:r>
        <w:t xml:space="preserve">in critical infrastructure (as further defined by rulemaking). The law sets</w:t>
      </w:r>
      <w:r>
        <w:t xml:space="preserve"> </w:t>
      </w:r>
      <w:r>
        <w:rPr>
          <w:b/>
          <w:bCs/>
        </w:rPr>
        <w:t xml:space="preserve">reporting timelines</w:t>
      </w:r>
      <w:r>
        <w:t xml:space="preserve"> </w:t>
      </w:r>
      <w:r>
        <w:t xml:space="preserve">(e.g., covered cyber incidents and ransomware payments) but the exact boundary of “covered entity” is operationalized through regulation.</w:t>
      </w:r>
    </w:p>
    <w:bookmarkEnd w:id="33"/>
    <w:bookmarkEnd w:id="34"/>
    <w:bookmarkStart w:id="38" w:name="Xc644a5ca65edee02dc5bc676f1c4018a02cfdd2"/>
    <w:p>
      <w:pPr>
        <w:pStyle w:val="Heading2"/>
      </w:pPr>
      <w:r>
        <w:t xml:space="preserve">Exact criteria used (as expressed in the cited U.S. materials)</w:t>
      </w:r>
    </w:p>
    <w:bookmarkStart w:id="35" w:name="a-sector-boundary-hph-scope"/>
    <w:p>
      <w:pPr>
        <w:pStyle w:val="Heading3"/>
      </w:pPr>
      <w:r>
        <w:t xml:space="preserve">A) Sector boundary (HPH scope)</w:t>
      </w:r>
    </w:p>
    <w:p>
      <w:pPr>
        <w:pStyle w:val="FirstParagraph"/>
      </w:pPr>
      <w:r>
        <w:t xml:space="preserve">The HPH sector includes both</w:t>
      </w:r>
      <w:r>
        <w:t xml:space="preserve"> </w:t>
      </w:r>
      <w:r>
        <w:rPr>
          <w:b/>
          <w:bCs/>
        </w:rPr>
        <w:t xml:space="preserve">public health</w:t>
      </w:r>
      <w:r>
        <w:t xml:space="preserve"> </w:t>
      </w:r>
      <w:r>
        <w:t xml:space="preserve">and</w:t>
      </w:r>
      <w:r>
        <w:t xml:space="preserve"> </w:t>
      </w:r>
      <w:r>
        <w:rPr>
          <w:b/>
          <w:bCs/>
        </w:rPr>
        <w:t xml:space="preserve">healthcare</w:t>
      </w:r>
      <w:r>
        <w:t xml:space="preserve"> </w:t>
      </w:r>
      <w:r>
        <w:t xml:space="preserve">functions/services (sector overview framing).</w:t>
      </w:r>
    </w:p>
    <w:bookmarkEnd w:id="35"/>
    <w:bookmarkStart w:id="36" w:name="X32b6075ea6b69f56347a7e27add37416b97021d"/>
    <w:p>
      <w:pPr>
        <w:pStyle w:val="Heading3"/>
      </w:pPr>
      <w:r>
        <w:t xml:space="preserve">B) Criticality logic that drives “what systems matter most” (functional dependence)</w:t>
      </w:r>
    </w:p>
    <w:p>
      <w:pPr>
        <w:pStyle w:val="FirstParagraph"/>
      </w:pPr>
      <w:r>
        <w:t xml:space="preserve">The HPH Sector-Specific Plan notes that the sector</w:t>
      </w:r>
      <w:r>
        <w:t xml:space="preserve"> </w:t>
      </w:r>
      <w:r>
        <w:rPr>
          <w:b/>
          <w:bCs/>
        </w:rPr>
        <w:t xml:space="preserve">depends on vast, complex information technology systems</w:t>
      </w:r>
      <w:r>
        <w:t xml:space="preserve"> </w:t>
      </w:r>
      <w:r>
        <w:t xml:space="preserve">and the</w:t>
      </w:r>
      <w:r>
        <w:t xml:space="preserve"> </w:t>
      </w:r>
      <w:r>
        <w:rPr>
          <w:b/>
          <w:bCs/>
        </w:rPr>
        <w:t xml:space="preserve">rapid, secure transmission and storage of large amounts of data</w:t>
      </w:r>
      <w:r>
        <w:t xml:space="preserve">—a direct rationale for treating key health information systems as high-impact from a resilience/security perspective.</w:t>
      </w:r>
    </w:p>
    <w:bookmarkEnd w:id="36"/>
    <w:bookmarkStart w:id="37" w:name="X45dc14e8e94d059d2a906ebc9c6fab86135f518"/>
    <w:p>
      <w:pPr>
        <w:pStyle w:val="Heading3"/>
      </w:pPr>
      <w:r>
        <w:t xml:space="preserve">C) CIRCIA reporting thresholds (obligation trigger)</w:t>
      </w:r>
    </w:p>
    <w:p>
      <w:pPr>
        <w:pStyle w:val="FirstParagraph"/>
      </w:pPr>
      <w:r>
        <w:t xml:space="preserve">CIRCIA sets statutory reporting clocks:</w:t>
      </w:r>
      <w:r>
        <w:t xml:space="preserve"> </w:t>
      </w:r>
      <w:r>
        <w:rPr>
          <w:b/>
          <w:bCs/>
        </w:rPr>
        <w:t xml:space="preserve">covered cyber incidents</w:t>
      </w:r>
      <w:r>
        <w:t xml:space="preserve"> </w:t>
      </w:r>
      <w:r>
        <w:t xml:space="preserve">must be reported</w:t>
      </w:r>
      <w:r>
        <w:t xml:space="preserve"> </w:t>
      </w:r>
      <w:r>
        <w:rPr>
          <w:b/>
          <w:bCs/>
        </w:rPr>
        <w:t xml:space="preserve">within 72 hours</w:t>
      </w:r>
      <w:r>
        <w:t xml:space="preserve">, and</w:t>
      </w:r>
      <w:r>
        <w:t xml:space="preserve"> </w:t>
      </w:r>
      <w:r>
        <w:rPr>
          <w:b/>
          <w:bCs/>
        </w:rPr>
        <w:t xml:space="preserve">ransomware payments</w:t>
      </w:r>
      <w:r>
        <w:t xml:space="preserve"> </w:t>
      </w:r>
      <w:r>
        <w:rPr>
          <w:b/>
          <w:bCs/>
        </w:rPr>
        <w:t xml:space="preserve">within 24 hours</w:t>
      </w:r>
      <w:r>
        <w:t xml:space="preserve"> </w:t>
      </w:r>
      <w:r>
        <w:t xml:space="preserve">(as summarized in the fact sheet).</w:t>
      </w:r>
    </w:p>
    <w:bookmarkEnd w:id="37"/>
    <w:bookmarkEnd w:id="38"/>
    <w:bookmarkStart w:id="39" w:name="X7e510de37ac66e9c0dae40272f9ec06ae0abc81"/>
    <w:p>
      <w:pPr>
        <w:pStyle w:val="Heading2"/>
      </w:pPr>
      <w:r>
        <w:t xml:space="preserve">Is there grading / tiering of “criticality” for health information systems?</w:t>
      </w:r>
    </w:p>
    <w:p>
      <w:pPr>
        <w:pStyle w:val="FirstParagraph"/>
      </w:pPr>
      <w:r>
        <w:t xml:space="preserve">The U.S. approach is expressed more as:</w:t>
      </w:r>
    </w:p>
    <w:p>
      <w:pPr>
        <w:pStyle w:val="Compact"/>
        <w:numPr>
          <w:ilvl w:val="0"/>
          <w:numId w:val="1028"/>
        </w:numPr>
      </w:pPr>
      <w:r>
        <w:t xml:space="preserve">a</w:t>
      </w:r>
      <w:r>
        <w:t xml:space="preserve"> </w:t>
      </w:r>
      <w:r>
        <w:rPr>
          <w:b/>
          <w:bCs/>
        </w:rPr>
        <w:t xml:space="preserve">sector construct</w:t>
      </w:r>
      <w:r>
        <w:t xml:space="preserve"> </w:t>
      </w:r>
      <w:r>
        <w:t xml:space="preserve">(HPH as a CI sector), and</w:t>
      </w:r>
    </w:p>
    <w:p>
      <w:pPr>
        <w:pStyle w:val="Compact"/>
        <w:numPr>
          <w:ilvl w:val="0"/>
          <w:numId w:val="1028"/>
        </w:numPr>
      </w:pPr>
      <w:r>
        <w:rPr>
          <w:b/>
          <w:bCs/>
        </w:rPr>
        <w:t xml:space="preserve">reporting/obligation scoping</w:t>
      </w:r>
      <w:r>
        <w:t xml:space="preserve"> </w:t>
      </w:r>
      <w:r>
        <w:t xml:space="preserve">via CIRCIA’s “covered entity / covered incident” framework,</w:t>
      </w:r>
    </w:p>
    <w:p>
      <w:pPr>
        <w:pStyle w:val="FirstParagraph"/>
      </w:pPr>
      <w:r>
        <w:t xml:space="preserve">rather than an explicit</w:t>
      </w:r>
      <w:r>
        <w:t xml:space="preserve"> </w:t>
      </w:r>
      <w:r>
        <w:rPr>
          <w:b/>
          <w:bCs/>
        </w:rPr>
        <w:t xml:space="preserve">public tiering scheme</w:t>
      </w:r>
      <w:r>
        <w:t xml:space="preserve"> </w:t>
      </w:r>
      <w:r>
        <w:t xml:space="preserve">that assigns every health information system to a graded level.</w:t>
      </w:r>
    </w:p>
    <w:p>
      <w:pPr>
        <w:pStyle w:val="BodyText"/>
      </w:pPr>
      <w:r>
        <w:t xml:space="preserve">However, CISA operational publications do show</w:t>
      </w:r>
      <w:r>
        <w:t xml:space="preserve"> </w:t>
      </w:r>
      <w:r>
        <w:rPr>
          <w:b/>
          <w:bCs/>
        </w:rPr>
        <w:t xml:space="preserve">risk-impact thinking</w:t>
      </w:r>
      <w:r>
        <w:t xml:space="preserve"> </w:t>
      </w:r>
      <w:r>
        <w:t xml:space="preserve">(e.g., protection goals like availability/integrity for “critical HPH systems, functions, and data”).</w:t>
      </w:r>
    </w:p>
    <w:bookmarkEnd w:id="39"/>
    <w:bookmarkStart w:id="40" w:name="what-is-public-vs-confidential"/>
    <w:p>
      <w:pPr>
        <w:pStyle w:val="Heading2"/>
      </w:pPr>
      <w:r>
        <w:t xml:space="preserve">What is public vs confidential?</w:t>
      </w:r>
    </w:p>
    <w:p>
      <w:pPr>
        <w:pStyle w:val="FirstParagraph"/>
      </w:pPr>
      <w:r>
        <w:rPr>
          <w:b/>
          <w:bCs/>
        </w:rPr>
        <w:t xml:space="preserve">Public</w:t>
      </w:r>
      <w:r>
        <w:t xml:space="preserve"> </w:t>
      </w:r>
      <w:r>
        <w:t xml:space="preserve">* The fact that HPH is a</w:t>
      </w:r>
      <w:r>
        <w:t xml:space="preserve"> </w:t>
      </w:r>
      <w:r>
        <w:rPr>
          <w:b/>
          <w:bCs/>
        </w:rPr>
        <w:t xml:space="preserve">Critical Infrastructure Sector</w:t>
      </w:r>
      <w:r>
        <w:t xml:space="preserve"> </w:t>
      </w:r>
      <w:r>
        <w:t xml:space="preserve">is public.</w:t>
      </w:r>
      <w:r>
        <w:t xml:space="preserve"> </w:t>
      </w:r>
      <w:r>
        <w:t xml:space="preserve">* High-level reporting obligations and timelines under CIRCIA are public (as summarized by CISA).</w:t>
      </w:r>
    </w:p>
    <w:p>
      <w:pPr>
        <w:pStyle w:val="BodyText"/>
      </w:pPr>
      <w:r>
        <w:rPr>
          <w:b/>
          <w:bCs/>
        </w:rPr>
        <w:t xml:space="preserve">Potentially non-public / organization-specific</w:t>
      </w:r>
      <w:r>
        <w:t xml:space="preserve"> </w:t>
      </w:r>
      <w:r>
        <w:t xml:space="preserve">* Exact lists of which specific hospitals/entities/systems are most critical in a given locality or network are typically handled through</w:t>
      </w:r>
      <w:r>
        <w:t xml:space="preserve"> </w:t>
      </w:r>
      <w:r>
        <w:rPr>
          <w:b/>
          <w:bCs/>
        </w:rPr>
        <w:t xml:space="preserve">risk management and coordination</w:t>
      </w:r>
      <w:r>
        <w:t xml:space="preserve">, rather than a single universal public register in the materials provided.</w:t>
      </w:r>
      <w:r>
        <w:t xml:space="preserve"> </w:t>
      </w:r>
      <w:r>
        <w:t xml:space="preserve">* RVA-type findings are published in anonymized form; the advisory describes the engagement and outcomes without naming the organization.</w:t>
      </w:r>
    </w:p>
    <w:bookmarkEnd w:id="40"/>
    <w:bookmarkStart w:id="46" w:name="Xba1c50e21d1fe4073af76f2feba4b0a4749ba59"/>
    <w:p>
      <w:pPr>
        <w:pStyle w:val="Heading2"/>
      </w:pPr>
      <w:r>
        <w:t xml:space="preserve">Which</w:t>
      </w:r>
      <w:r>
        <w:t xml:space="preserve"> </w:t>
      </w:r>
      <w:r>
        <w:rPr>
          <w:i/>
          <w:iCs/>
        </w:rPr>
        <w:t xml:space="preserve">health information systems</w:t>
      </w:r>
      <w:r>
        <w:t xml:space="preserve"> </w:t>
      </w:r>
      <w:r>
        <w:t xml:space="preserve">are most likely to be treated as “highest criticality” in the U.S. framing?</w:t>
      </w:r>
    </w:p>
    <w:p>
      <w:pPr>
        <w:pStyle w:val="FirstParagraph"/>
      </w:pPr>
      <w:r>
        <w:t xml:space="preserve">CISA sector documents and advisories emphasize</w:t>
      </w:r>
      <w:r>
        <w:t xml:space="preserve"> </w:t>
      </w:r>
      <w:r>
        <w:rPr>
          <w:b/>
          <w:bCs/>
        </w:rPr>
        <w:t xml:space="preserve">mission-essential functions</w:t>
      </w:r>
      <w:r>
        <w:t xml:space="preserve">,</w:t>
      </w:r>
      <w:r>
        <w:t xml:space="preserve"> </w:t>
      </w:r>
      <w:r>
        <w:rPr>
          <w:b/>
          <w:bCs/>
        </w:rPr>
        <w:t xml:space="preserve">data dependence</w:t>
      </w:r>
      <w:r>
        <w:t xml:space="preserve">, and</w:t>
      </w:r>
      <w:r>
        <w:t xml:space="preserve"> </w:t>
      </w:r>
      <w:r>
        <w:rPr>
          <w:b/>
          <w:bCs/>
        </w:rPr>
        <w:t xml:space="preserve">operational disruption patterns</w:t>
      </w:r>
      <w:r>
        <w:t xml:space="preserve">. Consequently, the “highest criticality” systems in the health sector typically cluster into these categories:</w:t>
      </w:r>
    </w:p>
    <w:bookmarkStart w:id="41" w:name="X3aa886452b5bdb064024d677f0d779964e3d12b"/>
    <w:p>
      <w:pPr>
        <w:pStyle w:val="Heading3"/>
      </w:pPr>
      <w:r>
        <w:t xml:space="preserve">1) Care-delivery operational systems (availability-critical)</w:t>
      </w:r>
    </w:p>
    <w:p>
      <w:pPr>
        <w:pStyle w:val="FirstParagraph"/>
      </w:pPr>
      <w:r>
        <w:t xml:space="preserve">Systems whose loss disrupts direct patient care delivery and continuity:</w:t>
      </w:r>
      <w:r>
        <w:t xml:space="preserve"> </w:t>
      </w:r>
      <w:r>
        <w:t xml:space="preserve">* Core clinical workflow platforms and associated identity/access dependencies (because HPH depends on large, complex IT and rapid/secure data flows).</w:t>
      </w:r>
    </w:p>
    <w:p>
      <w:pPr>
        <w:pStyle w:val="BodyText"/>
      </w:pPr>
      <w:r>
        <w:t xml:space="preserve">CISA’s mitigation guide is explicit that threats can affect</w:t>
      </w:r>
      <w:r>
        <w:t xml:space="preserve"> </w:t>
      </w:r>
      <w:r>
        <w:rPr>
          <w:b/>
          <w:bCs/>
        </w:rPr>
        <w:t xml:space="preserve">critical HPH systems, functions, and data</w:t>
      </w:r>
      <w:r>
        <w:t xml:space="preserve"> </w:t>
      </w:r>
      <w:r>
        <w:t xml:space="preserve">and highlights patient-focused service impacts as a central concern.</w:t>
      </w:r>
    </w:p>
    <w:bookmarkEnd w:id="41"/>
    <w:bookmarkStart w:id="42" w:name="Xbc5f13221ae014ed4543f2a4a01431a10f47f39"/>
    <w:p>
      <w:pPr>
        <w:pStyle w:val="Heading3"/>
      </w:pPr>
      <w:r>
        <w:t xml:space="preserve">2) Public-health coordination and information flows (societal-impact critical)</w:t>
      </w:r>
    </w:p>
    <w:p>
      <w:pPr>
        <w:pStyle w:val="FirstParagraph"/>
      </w:pPr>
      <w:r>
        <w:t xml:space="preserve">Systems enabling public health operations and situational awareness—because the sector’s planning and operations depend on</w:t>
      </w:r>
      <w:r>
        <w:t xml:space="preserve"> </w:t>
      </w:r>
      <w:r>
        <w:rPr>
          <w:b/>
          <w:bCs/>
        </w:rPr>
        <w:t xml:space="preserve">information sharing and data</w:t>
      </w:r>
      <w:r>
        <w:t xml:space="preserve">. The SSP explicitly frames dependency on secure transmission/storage at scale.</w:t>
      </w:r>
    </w:p>
    <w:bookmarkEnd w:id="42"/>
    <w:bookmarkStart w:id="43" w:name="Xc3b73f99f207d91a46e3fc86c9c3ec9d7c41b77"/>
    <w:p>
      <w:pPr>
        <w:pStyle w:val="Heading3"/>
      </w:pPr>
      <w:r>
        <w:t xml:space="preserve">3) Enterprise IAM / domain services and internal network controls (blast-radius critical)</w:t>
      </w:r>
    </w:p>
    <w:p>
      <w:pPr>
        <w:pStyle w:val="FirstParagraph"/>
      </w:pPr>
      <w:r>
        <w:t xml:space="preserve">CISA’s RVA advisory shows that once an attacker is “inside,”</w:t>
      </w:r>
      <w:r>
        <w:t xml:space="preserve"> </w:t>
      </w:r>
      <w:r>
        <w:rPr>
          <w:b/>
          <w:bCs/>
        </w:rPr>
        <w:t xml:space="preserve">misconfigurations/weak passwords</w:t>
      </w:r>
      <w:r>
        <w:t xml:space="preserve"> </w:t>
      </w:r>
      <w:r>
        <w:t xml:space="preserve">can enable</w:t>
      </w:r>
      <w:r>
        <w:t xml:space="preserve"> </w:t>
      </w:r>
      <w:r>
        <w:rPr>
          <w:b/>
          <w:bCs/>
        </w:rPr>
        <w:t xml:space="preserve">domain compromise</w:t>
      </w:r>
      <w:r>
        <w:t xml:space="preserve">, and it highlights actions like</w:t>
      </w:r>
      <w:r>
        <w:t xml:space="preserve"> </w:t>
      </w:r>
      <w:r>
        <w:rPr>
          <w:b/>
          <w:bCs/>
        </w:rPr>
        <w:t xml:space="preserve">phishing-resistant MFA for administrative access</w:t>
      </w:r>
      <w:r>
        <w:t xml:space="preserve">, removing default credentials, and</w:t>
      </w:r>
      <w:r>
        <w:t xml:space="preserve"> </w:t>
      </w:r>
      <w:r>
        <w:rPr>
          <w:b/>
          <w:bCs/>
        </w:rPr>
        <w:t xml:space="preserve">network segregation</w:t>
      </w:r>
      <w:r>
        <w:t xml:space="preserve">—all pointing to IAM/domain control planes as high criticality in health enterprises.</w:t>
      </w:r>
    </w:p>
    <w:bookmarkEnd w:id="43"/>
    <w:bookmarkStart w:id="44" w:name="Xe3cc6ead530b028f2a5bb172116c0a28ef365f1"/>
    <w:p>
      <w:pPr>
        <w:pStyle w:val="Heading3"/>
      </w:pPr>
      <w:r>
        <w:t xml:space="preserve">4) Vulnerability/patch posture for legacy and exposed systems (exploitability critical)</w:t>
      </w:r>
    </w:p>
    <w:p>
      <w:pPr>
        <w:pStyle w:val="FirstParagraph"/>
      </w:pPr>
      <w:r>
        <w:t xml:space="preserve">The same RVA advisory documents issues such as weak password policy and stresses the importance of stronger credential hygiene (e.g., longer passwords), patching, and segregation when patching is not possible—patterns highly relevant to clinical environments with legacy platforms and constrained devices.</w:t>
      </w:r>
    </w:p>
    <w:bookmarkEnd w:id="44"/>
    <w:bookmarkStart w:id="45" w:name="Xcaf70e98978b5531498cecd803206db04f1d8cd"/>
    <w:p>
      <w:pPr>
        <w:pStyle w:val="Heading3"/>
      </w:pPr>
      <w:r>
        <w:t xml:space="preserve">5) Ransomware resilience dependencies (operational continuity critical)</w:t>
      </w:r>
    </w:p>
    <w:p>
      <w:pPr>
        <w:pStyle w:val="FirstParagraph"/>
      </w:pPr>
      <w:r>
        <w:t xml:space="preserve">The ransomware advisory for HPH explicitly frames ransomware as an operational disruption problem for the sector—driving prioritization of systems needed for continuity of care and contingency operations.</w:t>
      </w:r>
    </w:p>
    <w:bookmarkEnd w:id="45"/>
    <w:bookmarkEnd w:id="46"/>
    <w:bookmarkStart w:id="47" w:name="X129ed9953b2df2ce2fea242e1bf2ee39202fdf4"/>
    <w:p>
      <w:pPr>
        <w:pStyle w:val="Heading2"/>
      </w:pPr>
      <w:r>
        <w:t xml:space="preserve">Practical “tests” (derived from the U.S. documents)</w:t>
      </w:r>
    </w:p>
    <w:p>
      <w:pPr>
        <w:pStyle w:val="FirstParagraph"/>
      </w:pPr>
      <w:r>
        <w:t xml:space="preserve">A health information system in the U.S. context is most plausibly “high criticality / highest security priority” if it satisfies one or more of these document-grounded tests:</w:t>
      </w:r>
    </w:p>
    <w:p>
      <w:pPr>
        <w:pStyle w:val="Compact"/>
        <w:numPr>
          <w:ilvl w:val="0"/>
          <w:numId w:val="1029"/>
        </w:numPr>
      </w:pPr>
      <w:r>
        <w:rPr>
          <w:b/>
          <w:bCs/>
        </w:rPr>
        <w:t xml:space="preserve">IT-dependence test:</w:t>
      </w:r>
      <w:r>
        <w:t xml:space="preserve"> </w:t>
      </w:r>
      <w:r>
        <w:t xml:space="preserve">It is part of the “vast, complex” IT environment required for healthcare delivery and for rapid, secure data movement/storage at scale.</w:t>
      </w:r>
    </w:p>
    <w:p>
      <w:pPr>
        <w:pStyle w:val="Compact"/>
        <w:numPr>
          <w:ilvl w:val="0"/>
          <w:numId w:val="1029"/>
        </w:numPr>
      </w:pPr>
      <w:r>
        <w:rPr>
          <w:b/>
          <w:bCs/>
        </w:rPr>
        <w:t xml:space="preserve">Service disruption test:</w:t>
      </w:r>
      <w:r>
        <w:t xml:space="preserve"> </w:t>
      </w:r>
      <w:r>
        <w:t xml:space="preserve">Its compromise materially affects “critical HPH systems, functions, and data,” especially patient-focused service continuity.</w:t>
      </w:r>
    </w:p>
    <w:p>
      <w:pPr>
        <w:pStyle w:val="Compact"/>
        <w:numPr>
          <w:ilvl w:val="0"/>
          <w:numId w:val="1029"/>
        </w:numPr>
      </w:pPr>
      <w:r>
        <w:rPr>
          <w:b/>
          <w:bCs/>
        </w:rPr>
        <w:t xml:space="preserve">Enterprise blast-radius test:</w:t>
      </w:r>
      <w:r>
        <w:t xml:space="preserve"> </w:t>
      </w:r>
      <w:r>
        <w:t xml:space="preserve">Its compromise enables broad takeover (e.g., domain compromise) or bypass of administrative control—highlighted by CISA’s RVA outcomes and recommended mitigations (phishing-resistant admin MFA, default credential removal, segregation).</w:t>
      </w:r>
    </w:p>
    <w:p>
      <w:pPr>
        <w:pStyle w:val="Compact"/>
        <w:numPr>
          <w:ilvl w:val="0"/>
          <w:numId w:val="1029"/>
        </w:numPr>
      </w:pPr>
      <w:r>
        <w:rPr>
          <w:b/>
          <w:bCs/>
        </w:rPr>
        <w:t xml:space="preserve">Regulatory reporting relevance test (CIRCIA):</w:t>
      </w:r>
      <w:r>
        <w:t xml:space="preserve"> </w:t>
      </w:r>
      <w:r>
        <w:t xml:space="preserve">Incidents affecting it are more likely to be “covered cyber incidents” (depending on final covered-entity definitions) and therefore time-bound reporting obligations (72h/24h) become operationally relevant for the owning organization.</w:t>
      </w:r>
    </w:p>
    <w:bookmarkEnd w:id="47"/>
    <w:bookmarkStart w:id="54" w:name="references-usa"/>
    <w:p>
      <w:pPr>
        <w:pStyle w:val="Heading2"/>
      </w:pPr>
      <w:r>
        <w:t xml:space="preserve">References (USA)</w:t>
      </w:r>
    </w:p>
    <w:p>
      <w:pPr>
        <w:pStyle w:val="Compact"/>
        <w:numPr>
          <w:ilvl w:val="0"/>
          <w:numId w:val="1030"/>
        </w:numPr>
      </w:pPr>
      <w:r>
        <w:rPr>
          <w:b/>
          <w:bCs/>
        </w:rPr>
        <w:t xml:space="preserve">CISA — Critical Infrastructure Sectors</w:t>
      </w:r>
      <w:r>
        <w:t xml:space="preserve"> </w:t>
      </w:r>
      <w:r>
        <w:t xml:space="preserve">(includes Healthcare and Public Health as a sector). (</w:t>
      </w:r>
      <w:hyperlink r:id="rId48">
        <w:r>
          <w:rPr>
            <w:rStyle w:val="Hyperlink"/>
          </w:rPr>
          <w:t xml:space="preserve">CISA</w:t>
        </w:r>
      </w:hyperlink>
      <w:r>
        <w:t xml:space="preserve">)</w:t>
      </w:r>
    </w:p>
    <w:p>
      <w:pPr>
        <w:pStyle w:val="Compact"/>
        <w:numPr>
          <w:ilvl w:val="0"/>
          <w:numId w:val="1030"/>
        </w:numPr>
      </w:pPr>
      <w:r>
        <w:rPr>
          <w:b/>
          <w:bCs/>
        </w:rPr>
        <w:t xml:space="preserve">CISA — Healthcare and Public Health Sector</w:t>
      </w:r>
      <w:r>
        <w:t xml:space="preserve"> </w:t>
      </w:r>
      <w:r>
        <w:t xml:space="preserve">(sector overview framing). (</w:t>
      </w:r>
      <w:hyperlink r:id="rId49">
        <w:r>
          <w:rPr>
            <w:rStyle w:val="Hyperlink"/>
          </w:rPr>
          <w:t xml:space="preserve">CISA</w:t>
        </w:r>
      </w:hyperlink>
      <w:r>
        <w:t xml:space="preserve">)</w:t>
      </w:r>
    </w:p>
    <w:p>
      <w:pPr>
        <w:pStyle w:val="Compact"/>
        <w:numPr>
          <w:ilvl w:val="0"/>
          <w:numId w:val="1030"/>
        </w:numPr>
      </w:pPr>
      <w:r>
        <w:rPr>
          <w:b/>
          <w:bCs/>
        </w:rPr>
        <w:t xml:space="preserve">NIPP Sector-Specific Plan: Healthcare and Public Health (2015)</w:t>
      </w:r>
      <w:r>
        <w:t xml:space="preserve"> </w:t>
      </w:r>
      <w:r>
        <w:t xml:space="preserve">— dependency on complex IT and rapid/secure data flows. (</w:t>
      </w:r>
      <w:hyperlink r:id="rId50">
        <w:r>
          <w:rPr>
            <w:rStyle w:val="Hyperlink"/>
          </w:rPr>
          <w:t xml:space="preserve">CISA</w:t>
        </w:r>
      </w:hyperlink>
      <w:r>
        <w:t xml:space="preserve">)</w:t>
      </w:r>
    </w:p>
    <w:p>
      <w:pPr>
        <w:pStyle w:val="Compact"/>
        <w:numPr>
          <w:ilvl w:val="0"/>
          <w:numId w:val="1030"/>
        </w:numPr>
      </w:pPr>
      <w:r>
        <w:rPr>
          <w:b/>
          <w:bCs/>
        </w:rPr>
        <w:t xml:space="preserve">CISA — CIRCIA Fact Sheet (2022)</w:t>
      </w:r>
      <w:r>
        <w:t xml:space="preserve"> </w:t>
      </w:r>
      <w:r>
        <w:t xml:space="preserve">— 72-hour covered incident reporting and 24-hour ransomware payment reporting timelines. (</w:t>
      </w:r>
      <w:hyperlink r:id="rId51">
        <w:r>
          <w:rPr>
            <w:rStyle w:val="Hyperlink"/>
          </w:rPr>
          <w:t xml:space="preserve">CISA</w:t>
        </w:r>
      </w:hyperlink>
      <w:r>
        <w:t xml:space="preserve">)</w:t>
      </w:r>
    </w:p>
    <w:p>
      <w:pPr>
        <w:pStyle w:val="Compact"/>
        <w:numPr>
          <w:ilvl w:val="0"/>
          <w:numId w:val="1030"/>
        </w:numPr>
      </w:pPr>
      <w:r>
        <w:rPr>
          <w:b/>
          <w:bCs/>
        </w:rPr>
        <w:t xml:space="preserve">CISA — AA23-349A: HPH Sector Risk &amp; Vulnerability Assessment</w:t>
      </w:r>
      <w:r>
        <w:t xml:space="preserve"> </w:t>
      </w:r>
      <w:r>
        <w:t xml:space="preserve">— internal weaknesses leading to domain compromise; recommended mitigations. (</w:t>
      </w:r>
      <w:hyperlink r:id="rId52">
        <w:r>
          <w:rPr>
            <w:rStyle w:val="Hyperlink"/>
          </w:rPr>
          <w:t xml:space="preserve">CISA</w:t>
        </w:r>
      </w:hyperlink>
      <w:r>
        <w:t xml:space="preserve">)</w:t>
      </w:r>
    </w:p>
    <w:p>
      <w:pPr>
        <w:pStyle w:val="Compact"/>
        <w:numPr>
          <w:ilvl w:val="0"/>
          <w:numId w:val="1030"/>
        </w:numPr>
      </w:pPr>
      <w:r>
        <w:rPr>
          <w:b/>
          <w:bCs/>
        </w:rPr>
        <w:t xml:space="preserve">CISA — AA20-302A: Ransomware Activity Targeting the HPH Sector</w:t>
      </w:r>
      <w:r>
        <w:t xml:space="preserve"> </w:t>
      </w:r>
      <w:r>
        <w:t xml:space="preserve">— operational disruption framing for HPH ransomware. (</w:t>
      </w:r>
      <w:hyperlink r:id="rId53">
        <w:r>
          <w:rPr>
            <w:rStyle w:val="Hyperlink"/>
          </w:rPr>
          <w:t xml:space="preserve">CISA</w:t>
        </w:r>
      </w:hyperlink>
      <w:r>
        <w:t xml:space="preserve">)</w:t>
      </w:r>
    </w:p>
    <w:p>
      <w:pPr>
        <w:sectPr>
          <w:footerReference w:type="first" r:id="rId13"/>
          <w:footerReference w:type="default" r:id="rId11"/>
          <w:footerReference w:type="even" r:id="rId10"/>
          <w:type w:val="nextPage"/>
        </w:sectPr>
      </w:pPr>
    </w:p>
    <w:bookmarkEnd w:id="54"/>
    <w:bookmarkEnd w:id="55"/>
    <w:bookmarkStart w:id="65" w:name="australia"/>
    <w:p>
      <w:pPr>
        <w:pStyle w:val="Heading1"/>
      </w:pPr>
      <w:r>
        <w:t xml:space="preserve">AUSTRALIA</w:t>
      </w:r>
    </w:p>
    <w:bookmarkStart w:id="56" w:name="Xd1d8ad69d83679de2997d71a3ffddf0a28f3bb8"/>
    <w:p>
      <w:pPr>
        <w:pStyle w:val="Heading2"/>
      </w:pPr>
      <w:r>
        <w:rPr>
          <w:b/>
          <w:bCs/>
        </w:rPr>
        <w:t xml:space="preserve">Final categories (what the law actually classifies)</w:t>
      </w:r>
    </w:p>
    <w:p>
      <w:pPr>
        <w:pStyle w:val="Compact"/>
        <w:numPr>
          <w:ilvl w:val="0"/>
          <w:numId w:val="1031"/>
        </w:numPr>
      </w:pPr>
      <w:r>
        <w:rPr>
          <w:b/>
          <w:bCs/>
        </w:rPr>
        <w:t xml:space="preserve">Critical infrastructure asset (health care and medical sector): “critical hospital”</w:t>
      </w:r>
      <w:r>
        <w:t xml:space="preserve"> </w:t>
      </w:r>
      <w:r>
        <w:t xml:space="preserve">— a</w:t>
      </w:r>
      <w:r>
        <w:t xml:space="preserve"> </w:t>
      </w:r>
      <w:r>
        <w:rPr>
          <w:b/>
          <w:bCs/>
        </w:rPr>
        <w:t xml:space="preserve">hospital that has a “general intensive care unit”</w:t>
      </w:r>
      <w:r>
        <w:t xml:space="preserve">. (</w:t>
      </w:r>
      <w:hyperlink r:id="rId48">
        <w:r>
          <w:rPr>
            <w:rStyle w:val="Hyperlink"/>
          </w:rPr>
          <w:t xml:space="preserve">Federal Register of Legislation</w:t>
        </w:r>
      </w:hyperlink>
      <w:r>
        <w:t xml:space="preserve">)</w:t>
      </w:r>
    </w:p>
    <w:p>
      <w:pPr>
        <w:pStyle w:val="Compact"/>
        <w:numPr>
          <w:ilvl w:val="0"/>
          <w:numId w:val="1031"/>
        </w:numPr>
      </w:pPr>
      <w:r>
        <w:rPr>
          <w:b/>
          <w:bCs/>
        </w:rPr>
        <w:t xml:space="preserve">CIRMP in-scope subset: “designated hospital”</w:t>
      </w:r>
      <w:r>
        <w:t xml:space="preserve"> </w:t>
      </w:r>
      <w:r>
        <w:t xml:space="preserve">—</w:t>
      </w:r>
      <w:r>
        <w:t xml:space="preserve"> </w:t>
      </w:r>
      <w:r>
        <w:rPr>
          <w:b/>
          <w:bCs/>
        </w:rPr>
        <w:t xml:space="preserve">a critical hospital mentioned in Schedule 1</w:t>
      </w:r>
      <w:r>
        <w:t xml:space="preserve"> </w:t>
      </w:r>
      <w:r>
        <w:t xml:space="preserve">of the</w:t>
      </w:r>
      <w:r>
        <w:t xml:space="preserve"> </w:t>
      </w:r>
      <w:r>
        <w:rPr>
          <w:b/>
          <w:bCs/>
        </w:rPr>
        <w:t xml:space="preserve">Critical infrastructure risk management program Rules (LIN 23/006)</w:t>
      </w:r>
      <w:r>
        <w:t xml:space="preserve">;</w:t>
      </w:r>
      <w:r>
        <w:t xml:space="preserve"> </w:t>
      </w:r>
      <w:r>
        <w:rPr>
          <w:b/>
          <w:bCs/>
        </w:rPr>
        <w:t xml:space="preserve">Part 2A (CIRMP)</w:t>
      </w:r>
      <w:r>
        <w:t xml:space="preserve"> </w:t>
      </w:r>
      <w:r>
        <w:t xml:space="preserve">applies to a designated hospital. (</w:t>
      </w:r>
      <w:hyperlink r:id="rId49">
        <w:r>
          <w:rPr>
            <w:rStyle w:val="Hyperlink"/>
          </w:rPr>
          <w:t xml:space="preserve">Federal Register of Legislation</w:t>
        </w:r>
      </w:hyperlink>
      <w:r>
        <w:t xml:space="preserve">)</w:t>
      </w:r>
    </w:p>
    <w:p>
      <w:pPr>
        <w:pStyle w:val="Compact"/>
        <w:numPr>
          <w:ilvl w:val="0"/>
          <w:numId w:val="1031"/>
        </w:numPr>
      </w:pPr>
      <w:r>
        <w:rPr>
          <w:b/>
          <w:bCs/>
        </w:rPr>
        <w:t xml:space="preserve">Higher-tier classification: “system of national significance (SoNS)”</w:t>
      </w:r>
      <w:r>
        <w:t xml:space="preserve"> </w:t>
      </w:r>
      <w:r>
        <w:t xml:space="preserve">— the Act creates</w:t>
      </w:r>
      <w:r>
        <w:t xml:space="preserve"> </w:t>
      </w:r>
      <w:r>
        <w:rPr>
          <w:b/>
          <w:bCs/>
        </w:rPr>
        <w:t xml:space="preserve">Enhanced cyber security obligations</w:t>
      </w:r>
      <w:r>
        <w:t xml:space="preserve"> </w:t>
      </w:r>
      <w:r>
        <w:t xml:space="preserve">(Part 2C) that operate</w:t>
      </w:r>
      <w:r>
        <w:t xml:space="preserve"> </w:t>
      </w:r>
      <w:r>
        <w:rPr>
          <w:b/>
          <w:bCs/>
        </w:rPr>
        <w:t xml:space="preserve">in relation to systems of national significance</w:t>
      </w:r>
      <w:r>
        <w:t xml:space="preserve">, including statutory incident response planning obligations and related requirements. (</w:t>
      </w:r>
      <w:hyperlink r:id="rId48">
        <w:r>
          <w:rPr>
            <w:rStyle w:val="Hyperlink"/>
          </w:rPr>
          <w:t xml:space="preserve">Federal Register of Legislation</w:t>
        </w:r>
      </w:hyperlink>
      <w:r>
        <w:t xml:space="preserve">)</w:t>
      </w:r>
    </w:p>
    <w:bookmarkEnd w:id="56"/>
    <w:bookmarkStart w:id="60" w:name="X2d63141787c525150f77ed1569ba87e726cf22c"/>
    <w:p>
      <w:pPr>
        <w:pStyle w:val="Heading2"/>
      </w:pPr>
      <w:r>
        <w:rPr>
          <w:b/>
          <w:bCs/>
        </w:rPr>
        <w:t xml:space="preserve">Exact legal / regulatory criteria (what triggers inclusion)</w:t>
      </w:r>
    </w:p>
    <w:bookmarkStart w:id="57" w:name="X1254fb6c6fd9615c59aef53b1e35ebf16848eeb"/>
    <w:p>
      <w:pPr>
        <w:pStyle w:val="Heading3"/>
      </w:pPr>
      <w:r>
        <w:rPr>
          <w:b/>
          <w:bCs/>
        </w:rPr>
        <w:t xml:space="preserve">A) “Critical hospital” (health CI asset trigger)</w:t>
      </w:r>
    </w:p>
    <w:p>
      <w:pPr>
        <w:pStyle w:val="Compact"/>
        <w:numPr>
          <w:ilvl w:val="0"/>
          <w:numId w:val="1032"/>
        </w:numPr>
      </w:pPr>
      <w:r>
        <w:rPr>
          <w:b/>
          <w:bCs/>
        </w:rPr>
        <w:t xml:space="preserve">Definition (Act):</w:t>
      </w:r>
      <w:r>
        <w:t xml:space="preserve"> </w:t>
      </w:r>
      <w:r>
        <w:t xml:space="preserve">“critical hospital means a hospital that has a general intensive care unit.” (</w:t>
      </w:r>
      <w:hyperlink r:id="rId48">
        <w:r>
          <w:rPr>
            <w:rStyle w:val="Hyperlink"/>
          </w:rPr>
          <w:t xml:space="preserve">Federal Register of Legislation</w:t>
        </w:r>
      </w:hyperlink>
      <w:r>
        <w:t xml:space="preserve">)</w:t>
      </w:r>
    </w:p>
    <w:p>
      <w:pPr>
        <w:pStyle w:val="Compact"/>
        <w:numPr>
          <w:ilvl w:val="0"/>
          <w:numId w:val="1032"/>
        </w:numPr>
      </w:pPr>
      <w:r>
        <w:rPr>
          <w:b/>
          <w:bCs/>
        </w:rPr>
        <w:t xml:space="preserve">“General intensive care unit” definition (Act):</w:t>
      </w:r>
      <w:r>
        <w:t xml:space="preserve"> </w:t>
      </w:r>
      <w:r>
        <w:t xml:space="preserve">the Act defines what qualifies as a “general ICU” (capable of mechanical ventilation for several days and invasive cardiovascular monitoring, with specified specialist support). (</w:t>
      </w:r>
      <w:hyperlink r:id="rId48">
        <w:r>
          <w:rPr>
            <w:rStyle w:val="Hyperlink"/>
          </w:rPr>
          <w:t xml:space="preserve">Federal Register of Legislation</w:t>
        </w:r>
      </w:hyperlink>
      <w:r>
        <w:t xml:space="preserve">)</w:t>
      </w:r>
    </w:p>
    <w:p>
      <w:pPr>
        <w:pStyle w:val="Compact"/>
        <w:numPr>
          <w:ilvl w:val="0"/>
          <w:numId w:val="1032"/>
        </w:numPr>
      </w:pPr>
      <w:r>
        <w:rPr>
          <w:b/>
          <w:bCs/>
        </w:rPr>
        <w:t xml:space="preserve">Sector mapping (Act):</w:t>
      </w:r>
      <w:r>
        <w:t xml:space="preserve"> </w:t>
      </w:r>
      <w:r>
        <w:t xml:space="preserve">“a critical hospital is taken to relate to the health care and medical sector.” (</w:t>
      </w:r>
      <w:hyperlink r:id="rId48">
        <w:r>
          <w:rPr>
            <w:rStyle w:val="Hyperlink"/>
          </w:rPr>
          <w:t xml:space="preserve">Federal Register of Legislation</w:t>
        </w:r>
      </w:hyperlink>
      <w:r>
        <w:t xml:space="preserve">)</w:t>
      </w:r>
    </w:p>
    <w:p>
      <w:pPr>
        <w:pStyle w:val="Compact"/>
        <w:numPr>
          <w:ilvl w:val="0"/>
          <w:numId w:val="1032"/>
        </w:numPr>
      </w:pPr>
      <w:r>
        <w:rPr>
          <w:b/>
          <w:bCs/>
        </w:rPr>
        <w:t xml:space="preserve">Critical infrastructure asset listing (Act):</w:t>
      </w:r>
      <w:r>
        <w:t xml:space="preserve"> </w:t>
      </w:r>
      <w:r>
        <w:t xml:space="preserve">“critical hospital” is included in the Act’s definition/listing of</w:t>
      </w:r>
      <w:r>
        <w:t xml:space="preserve"> </w:t>
      </w:r>
      <w:r>
        <w:rPr>
          <w:b/>
          <w:bCs/>
        </w:rPr>
        <w:t xml:space="preserve">critical infrastructure assets</w:t>
      </w:r>
      <w:r>
        <w:t xml:space="preserve">. (</w:t>
      </w:r>
      <w:hyperlink r:id="rId48">
        <w:r>
          <w:rPr>
            <w:rStyle w:val="Hyperlink"/>
          </w:rPr>
          <w:t xml:space="preserve">Federal Register of Legislation</w:t>
        </w:r>
      </w:hyperlink>
      <w:r>
        <w:t xml:space="preserve">)</w:t>
      </w:r>
    </w:p>
    <w:bookmarkEnd w:id="57"/>
    <w:bookmarkStart w:id="58" w:name="X0add2f8a0716cd316ac265144203226f58fc7f5"/>
    <w:p>
      <w:pPr>
        <w:pStyle w:val="Heading3"/>
      </w:pPr>
      <w:r>
        <w:rPr>
          <w:b/>
          <w:bCs/>
        </w:rPr>
        <w:t xml:space="preserve">B) “Designated hospital” (CIRMP / Part 2A trigger)</w:t>
      </w:r>
    </w:p>
    <w:p>
      <w:pPr>
        <w:pStyle w:val="Compact"/>
        <w:numPr>
          <w:ilvl w:val="0"/>
          <w:numId w:val="1033"/>
        </w:numPr>
      </w:pPr>
      <w:r>
        <w:rPr>
          <w:b/>
          <w:bCs/>
        </w:rPr>
        <w:t xml:space="preserve">Definition (Rules):</w:t>
      </w:r>
      <w:r>
        <w:t xml:space="preserve"> </w:t>
      </w:r>
      <w:r>
        <w:t xml:space="preserve">“designated hospital means a critical hospital mentioned in Schedule 1.” (</w:t>
      </w:r>
      <w:hyperlink r:id="rId49">
        <w:r>
          <w:rPr>
            <w:rStyle w:val="Hyperlink"/>
          </w:rPr>
          <w:t xml:space="preserve">Federal Register of Legislation</w:t>
        </w:r>
      </w:hyperlink>
      <w:r>
        <w:t xml:space="preserve">)</w:t>
      </w:r>
    </w:p>
    <w:p>
      <w:pPr>
        <w:pStyle w:val="Compact"/>
        <w:numPr>
          <w:ilvl w:val="0"/>
          <w:numId w:val="1033"/>
        </w:numPr>
      </w:pPr>
      <w:r>
        <w:rPr>
          <w:b/>
          <w:bCs/>
        </w:rPr>
        <w:t xml:space="preserve">Part 2A application (Rules):</w:t>
      </w:r>
      <w:r>
        <w:t xml:space="preserve"> </w:t>
      </w:r>
      <w:r>
        <w:t xml:space="preserve">for the Act’s Part 2A application provision, the Rules specify that</w:t>
      </w:r>
      <w:r>
        <w:t xml:space="preserve"> </w:t>
      </w:r>
      <w:r>
        <w:rPr>
          <w:b/>
          <w:bCs/>
        </w:rPr>
        <w:t xml:space="preserve">Part 2A applies to… (g) a designated hospital</w:t>
      </w:r>
      <w:r>
        <w:t xml:space="preserve">. (</w:t>
      </w:r>
      <w:hyperlink r:id="rId49">
        <w:r>
          <w:rPr>
            <w:rStyle w:val="Hyperlink"/>
          </w:rPr>
          <w:t xml:space="preserve">Federal Register of Legislation</w:t>
        </w:r>
      </w:hyperlink>
      <w:r>
        <w:t xml:space="preserve">)</w:t>
      </w:r>
    </w:p>
    <w:bookmarkEnd w:id="58"/>
    <w:bookmarkStart w:id="59" w:name="X3c7f220baddc4d689ee8d43892d42a5fa6c005c"/>
    <w:p>
      <w:pPr>
        <w:pStyle w:val="Heading3"/>
      </w:pPr>
      <w:r>
        <w:rPr>
          <w:b/>
          <w:bCs/>
        </w:rPr>
        <w:t xml:space="preserve">C) SoNS (Enhanced cyber security obligations trigger)</w:t>
      </w:r>
    </w:p>
    <w:p>
      <w:pPr>
        <w:pStyle w:val="Compact"/>
        <w:numPr>
          <w:ilvl w:val="0"/>
          <w:numId w:val="1034"/>
        </w:numPr>
      </w:pPr>
      <w:r>
        <w:rPr>
          <w:b/>
          <w:bCs/>
        </w:rPr>
        <w:t xml:space="preserve">Enhanced cyber security obligations exist in the Act</w:t>
      </w:r>
      <w:r>
        <w:t xml:space="preserve"> </w:t>
      </w:r>
      <w:r>
        <w:t xml:space="preserve">(Part 2C), and are expressly framed as relating to</w:t>
      </w:r>
      <w:r>
        <w:t xml:space="preserve"> </w:t>
      </w:r>
      <w:r>
        <w:rPr>
          <w:b/>
          <w:bCs/>
        </w:rPr>
        <w:t xml:space="preserve">systems of national significance</w:t>
      </w:r>
      <w:r>
        <w:t xml:space="preserve">. (</w:t>
      </w:r>
      <w:hyperlink r:id="rId48">
        <w:r>
          <w:rPr>
            <w:rStyle w:val="Hyperlink"/>
          </w:rPr>
          <w:t xml:space="preserve">Federal Register of Legislation</w:t>
        </w:r>
      </w:hyperlink>
      <w:r>
        <w:t xml:space="preserve">)</w:t>
      </w:r>
    </w:p>
    <w:p>
      <w:pPr>
        <w:pStyle w:val="Compact"/>
        <w:numPr>
          <w:ilvl w:val="0"/>
          <w:numId w:val="1034"/>
        </w:numPr>
      </w:pPr>
      <w:r>
        <w:rPr>
          <w:b/>
          <w:bCs/>
        </w:rPr>
        <w:t xml:space="preserve">Example of SoNS-linked obligation (Act):</w:t>
      </w:r>
      <w:r>
        <w:t xml:space="preserve"> </w:t>
      </w:r>
      <w:r>
        <w:t xml:space="preserve">the Act sets out SoNS-related requirements around</w:t>
      </w:r>
      <w:r>
        <w:t xml:space="preserve"> </w:t>
      </w:r>
      <w:r>
        <w:rPr>
          <w:b/>
          <w:bCs/>
        </w:rPr>
        <w:t xml:space="preserve">incident response plans</w:t>
      </w:r>
      <w:r>
        <w:t xml:space="preserve"> </w:t>
      </w:r>
      <w:r>
        <w:t xml:space="preserve">(including compliance, review, update, and provision to the Secretary), and specifies that an incident response plan for a SoNS must relate to cyber security incidents and plan for responding to incidents with relevant impact. (</w:t>
      </w:r>
      <w:hyperlink r:id="rId48">
        <w:r>
          <w:rPr>
            <w:rStyle w:val="Hyperlink"/>
          </w:rPr>
          <w:t xml:space="preserve">Federal Register of Legislation</w:t>
        </w:r>
      </w:hyperlink>
      <w:r>
        <w:t xml:space="preserve">)</w:t>
      </w:r>
    </w:p>
    <w:bookmarkEnd w:id="59"/>
    <w:bookmarkEnd w:id="60"/>
    <w:bookmarkStart w:id="61" w:name="Xa45d356ef961c4d60b6824527809c1ba5b7b1af"/>
    <w:p>
      <w:pPr>
        <w:pStyle w:val="Heading2"/>
      </w:pPr>
      <w:r>
        <w:rPr>
          <w:b/>
          <w:bCs/>
        </w:rPr>
        <w:t xml:space="preserve">Grading / tiering schemes (what is explicit vs not)</w:t>
      </w:r>
    </w:p>
    <w:p>
      <w:pPr>
        <w:pStyle w:val="FirstParagraph"/>
      </w:pPr>
      <w:r>
        <w:rPr>
          <w:b/>
          <w:bCs/>
        </w:rPr>
        <w:t xml:space="preserve">What is explicit in instruments (evidentiary):</w:t>
      </w:r>
    </w:p>
    <w:p>
      <w:pPr>
        <w:pStyle w:val="Compact"/>
        <w:numPr>
          <w:ilvl w:val="0"/>
          <w:numId w:val="1035"/>
        </w:numPr>
      </w:pPr>
      <w:r>
        <w:rPr>
          <w:b/>
          <w:bCs/>
        </w:rPr>
        <w:t xml:space="preserve">Binary at the asset layer:</w:t>
      </w:r>
      <w:r>
        <w:t xml:space="preserve"> </w:t>
      </w:r>
      <w:r>
        <w:t xml:space="preserve">“critical hospital” is the health-sector CI asset class in the Act. (</w:t>
      </w:r>
      <w:hyperlink r:id="rId48">
        <w:r>
          <w:rPr>
            <w:rStyle w:val="Hyperlink"/>
          </w:rPr>
          <w:t xml:space="preserve">Federal Register of Legislation</w:t>
        </w:r>
      </w:hyperlink>
      <w:r>
        <w:t xml:space="preserve">)</w:t>
      </w:r>
    </w:p>
    <w:p>
      <w:pPr>
        <w:pStyle w:val="Compact"/>
        <w:numPr>
          <w:ilvl w:val="0"/>
          <w:numId w:val="1035"/>
        </w:numPr>
      </w:pPr>
      <w:r>
        <w:rPr>
          <w:b/>
          <w:bCs/>
        </w:rPr>
        <w:t xml:space="preserve">CIRMP step-up:</w:t>
      </w:r>
      <w:r>
        <w:t xml:space="preserve"> </w:t>
      </w:r>
      <w:r>
        <w:t xml:space="preserve">“designated hospital” is a defined subset, and the Rules explicitly apply Part 2A (CIRMP) to it. (</w:t>
      </w:r>
      <w:hyperlink r:id="rId49">
        <w:r>
          <w:rPr>
            <w:rStyle w:val="Hyperlink"/>
          </w:rPr>
          <w:t xml:space="preserve">Federal Register of Legislation</w:t>
        </w:r>
      </w:hyperlink>
      <w:r>
        <w:t xml:space="preserve">)</w:t>
      </w:r>
    </w:p>
    <w:p>
      <w:pPr>
        <w:pStyle w:val="Compact"/>
        <w:numPr>
          <w:ilvl w:val="0"/>
          <w:numId w:val="1035"/>
        </w:numPr>
      </w:pPr>
      <w:r>
        <w:rPr>
          <w:b/>
          <w:bCs/>
        </w:rPr>
        <w:t xml:space="preserve">Further step-up exists for SoNS:</w:t>
      </w:r>
      <w:r>
        <w:t xml:space="preserve"> </w:t>
      </w:r>
      <w:r>
        <w:t xml:space="preserve">the Act explicitly provides an additional layer of obligations under Part 2C for systems of national significance. (</w:t>
      </w:r>
      <w:hyperlink r:id="rId48">
        <w:r>
          <w:rPr>
            <w:rStyle w:val="Hyperlink"/>
          </w:rPr>
          <w:t xml:space="preserve">Federal Register of Legislation</w:t>
        </w:r>
      </w:hyperlink>
      <w:r>
        <w:t xml:space="preserve">)</w:t>
      </w:r>
    </w:p>
    <w:p>
      <w:pPr>
        <w:pStyle w:val="FirstParagraph"/>
      </w:pPr>
      <w:r>
        <w:rPr>
          <w:b/>
          <w:bCs/>
        </w:rPr>
        <w:t xml:space="preserve">What is</w:t>
      </w:r>
      <w:r>
        <w:rPr>
          <w:b/>
          <w:bCs/>
        </w:rPr>
        <w:t xml:space="preserve"> </w:t>
      </w:r>
      <w:r>
        <w:rPr>
          <w:b/>
          <w:bCs/>
          <w:i/>
          <w:iCs/>
        </w:rPr>
        <w:t xml:space="preserve">not</w:t>
      </w:r>
      <w:r>
        <w:rPr>
          <w:b/>
          <w:bCs/>
        </w:rPr>
        <w:t xml:space="preserve"> </w:t>
      </w:r>
      <w:r>
        <w:rPr>
          <w:b/>
          <w:bCs/>
        </w:rPr>
        <w:t xml:space="preserve">explicit (and should not be asserted as fact):</w:t>
      </w:r>
    </w:p>
    <w:p>
      <w:pPr>
        <w:pStyle w:val="Compact"/>
        <w:numPr>
          <w:ilvl w:val="0"/>
          <w:numId w:val="1036"/>
        </w:numPr>
      </w:pPr>
      <w:r>
        <w:t xml:space="preserve">The law does</w:t>
      </w:r>
      <w:r>
        <w:t xml:space="preserve"> </w:t>
      </w:r>
      <w:r>
        <w:rPr>
          <w:b/>
          <w:bCs/>
        </w:rPr>
        <w:t xml:space="preserve">not</w:t>
      </w:r>
      <w:r>
        <w:t xml:space="preserve"> </w:t>
      </w:r>
      <w:r>
        <w:t xml:space="preserve">publish a universal “Tier 1/2/3” label scheme for hospitals; any “tiering” language is a</w:t>
      </w:r>
      <w:r>
        <w:t xml:space="preserve"> </w:t>
      </w:r>
      <w:r>
        <w:rPr>
          <w:b/>
          <w:bCs/>
        </w:rPr>
        <w:t xml:space="preserve">presentation convenience</w:t>
      </w:r>
      <w:r>
        <w:t xml:space="preserve"> </w:t>
      </w:r>
      <w:r>
        <w:t xml:space="preserve">rather than a statutory classification.</w:t>
      </w:r>
    </w:p>
    <w:bookmarkEnd w:id="61"/>
    <w:bookmarkStart w:id="62" w:name="X7717c1ac35d4446cdc15013c0efc8b211a1e529"/>
    <w:p>
      <w:pPr>
        <w:pStyle w:val="Heading2"/>
      </w:pPr>
      <w:r>
        <w:rPr>
          <w:b/>
          <w:bCs/>
        </w:rPr>
        <w:t xml:space="preserve">Health information systems most likely treated as “high criticality” in practice</w:t>
      </w:r>
    </w:p>
    <w:p>
      <w:pPr>
        <w:pStyle w:val="FirstParagraph"/>
      </w:pPr>
      <w:r>
        <w:rPr>
          <w:b/>
          <w:bCs/>
        </w:rPr>
        <w:t xml:space="preserve">Interpretation (not a direct statutory list):</w:t>
      </w:r>
      <w:r>
        <w:t xml:space="preserve"> </w:t>
      </w:r>
      <w:r>
        <w:t xml:space="preserve">The SOCI framework designates</w:t>
      </w:r>
      <w:r>
        <w:t xml:space="preserve"> </w:t>
      </w:r>
      <w:r>
        <w:rPr>
          <w:b/>
          <w:bCs/>
        </w:rPr>
        <w:t xml:space="preserve">assets (hospitals / SoNS systems)</w:t>
      </w:r>
      <w:r>
        <w:t xml:space="preserve"> </w:t>
      </w:r>
      <w:r>
        <w:t xml:space="preserve">rather than enumerating specific hospital IT systems. However, the</w:t>
      </w:r>
      <w:r>
        <w:t xml:space="preserve"> </w:t>
      </w:r>
      <w:r>
        <w:rPr>
          <w:b/>
          <w:bCs/>
        </w:rPr>
        <w:t xml:space="preserve">CIRMP Rules</w:t>
      </w:r>
      <w:r>
        <w:t xml:space="preserve"> </w:t>
      </w:r>
      <w:r>
        <w:t xml:space="preserve">define</w:t>
      </w:r>
      <w:r>
        <w:t xml:space="preserve"> </w:t>
      </w:r>
      <w:r>
        <w:rPr>
          <w:b/>
          <w:bCs/>
        </w:rPr>
        <w:t xml:space="preserve">“cyber and information security hazard”</w:t>
      </w:r>
      <w:r>
        <w:t xml:space="preserve"> </w:t>
      </w:r>
      <w:r>
        <w:t xml:space="preserve">in terms of improper access/misuse of information or computer systems related to the CI asset, or use of computer systems to obtain unauthorised control/access that might impair functioning. (</w:t>
      </w:r>
      <w:hyperlink r:id="rId49">
        <w:r>
          <w:rPr>
            <w:rStyle w:val="Hyperlink"/>
          </w:rPr>
          <w:t xml:space="preserve">Federal Register of Legislation</w:t>
        </w:r>
      </w:hyperlink>
      <w:r>
        <w:t xml:space="preserve">)</w:t>
      </w:r>
      <w:r>
        <w:t xml:space="preserve"> </w:t>
      </w:r>
      <w:r>
        <w:rPr>
          <w:b/>
          <w:bCs/>
        </w:rPr>
        <w:t xml:space="preserve">Interpretation (supported by the obligation scope above):</w:t>
      </w:r>
      <w:r>
        <w:t xml:space="preserve"> </w:t>
      </w:r>
      <w:r>
        <w:t xml:space="preserve">for</w:t>
      </w:r>
      <w:r>
        <w:t xml:space="preserve"> </w:t>
      </w:r>
      <w:r>
        <w:rPr>
          <w:b/>
          <w:bCs/>
        </w:rPr>
        <w:t xml:space="preserve">critical hospitals / designated hospitals</w:t>
      </w:r>
      <w:r>
        <w:t xml:space="preserve">, systems that are tightly coupled to delivering the hospital’s critical functions (and whose compromise would plausibly “impair its proper functioning”) are the ones most likely to be operationally prioritised under CIRMP cyber/information security hazards (e.g., core clinical and operational platforms). (</w:t>
      </w:r>
      <w:hyperlink r:id="rId49">
        <w:r>
          <w:rPr>
            <w:rStyle w:val="Hyperlink"/>
          </w:rPr>
          <w:t xml:space="preserve">Federal Register of Legislation</w:t>
        </w:r>
      </w:hyperlink>
      <w:r>
        <w:t xml:space="preserve">)</w:t>
      </w:r>
      <w:r>
        <w:t xml:space="preserve"> </w:t>
      </w:r>
      <w:r>
        <w:rPr>
          <w:b/>
          <w:bCs/>
        </w:rPr>
        <w:t xml:space="preserve">Additional evidentiary hook (Rules):</w:t>
      </w:r>
      <w:r>
        <w:t xml:space="preserve"> </w:t>
      </w:r>
      <w:r>
        <w:t xml:space="preserve">the Rules explicitly note that</w:t>
      </w:r>
      <w:r>
        <w:t xml:space="preserve"> </w:t>
      </w:r>
      <w:r>
        <w:rPr>
          <w:b/>
          <w:bCs/>
        </w:rPr>
        <w:t xml:space="preserve">a data storage system</w:t>
      </w:r>
      <w:r>
        <w:t xml:space="preserve"> </w:t>
      </w:r>
      <w:r>
        <w:t xml:space="preserve">meeting requirements under</w:t>
      </w:r>
      <w:r>
        <w:t xml:space="preserve"> </w:t>
      </w:r>
      <w:r>
        <w:rPr>
          <w:b/>
          <w:bCs/>
        </w:rPr>
        <w:t xml:space="preserve">subsection 9(7) of the Act</w:t>
      </w:r>
      <w:r>
        <w:t xml:space="preserve"> </w:t>
      </w:r>
      <w:r>
        <w:t xml:space="preserve">for an in-scope CI asset is</w:t>
      </w:r>
      <w:r>
        <w:t xml:space="preserve"> </w:t>
      </w:r>
      <w:r>
        <w:rPr>
          <w:b/>
          <w:bCs/>
        </w:rPr>
        <w:t xml:space="preserve">taken to be part of the CI asset</w:t>
      </w:r>
      <w:r>
        <w:t xml:space="preserve">, and include “material risk” examples referencing impacts to ICT/OT and to</w:t>
      </w:r>
      <w:r>
        <w:t xml:space="preserve"> </w:t>
      </w:r>
      <w:r>
        <w:rPr>
          <w:b/>
          <w:bCs/>
        </w:rPr>
        <w:t xml:space="preserve">data storage systems holding business critical data</w:t>
      </w:r>
      <w:r>
        <w:t xml:space="preserve">. (</w:t>
      </w:r>
      <w:hyperlink r:id="rId49">
        <w:r>
          <w:rPr>
            <w:rStyle w:val="Hyperlink"/>
          </w:rPr>
          <w:t xml:space="preserve">Federal Register of Legislation</w:t>
        </w:r>
      </w:hyperlink>
      <w:r>
        <w:t xml:space="preserve">)</w:t>
      </w:r>
    </w:p>
    <w:bookmarkEnd w:id="62"/>
    <w:bookmarkStart w:id="63" w:name="X91d08e0e020064bd510c8f25749f055f09f112b"/>
    <w:p>
      <w:pPr>
        <w:pStyle w:val="Heading2"/>
      </w:pPr>
      <w:r>
        <w:rPr>
          <w:b/>
          <w:bCs/>
        </w:rPr>
        <w:t xml:space="preserve">Public vs confidential (what is public, what is not)</w:t>
      </w:r>
    </w:p>
    <w:p>
      <w:pPr>
        <w:pStyle w:val="Compact"/>
        <w:numPr>
          <w:ilvl w:val="0"/>
          <w:numId w:val="1037"/>
        </w:numPr>
      </w:pPr>
      <w:r>
        <w:rPr>
          <w:b/>
          <w:bCs/>
        </w:rPr>
        <w:t xml:space="preserve">Public (criteria/instruments):</w:t>
      </w:r>
      <w:r>
        <w:t xml:space="preserve"> </w:t>
      </w:r>
      <w:r>
        <w:t xml:space="preserve">the Act and the CIRMP Rules (including the definition of “designated hospital” and the fact Schedule 1 exists) are published. (</w:t>
      </w:r>
      <w:hyperlink r:id="rId48">
        <w:r>
          <w:rPr>
            <w:rStyle w:val="Hyperlink"/>
          </w:rPr>
          <w:t xml:space="preserve">Federal Register of Legislation</w:t>
        </w:r>
      </w:hyperlink>
      <w:r>
        <w:t xml:space="preserve">)</w:t>
      </w:r>
    </w:p>
    <w:p>
      <w:pPr>
        <w:pStyle w:val="Compact"/>
        <w:numPr>
          <w:ilvl w:val="0"/>
          <w:numId w:val="1037"/>
        </w:numPr>
      </w:pPr>
      <w:r>
        <w:rPr>
          <w:b/>
          <w:bCs/>
        </w:rPr>
        <w:t xml:space="preserve">Register / lists not public (Act):</w:t>
      </w:r>
      <w:r>
        <w:t xml:space="preserve"> </w:t>
      </w:r>
      <w:r>
        <w:t xml:space="preserve">the Act provides that the Secretary must keep a Register and</w:t>
      </w:r>
      <w:r>
        <w:t xml:space="preserve"> </w:t>
      </w:r>
      <w:r>
        <w:rPr>
          <w:b/>
          <w:bCs/>
        </w:rPr>
        <w:t xml:space="preserve">“must ensure that the Register is not made public.”</w:t>
      </w:r>
      <w:r>
        <w:t xml:space="preserve"> </w:t>
      </w:r>
      <w:r>
        <w:t xml:space="preserve">(</w:t>
      </w:r>
      <w:hyperlink r:id="rId48">
        <w:r>
          <w:rPr>
            <w:rStyle w:val="Hyperlink"/>
          </w:rPr>
          <w:t xml:space="preserve">Federal Register of Legislation</w:t>
        </w:r>
      </w:hyperlink>
      <w:r>
        <w:t xml:space="preserve">)</w:t>
      </w:r>
    </w:p>
    <w:bookmarkEnd w:id="63"/>
    <w:bookmarkStart w:id="64" w:name="references-australia"/>
    <w:p>
      <w:pPr>
        <w:pStyle w:val="Heading2"/>
      </w:pPr>
      <w:r>
        <w:t xml:space="preserve">References (Australia)</w:t>
      </w:r>
    </w:p>
    <w:p>
      <w:pPr>
        <w:pStyle w:val="Compact"/>
        <w:numPr>
          <w:ilvl w:val="0"/>
          <w:numId w:val="1038"/>
        </w:numPr>
      </w:pPr>
      <w:r>
        <w:rPr>
          <w:b/>
          <w:bCs/>
        </w:rPr>
        <w:t xml:space="preserve">Australian Government — Federal Register of Legislation.</w:t>
      </w:r>
      <w:r>
        <w:t xml:space="preserve"> </w:t>
      </w:r>
      <w:r>
        <w:rPr>
          <w:i/>
          <w:iCs/>
        </w:rPr>
        <w:t xml:space="preserve">Security of Critical Infrastructure Act 2018</w:t>
      </w:r>
      <w:r>
        <w:t xml:space="preserve"> </w:t>
      </w:r>
      <w:r>
        <w:t xml:space="preserve">(Compilation incl. definitions of “critical hospital” and “general intensive care unit”; health-sector mapping; register confidentiality; Part 2B/2C structure; SoNS-related obligations). (</w:t>
      </w:r>
      <w:hyperlink r:id="rId48">
        <w:r>
          <w:rPr>
            <w:rStyle w:val="Hyperlink"/>
          </w:rPr>
          <w:t xml:space="preserve">Federal Register of Legislation</w:t>
        </w:r>
      </w:hyperlink>
      <w:r>
        <w:t xml:space="preserve">)</w:t>
      </w:r>
    </w:p>
    <w:p>
      <w:pPr>
        <w:pStyle w:val="Compact"/>
        <w:numPr>
          <w:ilvl w:val="0"/>
          <w:numId w:val="1038"/>
        </w:numPr>
      </w:pPr>
      <w:r>
        <w:rPr>
          <w:b/>
          <w:bCs/>
        </w:rPr>
        <w:t xml:space="preserve">Australian Government — Federal Register of Legislation.</w:t>
      </w:r>
      <w:r>
        <w:t xml:space="preserve"> </w:t>
      </w:r>
      <w:r>
        <w:rPr>
          <w:i/>
          <w:iCs/>
        </w:rPr>
        <w:t xml:space="preserve">Security of Critical Infrastructure (Critical infrastructure risk management program) Rules (LIN 23/006) 2023</w:t>
      </w:r>
      <w:r>
        <w:t xml:space="preserve"> </w:t>
      </w:r>
      <w:r>
        <w:t xml:space="preserve">(Compilation 04 Apr 2025: definition of “designated hospital”; Part 2A application to designated hospitals; definition of cyber/information security hazard; data storage system note; material risk examples). (</w:t>
      </w:r>
      <w:hyperlink r:id="rId49">
        <w:r>
          <w:rPr>
            <w:rStyle w:val="Hyperlink"/>
          </w:rPr>
          <w:t xml:space="preserve">Federal Register of Legislation</w:t>
        </w:r>
      </w:hyperlink>
      <w:r>
        <w:t xml:space="preserve">)</w:t>
      </w:r>
    </w:p>
    <w:p>
      <w:pPr>
        <w:sectPr>
          <w:footerReference w:type="first" r:id="rId13"/>
          <w:footerReference w:type="default" r:id="rId11"/>
          <w:footerReference w:type="even" r:id="rId10"/>
          <w:type w:val="nextPage"/>
        </w:sectPr>
      </w:pPr>
    </w:p>
    <w:bookmarkEnd w:id="64"/>
    <w:bookmarkEnd w:id="65"/>
    <w:bookmarkStart w:id="85" w:name="european-union-nis2"/>
    <w:p>
      <w:pPr>
        <w:pStyle w:val="Heading1"/>
      </w:pPr>
      <w:r>
        <w:t xml:space="preserve">EUROPEAN UNION (NIS2)</w:t>
      </w:r>
    </w:p>
    <w:bookmarkStart w:id="66" w:name="legal-basis"/>
    <w:p>
      <w:pPr>
        <w:pStyle w:val="Heading2"/>
      </w:pPr>
      <w:r>
        <w:rPr>
          <w:b/>
          <w:bCs/>
        </w:rPr>
        <w:t xml:space="preserve">Legal basis</w:t>
      </w:r>
    </w:p>
    <w:p>
      <w:pPr>
        <w:pStyle w:val="FirstParagraph"/>
      </w:pPr>
      <w:r>
        <w:rPr>
          <w:b/>
          <w:bCs/>
        </w:rPr>
        <w:t xml:space="preserve">Directive (EU) 2022/2555</w:t>
      </w:r>
      <w:r>
        <w:t xml:space="preserve"> </w:t>
      </w:r>
      <w:r>
        <w:t xml:space="preserve">on measures for a high common level of cybersecurity across the Union (“NIS2”). (</w:t>
      </w:r>
      <w:hyperlink r:id="rId48">
        <w:r>
          <w:rPr>
            <w:rStyle w:val="Hyperlink"/>
          </w:rPr>
          <w:t xml:space="preserve">EUR-Lex</w:t>
        </w:r>
      </w:hyperlink>
      <w:r>
        <w:t xml:space="preserve">)</w:t>
      </w:r>
    </w:p>
    <w:bookmarkEnd w:id="66"/>
    <w:bookmarkStart w:id="67" w:name="X352465eb03c93dc5c9007de375b3d384139b0f4"/>
    <w:p>
      <w:pPr>
        <w:pStyle w:val="Heading2"/>
      </w:pPr>
      <w:r>
        <w:rPr>
          <w:b/>
          <w:bCs/>
        </w:rPr>
        <w:t xml:space="preserve">Final Categories (what the Directive actually creates)</w:t>
      </w:r>
    </w:p>
    <w:bookmarkEnd w:id="67"/>
    <w:bookmarkStart w:id="68" w:name="essential-entities"/>
    <w:p>
      <w:pPr>
        <w:pStyle w:val="Heading2"/>
      </w:pPr>
      <w:r>
        <w:rPr>
          <w:b/>
          <w:bCs/>
        </w:rPr>
        <w:t xml:space="preserve">1) Essential entities</w:t>
      </w:r>
    </w:p>
    <w:p>
      <w:pPr>
        <w:pStyle w:val="FirstParagraph"/>
      </w:pPr>
      <w:r>
        <w:t xml:space="preserve">NIS2 defines</w:t>
      </w:r>
      <w:r>
        <w:t xml:space="preserve"> </w:t>
      </w:r>
      <w:r>
        <w:rPr>
          <w:b/>
          <w:bCs/>
        </w:rPr>
        <w:t xml:space="preserve">“essential entities”</w:t>
      </w:r>
      <w:r>
        <w:t xml:space="preserve"> </w:t>
      </w:r>
      <w:r>
        <w:t xml:space="preserve">in</w:t>
      </w:r>
      <w:r>
        <w:t xml:space="preserve"> </w:t>
      </w:r>
      <w:r>
        <w:rPr>
          <w:b/>
          <w:bCs/>
        </w:rPr>
        <w:t xml:space="preserve">Article 3(1)</w:t>
      </w:r>
      <w:r>
        <w:t xml:space="preserve"> </w:t>
      </w:r>
      <w:r>
        <w:t xml:space="preserve">(including Annex I entities above the “medium-sized” ceiling, plus several additional categories). (</w:t>
      </w:r>
      <w:hyperlink r:id="rId48">
        <w:r>
          <w:rPr>
            <w:rStyle w:val="Hyperlink"/>
          </w:rPr>
          <w:t xml:space="preserve">EUR-Lex</w:t>
        </w:r>
      </w:hyperlink>
      <w:r>
        <w:t xml:space="preserve">)</w:t>
      </w:r>
    </w:p>
    <w:bookmarkEnd w:id="68"/>
    <w:bookmarkStart w:id="69" w:name="important-entities"/>
    <w:p>
      <w:pPr>
        <w:pStyle w:val="Heading2"/>
      </w:pPr>
      <w:r>
        <w:rPr>
          <w:b/>
          <w:bCs/>
        </w:rPr>
        <w:t xml:space="preserve">2) Important entities</w:t>
      </w:r>
    </w:p>
    <w:p>
      <w:pPr>
        <w:pStyle w:val="FirstParagraph"/>
      </w:pPr>
      <w:r>
        <w:t xml:space="preserve">Entities in scope that</w:t>
      </w:r>
      <w:r>
        <w:t xml:space="preserve"> </w:t>
      </w:r>
      <w:r>
        <w:rPr>
          <w:b/>
          <w:bCs/>
        </w:rPr>
        <w:t xml:space="preserve">are not essential</w:t>
      </w:r>
      <w:r>
        <w:t xml:space="preserve"> </w:t>
      </w:r>
      <w:r>
        <w:t xml:space="preserve">are</w:t>
      </w:r>
      <w:r>
        <w:t xml:space="preserve"> </w:t>
      </w:r>
      <w:r>
        <w:rPr>
          <w:b/>
          <w:bCs/>
        </w:rPr>
        <w:t xml:space="preserve">“important entities”</w:t>
      </w:r>
      <w:r>
        <w:t xml:space="preserve"> </w:t>
      </w:r>
      <w:r>
        <w:t xml:space="preserve">under</w:t>
      </w:r>
      <w:r>
        <w:t xml:space="preserve"> </w:t>
      </w:r>
      <w:r>
        <w:rPr>
          <w:b/>
          <w:bCs/>
        </w:rPr>
        <w:t xml:space="preserve">Article 3(2)</w:t>
      </w:r>
      <w:r>
        <w:t xml:space="preserve">. (</w:t>
      </w:r>
      <w:hyperlink r:id="rId48">
        <w:r>
          <w:rPr>
            <w:rStyle w:val="Hyperlink"/>
          </w:rPr>
          <w:t xml:space="preserve">EUR-Lex</w:t>
        </w:r>
      </w:hyperlink>
      <w:r>
        <w:t xml:space="preserve">)</w:t>
      </w:r>
    </w:p>
    <w:bookmarkEnd w:id="69"/>
    <w:bookmarkStart w:id="70" w:name="exact-legal-regulatory-criteria"/>
    <w:p>
      <w:pPr>
        <w:pStyle w:val="Heading2"/>
      </w:pPr>
      <w:r>
        <w:rPr>
          <w:b/>
          <w:bCs/>
        </w:rPr>
        <w:t xml:space="preserve">Exact legal / regulatory criteria</w:t>
      </w:r>
    </w:p>
    <w:bookmarkEnd w:id="70"/>
    <w:bookmarkStart w:id="71" w:name="Xffdd3a48752ba1bddcba2824f27b0eb902fd9e3"/>
    <w:p>
      <w:pPr>
        <w:pStyle w:val="Heading2"/>
      </w:pPr>
      <w:r>
        <w:rPr>
          <w:b/>
          <w:bCs/>
        </w:rPr>
        <w:t xml:space="preserve">Step 1 — Is the entity in an Annex I or Annex II type?</w:t>
      </w:r>
    </w:p>
    <w:p>
      <w:pPr>
        <w:pStyle w:val="FirstParagraph"/>
      </w:pPr>
      <w:r>
        <w:t xml:space="preserve">NIS2 applies to</w:t>
      </w:r>
      <w:r>
        <w:t xml:space="preserve"> </w:t>
      </w:r>
      <w:r>
        <w:rPr>
          <w:b/>
          <w:bCs/>
        </w:rPr>
        <w:t xml:space="preserve">public or private entities of a type referred to in Annex I or II</w:t>
      </w:r>
      <w:r>
        <w:t xml:space="preserve"> </w:t>
      </w:r>
      <w:r>
        <w:t xml:space="preserve">(subject to the scope rules below). (</w:t>
      </w:r>
      <w:hyperlink r:id="rId48">
        <w:r>
          <w:rPr>
            <w:rStyle w:val="Hyperlink"/>
          </w:rPr>
          <w:t xml:space="preserve">EUR-Lex</w:t>
        </w:r>
      </w:hyperlink>
      <w:r>
        <w:t xml:space="preserve">)</w:t>
      </w:r>
    </w:p>
    <w:bookmarkEnd w:id="71"/>
    <w:bookmarkStart w:id="72" w:name="X5391f7824a6a9d70219ed82b7796efeede396e4"/>
    <w:p>
      <w:pPr>
        <w:pStyle w:val="Heading2"/>
      </w:pPr>
      <w:r>
        <w:rPr>
          <w:b/>
          <w:bCs/>
        </w:rPr>
        <w:t xml:space="preserve">Step 2 — Size-based scope rule (default rule)</w:t>
      </w:r>
    </w:p>
    <w:p>
      <w:pPr>
        <w:pStyle w:val="FirstParagraph"/>
      </w:pPr>
      <w:r>
        <w:t xml:space="preserve">By default, NIS2 applies to Annex I / Annex II entities that</w:t>
      </w:r>
      <w:r>
        <w:t xml:space="preserve"> </w:t>
      </w:r>
      <w:r>
        <w:rPr>
          <w:b/>
          <w:bCs/>
        </w:rPr>
        <w:t xml:space="preserve">qualify as medium-sized enterprises</w:t>
      </w:r>
      <w:r>
        <w:t xml:space="preserve"> </w:t>
      </w:r>
      <w:r>
        <w:t xml:space="preserve">(per EU SME Recommendation)</w:t>
      </w:r>
      <w:r>
        <w:t xml:space="preserve"> </w:t>
      </w:r>
      <w:r>
        <w:rPr>
          <w:b/>
          <w:bCs/>
        </w:rPr>
        <w:t xml:space="preserve">or exceed the medium-sized ceilings</w:t>
      </w:r>
      <w:r>
        <w:t xml:space="preserve">, and that provide services/carry out activities in the Union. (</w:t>
      </w:r>
      <w:hyperlink r:id="rId48">
        <w:r>
          <w:rPr>
            <w:rStyle w:val="Hyperlink"/>
          </w:rPr>
          <w:t xml:space="preserve">EUR-Lex</w:t>
        </w:r>
      </w:hyperlink>
      <w:r>
        <w:t xml:space="preserve">)</w:t>
      </w:r>
    </w:p>
    <w:bookmarkEnd w:id="72"/>
    <w:bookmarkStart w:id="73" w:name="Xd71178c39f59802aede37599e4fcd973c90d1a2"/>
    <w:p>
      <w:pPr>
        <w:pStyle w:val="Heading2"/>
      </w:pPr>
      <w:r>
        <w:rPr>
          <w:b/>
          <w:bCs/>
        </w:rPr>
        <w:t xml:space="preserve">Step 3 — “Regardless of size” triggers (explicit in Article 2(2)–(4))</w:t>
      </w:r>
    </w:p>
    <w:p>
      <w:pPr>
        <w:pStyle w:val="FirstParagraph"/>
      </w:pPr>
      <w:r>
        <w:t xml:space="preserve">Even if below the medium-sized threshold, the Directive</w:t>
      </w:r>
      <w:r>
        <w:t xml:space="preserve"> </w:t>
      </w:r>
      <w:r>
        <w:rPr>
          <w:b/>
          <w:bCs/>
        </w:rPr>
        <w:t xml:space="preserve">also applies regardless of size</w:t>
      </w:r>
      <w:r>
        <w:t xml:space="preserve"> </w:t>
      </w:r>
      <w:r>
        <w:t xml:space="preserve">to Annex I/II entities where (among others):</w:t>
      </w:r>
    </w:p>
    <w:p>
      <w:pPr>
        <w:pStyle w:val="Compact"/>
        <w:numPr>
          <w:ilvl w:val="0"/>
          <w:numId w:val="1039"/>
        </w:numPr>
      </w:pPr>
      <w:r>
        <w:t xml:space="preserve">the entity is the</w:t>
      </w:r>
      <w:r>
        <w:t xml:space="preserve"> </w:t>
      </w:r>
      <w:r>
        <w:rPr>
          <w:b/>
          <w:bCs/>
        </w:rPr>
        <w:t xml:space="preserve">sole provider</w:t>
      </w:r>
      <w:r>
        <w:t xml:space="preserve"> </w:t>
      </w:r>
      <w:r>
        <w:t xml:space="preserve">in a Member State of an essential service,</w:t>
      </w:r>
      <w:r>
        <w:t xml:space="preserve"> </w:t>
      </w:r>
      <w:r>
        <w:rPr>
          <w:b/>
          <w:bCs/>
        </w:rPr>
        <w:t xml:space="preserve">or</w:t>
      </w:r>
    </w:p>
    <w:p>
      <w:pPr>
        <w:pStyle w:val="Compact"/>
        <w:numPr>
          <w:ilvl w:val="0"/>
          <w:numId w:val="1039"/>
        </w:numPr>
      </w:pPr>
      <w:r>
        <w:t xml:space="preserve">disruption could have a</w:t>
      </w:r>
      <w:r>
        <w:t xml:space="preserve"> </w:t>
      </w:r>
      <w:r>
        <w:rPr>
          <w:b/>
          <w:bCs/>
        </w:rPr>
        <w:t xml:space="preserve">significant impact</w:t>
      </w:r>
      <w:r>
        <w:t xml:space="preserve"> </w:t>
      </w:r>
      <w:r>
        <w:t xml:space="preserve">on</w:t>
      </w:r>
      <w:r>
        <w:t xml:space="preserve"> </w:t>
      </w:r>
      <w:r>
        <w:rPr>
          <w:b/>
          <w:bCs/>
        </w:rPr>
        <w:t xml:space="preserve">public safety / public security / public health</w:t>
      </w:r>
      <w:r>
        <w:t xml:space="preserve">,</w:t>
      </w:r>
      <w:r>
        <w:t xml:space="preserve"> </w:t>
      </w:r>
      <w:r>
        <w:rPr>
          <w:b/>
          <w:bCs/>
        </w:rPr>
        <w:t xml:space="preserve">or</w:t>
      </w:r>
    </w:p>
    <w:p>
      <w:pPr>
        <w:pStyle w:val="Compact"/>
        <w:numPr>
          <w:ilvl w:val="0"/>
          <w:numId w:val="1039"/>
        </w:numPr>
      </w:pPr>
      <w:r>
        <w:t xml:space="preserve">disruption could induce a</w:t>
      </w:r>
      <w:r>
        <w:t xml:space="preserve"> </w:t>
      </w:r>
      <w:r>
        <w:rPr>
          <w:b/>
          <w:bCs/>
        </w:rPr>
        <w:t xml:space="preserve">significant systemic risk</w:t>
      </w:r>
      <w:r>
        <w:t xml:space="preserve"> </w:t>
      </w:r>
      <w:r>
        <w:t xml:space="preserve">(including cross-border impact),</w:t>
      </w:r>
      <w:r>
        <w:t xml:space="preserve"> </w:t>
      </w:r>
      <w:r>
        <w:rPr>
          <w:b/>
          <w:bCs/>
        </w:rPr>
        <w:t xml:space="preserve">or</w:t>
      </w:r>
    </w:p>
    <w:p>
      <w:pPr>
        <w:pStyle w:val="Compact"/>
        <w:numPr>
          <w:ilvl w:val="0"/>
          <w:numId w:val="1039"/>
        </w:numPr>
      </w:pPr>
      <w:r>
        <w:t xml:space="preserve">the entity is critical due to</w:t>
      </w:r>
      <w:r>
        <w:t xml:space="preserve"> </w:t>
      </w:r>
      <w:r>
        <w:rPr>
          <w:b/>
          <w:bCs/>
        </w:rPr>
        <w:t xml:space="preserve">specific importance at national/regional level</w:t>
      </w:r>
      <w:r>
        <w:t xml:space="preserve"> </w:t>
      </w:r>
      <w:r>
        <w:t xml:space="preserve">for a sector/service or interdependent sectors. (</w:t>
      </w:r>
      <w:hyperlink r:id="rId48">
        <w:r>
          <w:rPr>
            <w:rStyle w:val="Hyperlink"/>
          </w:rPr>
          <w:t xml:space="preserve">EUR-Lex</w:t>
        </w:r>
      </w:hyperlink>
      <w:r>
        <w:t xml:space="preserve">)</w:t>
      </w:r>
    </w:p>
    <w:p>
      <w:pPr>
        <w:pStyle w:val="FirstParagraph"/>
      </w:pPr>
      <w:r>
        <w:t xml:space="preserve">Also:</w:t>
      </w:r>
      <w:r>
        <w:t xml:space="preserve"> </w:t>
      </w:r>
      <w:r>
        <w:rPr>
          <w:b/>
          <w:bCs/>
        </w:rPr>
        <w:t xml:space="preserve">entities identified as critical entities under Directive (EU) 2022/2557</w:t>
      </w:r>
      <w:r>
        <w:t xml:space="preserve"> </w:t>
      </w:r>
      <w:r>
        <w:t xml:space="preserve">fall within scope regardless of size (Article 2(3)). (</w:t>
      </w:r>
      <w:hyperlink r:id="rId48">
        <w:r>
          <w:rPr>
            <w:rStyle w:val="Hyperlink"/>
          </w:rPr>
          <w:t xml:space="preserve">EUR-Lex</w:t>
        </w:r>
      </w:hyperlink>
      <w:r>
        <w:t xml:space="preserve">)</w:t>
      </w:r>
    </w:p>
    <w:bookmarkEnd w:id="73"/>
    <w:bookmarkStart w:id="74" w:name="X854a4352f0bee42423459f35a568a7b9b1e77b8"/>
    <w:p>
      <w:pPr>
        <w:pStyle w:val="Heading2"/>
      </w:pPr>
      <w:r>
        <w:rPr>
          <w:b/>
          <w:bCs/>
        </w:rPr>
        <w:t xml:space="preserve">Step 4 — Essential vs Important classification (Article 3)</w:t>
      </w:r>
    </w:p>
    <w:p>
      <w:pPr>
        <w:pStyle w:val="Compact"/>
        <w:numPr>
          <w:ilvl w:val="0"/>
          <w:numId w:val="1040"/>
        </w:numPr>
      </w:pPr>
      <w:r>
        <w:rPr>
          <w:b/>
          <w:bCs/>
        </w:rPr>
        <w:t xml:space="preserve">Essential</w:t>
      </w:r>
      <w:r>
        <w:t xml:space="preserve"> </w:t>
      </w:r>
      <w:r>
        <w:t xml:space="preserve">includes (a)</w:t>
      </w:r>
      <w:r>
        <w:t xml:space="preserve"> </w:t>
      </w:r>
      <w:r>
        <w:rPr>
          <w:b/>
          <w:bCs/>
        </w:rPr>
        <w:t xml:space="preserve">Annex I</w:t>
      </w:r>
      <w:r>
        <w:t xml:space="preserve"> </w:t>
      </w:r>
      <w:r>
        <w:t xml:space="preserve">entities that exceed the medium-size ceilings, plus other listed categories (and Member State identifications under Article 2(2)(b)–(e)). (</w:t>
      </w:r>
      <w:hyperlink r:id="rId48">
        <w:r>
          <w:rPr>
            <w:rStyle w:val="Hyperlink"/>
          </w:rPr>
          <w:t xml:space="preserve">EUR-Lex</w:t>
        </w:r>
      </w:hyperlink>
      <w:r>
        <w:t xml:space="preserve">)</w:t>
      </w:r>
    </w:p>
    <w:p>
      <w:pPr>
        <w:pStyle w:val="Compact"/>
        <w:numPr>
          <w:ilvl w:val="0"/>
          <w:numId w:val="1040"/>
        </w:numPr>
      </w:pPr>
      <w:r>
        <w:rPr>
          <w:b/>
          <w:bCs/>
        </w:rPr>
        <w:t xml:space="preserve">Important</w:t>
      </w:r>
      <w:r>
        <w:t xml:space="preserve"> </w:t>
      </w:r>
      <w:r>
        <w:t xml:space="preserve">= Annex I/II entities that are in scope but</w:t>
      </w:r>
      <w:r>
        <w:t xml:space="preserve"> </w:t>
      </w:r>
      <w:r>
        <w:rPr>
          <w:b/>
          <w:bCs/>
        </w:rPr>
        <w:t xml:space="preserve">do not qualify as essential</w:t>
      </w:r>
      <w:r>
        <w:t xml:space="preserve">. (</w:t>
      </w:r>
      <w:hyperlink r:id="rId48">
        <w:r>
          <w:rPr>
            <w:rStyle w:val="Hyperlink"/>
          </w:rPr>
          <w:t xml:space="preserve">EUR-Lex</w:t>
        </w:r>
      </w:hyperlink>
      <w:r>
        <w:t xml:space="preserve">)</w:t>
      </w:r>
    </w:p>
    <w:bookmarkEnd w:id="74"/>
    <w:bookmarkStart w:id="75" w:name="health-sector-coverage"/>
    <w:p>
      <w:pPr>
        <w:pStyle w:val="Heading2"/>
      </w:pPr>
      <w:r>
        <w:rPr>
          <w:b/>
          <w:bCs/>
        </w:rPr>
        <w:t xml:space="preserve">Health sector coverage</w:t>
      </w:r>
    </w:p>
    <w:bookmarkEnd w:id="75"/>
    <w:bookmarkStart w:id="76" w:name="annex-i-essential-sector-types-health"/>
    <w:p>
      <w:pPr>
        <w:pStyle w:val="Heading2"/>
      </w:pPr>
      <w:r>
        <w:rPr>
          <w:b/>
          <w:bCs/>
        </w:rPr>
        <w:t xml:space="preserve">Annex I (Essential-sector types) — Health</w:t>
      </w:r>
    </w:p>
    <w:p>
      <w:pPr>
        <w:pStyle w:val="FirstParagraph"/>
      </w:pPr>
      <w:r>
        <w:t xml:space="preserve">Annex I includes a</w:t>
      </w:r>
      <w:r>
        <w:t xml:space="preserve"> </w:t>
      </w:r>
      <w:r>
        <w:rPr>
          <w:b/>
          <w:bCs/>
        </w:rPr>
        <w:t xml:space="preserve">Health</w:t>
      </w:r>
      <w:r>
        <w:t xml:space="preserve"> </w:t>
      </w:r>
      <w:r>
        <w:t xml:space="preserve">sector with:</w:t>
      </w:r>
      <w:r>
        <w:t xml:space="preserve"> </w:t>
      </w:r>
      <w:r>
        <w:t xml:space="preserve">*</w:t>
      </w:r>
      <w:r>
        <w:t xml:space="preserve"> </w:t>
      </w:r>
      <w:r>
        <w:rPr>
          <w:b/>
          <w:bCs/>
        </w:rPr>
        <w:t xml:space="preserve">Health care providers</w:t>
      </w:r>
      <w:r>
        <w:t xml:space="preserve">, and</w:t>
      </w:r>
      <w:r>
        <w:t xml:space="preserve"> </w:t>
      </w:r>
      <w:r>
        <w:t xml:space="preserve">*</w:t>
      </w:r>
      <w:r>
        <w:t xml:space="preserve"> </w:t>
      </w:r>
      <w:r>
        <w:rPr>
          <w:b/>
          <w:bCs/>
        </w:rPr>
        <w:t xml:space="preserve">EU reference laboratories</w:t>
      </w:r>
      <w:r>
        <w:t xml:space="preserve">. (</w:t>
      </w:r>
      <w:hyperlink r:id="rId48">
        <w:r>
          <w:rPr>
            <w:rStyle w:val="Hyperlink"/>
          </w:rPr>
          <w:t xml:space="preserve">EUR-Lex</w:t>
        </w:r>
      </w:hyperlink>
      <w:r>
        <w:t xml:space="preserve">)</w:t>
      </w:r>
    </w:p>
    <w:bookmarkEnd w:id="76"/>
    <w:bookmarkStart w:id="77" w:name="X5aec389d9afed592eb4d6d6fee00eeb9d61ac8c"/>
    <w:p>
      <w:pPr>
        <w:pStyle w:val="Heading2"/>
      </w:pPr>
      <w:r>
        <w:rPr>
          <w:b/>
          <w:bCs/>
        </w:rPr>
        <w:t xml:space="preserve">Annex II (Important-sector types) — Health-adjacent manufacturing</w:t>
      </w:r>
    </w:p>
    <w:p>
      <w:pPr>
        <w:pStyle w:val="FirstParagraph"/>
      </w:pPr>
      <w:r>
        <w:t xml:space="preserve">Annex II includes manufacturing categories that cover (among others):</w:t>
      </w:r>
    </w:p>
    <w:p>
      <w:pPr>
        <w:pStyle w:val="Compact"/>
        <w:numPr>
          <w:ilvl w:val="0"/>
          <w:numId w:val="1041"/>
        </w:numPr>
      </w:pPr>
      <w:r>
        <w:rPr>
          <w:b/>
          <w:bCs/>
        </w:rPr>
        <w:t xml:space="preserve">medical devices</w:t>
      </w:r>
      <w:r>
        <w:t xml:space="preserve">,</w:t>
      </w:r>
    </w:p>
    <w:p>
      <w:pPr>
        <w:pStyle w:val="Compact"/>
        <w:numPr>
          <w:ilvl w:val="0"/>
          <w:numId w:val="1041"/>
        </w:numPr>
      </w:pPr>
      <w:r>
        <w:rPr>
          <w:b/>
          <w:bCs/>
        </w:rPr>
        <w:t xml:space="preserve">in vitro diagnostic medical devices</w:t>
      </w:r>
      <w:r>
        <w:t xml:space="preserve">, and</w:t>
      </w:r>
    </w:p>
    <w:p>
      <w:pPr>
        <w:pStyle w:val="Compact"/>
        <w:numPr>
          <w:ilvl w:val="0"/>
          <w:numId w:val="1041"/>
        </w:numPr>
      </w:pPr>
      <w:r>
        <w:rPr>
          <w:b/>
          <w:bCs/>
        </w:rPr>
        <w:t xml:space="preserve">medicinal products</w:t>
      </w:r>
      <w:r>
        <w:t xml:space="preserve">. (</w:t>
      </w:r>
      <w:hyperlink r:id="rId48">
        <w:r>
          <w:rPr>
            <w:rStyle w:val="Hyperlink"/>
          </w:rPr>
          <w:t xml:space="preserve">EUR-Lex</w:t>
        </w:r>
      </w:hyperlink>
      <w:r>
        <w:t xml:space="preserve">)</w:t>
      </w:r>
    </w:p>
    <w:p>
      <w:pPr>
        <w:pStyle w:val="BlockText"/>
      </w:pPr>
      <w:r>
        <w:rPr>
          <w:b/>
          <w:bCs/>
        </w:rPr>
        <w:t xml:space="preserve">Interpretation (explicitly marked):</w:t>
      </w:r>
      <w:r>
        <w:t xml:space="preserve"> </w:t>
      </w:r>
      <w:r>
        <w:t xml:space="preserve">NIS2’s legal “final categories” are</w:t>
      </w:r>
      <w:r>
        <w:t xml:space="preserve"> </w:t>
      </w:r>
      <w:r>
        <w:rPr>
          <w:b/>
          <w:bCs/>
        </w:rPr>
        <w:t xml:space="preserve">entity categories</w:t>
      </w:r>
      <w:r>
        <w:t xml:space="preserve"> </w:t>
      </w:r>
      <w:r>
        <w:t xml:space="preserve">(essential/important). It does</w:t>
      </w:r>
      <w:r>
        <w:t xml:space="preserve"> </w:t>
      </w:r>
      <w:r>
        <w:rPr>
          <w:b/>
          <w:bCs/>
        </w:rPr>
        <w:t xml:space="preserve">not</w:t>
      </w:r>
      <w:r>
        <w:t xml:space="preserve"> </w:t>
      </w:r>
      <w:r>
        <w:t xml:space="preserve">itself publish a list of “critical systems” in healthcare; instead it places obligations on the</w:t>
      </w:r>
      <w:r>
        <w:t xml:space="preserve"> </w:t>
      </w:r>
      <w:r>
        <w:rPr>
          <w:b/>
          <w:bCs/>
        </w:rPr>
        <w:t xml:space="preserve">in-scope entity</w:t>
      </w:r>
      <w:r>
        <w:t xml:space="preserve">, and those obligations practically attach to the network &amp; information systems used to provide the covered services.</w:t>
      </w:r>
    </w:p>
    <w:bookmarkEnd w:id="77"/>
    <w:bookmarkStart w:id="78" w:name="grading-tiering-schemes"/>
    <w:p>
      <w:pPr>
        <w:pStyle w:val="Heading2"/>
      </w:pPr>
      <w:r>
        <w:rPr>
          <w:b/>
          <w:bCs/>
        </w:rPr>
        <w:t xml:space="preserve">Grading / tiering schemes</w:t>
      </w:r>
    </w:p>
    <w:p>
      <w:pPr>
        <w:pStyle w:val="FirstParagraph"/>
      </w:pPr>
      <w:r>
        <w:t xml:space="preserve">NIS2’s formal structure is a</w:t>
      </w:r>
      <w:r>
        <w:t xml:space="preserve"> </w:t>
      </w:r>
      <w:r>
        <w:rPr>
          <w:b/>
          <w:bCs/>
        </w:rPr>
        <w:t xml:space="preserve">two-tier classification</w:t>
      </w:r>
      <w:r>
        <w:t xml:space="preserve">:</w:t>
      </w:r>
      <w:r>
        <w:t xml:space="preserve"> </w:t>
      </w:r>
      <w:r>
        <w:rPr>
          <w:b/>
          <w:bCs/>
        </w:rPr>
        <w:t xml:space="preserve">Essential</w:t>
      </w:r>
      <w:r>
        <w:t xml:space="preserve"> </w:t>
      </w:r>
      <w:r>
        <w:t xml:space="preserve">vs</w:t>
      </w:r>
      <w:r>
        <w:t xml:space="preserve"> </w:t>
      </w:r>
      <w:r>
        <w:rPr>
          <w:b/>
          <w:bCs/>
        </w:rPr>
        <w:t xml:space="preserve">Important</w:t>
      </w:r>
      <w:r>
        <w:t xml:space="preserve">. (</w:t>
      </w:r>
      <w:hyperlink r:id="rId48">
        <w:r>
          <w:rPr>
            <w:rStyle w:val="Hyperlink"/>
          </w:rPr>
          <w:t xml:space="preserve">EUR-Lex</w:t>
        </w:r>
      </w:hyperlink>
      <w:r>
        <w:t xml:space="preserve">)</w:t>
      </w:r>
      <w:r>
        <w:t xml:space="preserve"> </w:t>
      </w:r>
      <w:r>
        <w:t xml:space="preserve">It also contains</w:t>
      </w:r>
      <w:r>
        <w:t xml:space="preserve"> </w:t>
      </w:r>
      <w:r>
        <w:rPr>
          <w:b/>
          <w:bCs/>
        </w:rPr>
        <w:t xml:space="preserve">explicit “regardless of size” inclusion tests</w:t>
      </w:r>
      <w:r>
        <w:t xml:space="preserve"> </w:t>
      </w:r>
      <w:r>
        <w:t xml:space="preserve">(sole provider / public health impact / systemic risk / special national or regional importance), which function as legal “criticality overrides” for inclusion in scope. (</w:t>
      </w:r>
      <w:hyperlink r:id="rId48">
        <w:r>
          <w:rPr>
            <w:rStyle w:val="Hyperlink"/>
          </w:rPr>
          <w:t xml:space="preserve">EUR-Lex</w:t>
        </w:r>
      </w:hyperlink>
      <w:r>
        <w:t xml:space="preserve">)</w:t>
      </w:r>
    </w:p>
    <w:bookmarkEnd w:id="78"/>
    <w:bookmarkStart w:id="79" w:name="X5e5020af02d894ec38e126be41ae73d4e72acc1"/>
    <w:p>
      <w:pPr>
        <w:pStyle w:val="Heading2"/>
      </w:pPr>
      <w:r>
        <w:rPr>
          <w:b/>
          <w:bCs/>
        </w:rPr>
        <w:t xml:space="preserve">Incident reporting (exact timings in the Directive)</w:t>
      </w:r>
    </w:p>
    <w:p>
      <w:pPr>
        <w:pStyle w:val="FirstParagraph"/>
      </w:pPr>
      <w:r>
        <w:t xml:space="preserve">For</w:t>
      </w:r>
      <w:r>
        <w:t xml:space="preserve"> </w:t>
      </w:r>
      <w:r>
        <w:rPr>
          <w:b/>
          <w:bCs/>
        </w:rPr>
        <w:t xml:space="preserve">significant incidents</w:t>
      </w:r>
      <w:r>
        <w:t xml:space="preserve">, Member States must ensure entities submit:</w:t>
      </w:r>
    </w:p>
    <w:p>
      <w:pPr>
        <w:pStyle w:val="Compact"/>
        <w:numPr>
          <w:ilvl w:val="0"/>
          <w:numId w:val="1042"/>
        </w:numPr>
      </w:pPr>
      <w:r>
        <w:rPr>
          <w:b/>
          <w:bCs/>
        </w:rPr>
        <w:t xml:space="preserve">Early warning</w:t>
      </w:r>
      <w:r>
        <w:t xml:space="preserve">:</w:t>
      </w:r>
      <w:r>
        <w:t xml:space="preserve"> </w:t>
      </w:r>
      <w:r>
        <w:rPr>
          <w:b/>
          <w:bCs/>
        </w:rPr>
        <w:t xml:space="preserve">within 24 hours</w:t>
      </w:r>
      <w:r>
        <w:t xml:space="preserve"> </w:t>
      </w:r>
      <w:r>
        <w:t xml:space="preserve">of becoming aware. (</w:t>
      </w:r>
      <w:hyperlink r:id="rId48">
        <w:r>
          <w:rPr>
            <w:rStyle w:val="Hyperlink"/>
          </w:rPr>
          <w:t xml:space="preserve">EUR-Lex</w:t>
        </w:r>
      </w:hyperlink>
      <w:r>
        <w:t xml:space="preserve">)</w:t>
      </w:r>
    </w:p>
    <w:p>
      <w:pPr>
        <w:pStyle w:val="Compact"/>
        <w:numPr>
          <w:ilvl w:val="0"/>
          <w:numId w:val="1042"/>
        </w:numPr>
      </w:pPr>
      <w:r>
        <w:rPr>
          <w:b/>
          <w:bCs/>
        </w:rPr>
        <w:t xml:space="preserve">Incident notification</w:t>
      </w:r>
      <w:r>
        <w:t xml:space="preserve">:</w:t>
      </w:r>
      <w:r>
        <w:t xml:space="preserve"> </w:t>
      </w:r>
      <w:r>
        <w:rPr>
          <w:b/>
          <w:bCs/>
        </w:rPr>
        <w:t xml:space="preserve">within 72 hours</w:t>
      </w:r>
      <w:r>
        <w:t xml:space="preserve"> </w:t>
      </w:r>
      <w:r>
        <w:t xml:space="preserve">of becoming aware. (</w:t>
      </w:r>
      <w:hyperlink r:id="rId48">
        <w:r>
          <w:rPr>
            <w:rStyle w:val="Hyperlink"/>
          </w:rPr>
          <w:t xml:space="preserve">EUR-Lex</w:t>
        </w:r>
      </w:hyperlink>
      <w:r>
        <w:t xml:space="preserve">)</w:t>
      </w:r>
    </w:p>
    <w:p>
      <w:pPr>
        <w:pStyle w:val="Compact"/>
        <w:numPr>
          <w:ilvl w:val="0"/>
          <w:numId w:val="1042"/>
        </w:numPr>
      </w:pPr>
      <w:r>
        <w:rPr>
          <w:b/>
          <w:bCs/>
        </w:rPr>
        <w:t xml:space="preserve">Final report</w:t>
      </w:r>
      <w:r>
        <w:t xml:space="preserve">:</w:t>
      </w:r>
      <w:r>
        <w:t xml:space="preserve"> </w:t>
      </w:r>
      <w:r>
        <w:rPr>
          <w:b/>
          <w:bCs/>
        </w:rPr>
        <w:t xml:space="preserve">no later than one month</w:t>
      </w:r>
      <w:r>
        <w:t xml:space="preserve"> </w:t>
      </w:r>
      <w:r>
        <w:t xml:space="preserve">after the incident notification (with additional progress/final timing for ongoing incidents). (</w:t>
      </w:r>
      <w:hyperlink r:id="rId48">
        <w:r>
          <w:rPr>
            <w:rStyle w:val="Hyperlink"/>
          </w:rPr>
          <w:t xml:space="preserve">EUR-Lex</w:t>
        </w:r>
      </w:hyperlink>
      <w:r>
        <w:t xml:space="preserve">)</w:t>
      </w:r>
    </w:p>
    <w:p>
      <w:pPr>
        <w:pStyle w:val="FirstParagraph"/>
      </w:pPr>
      <w:r>
        <w:t xml:space="preserve">NIS2 also contains a clause allowing authorities, after consulting the entity, to</w:t>
      </w:r>
      <w:r>
        <w:t xml:space="preserve"> </w:t>
      </w:r>
      <w:r>
        <w:rPr>
          <w:b/>
          <w:bCs/>
        </w:rPr>
        <w:t xml:space="preserve">inform the public</w:t>
      </w:r>
      <w:r>
        <w:t xml:space="preserve"> </w:t>
      </w:r>
      <w:r>
        <w:t xml:space="preserve">or require the entity to do so where public awareness is necessary / in the public interest. (</w:t>
      </w:r>
      <w:hyperlink r:id="rId48">
        <w:r>
          <w:rPr>
            <w:rStyle w:val="Hyperlink"/>
          </w:rPr>
          <w:t xml:space="preserve">EUR-Lex</w:t>
        </w:r>
      </w:hyperlink>
      <w:r>
        <w:t xml:space="preserve">)</w:t>
      </w:r>
    </w:p>
    <w:bookmarkEnd w:id="79"/>
    <w:bookmarkStart w:id="80" w:name="X2306256eb34684af1ced2ff16267579bbd59fcc"/>
    <w:p>
      <w:pPr>
        <w:pStyle w:val="Heading2"/>
      </w:pPr>
      <w:r>
        <w:rPr>
          <w:b/>
          <w:bCs/>
        </w:rPr>
        <w:t xml:space="preserve">Lists and transparency (what is mandated vs not mandated)</w:t>
      </w:r>
    </w:p>
    <w:bookmarkEnd w:id="80"/>
    <w:bookmarkStart w:id="81" w:name="list-requirement-mandated"/>
    <w:p>
      <w:pPr>
        <w:pStyle w:val="Heading2"/>
      </w:pPr>
      <w:r>
        <w:rPr>
          <w:b/>
          <w:bCs/>
        </w:rPr>
        <w:t xml:space="preserve">List requirement (mandated)</w:t>
      </w:r>
    </w:p>
    <w:p>
      <w:pPr>
        <w:pStyle w:val="FirstParagraph"/>
      </w:pPr>
      <w:r>
        <w:t xml:space="preserve">By</w:t>
      </w:r>
      <w:r>
        <w:t xml:space="preserve"> </w:t>
      </w:r>
      <w:r>
        <w:rPr>
          <w:b/>
          <w:bCs/>
        </w:rPr>
        <w:t xml:space="preserve">17 April 2025</w:t>
      </w:r>
      <w:r>
        <w:t xml:space="preserve">, Member States must</w:t>
      </w:r>
      <w:r>
        <w:t xml:space="preserve"> </w:t>
      </w:r>
      <w:r>
        <w:rPr>
          <w:b/>
          <w:bCs/>
        </w:rPr>
        <w:t xml:space="preserve">establish a list</w:t>
      </w:r>
      <w:r>
        <w:t xml:space="preserve"> </w:t>
      </w:r>
      <w:r>
        <w:t xml:space="preserve">of essential and important entities (and review/update at least every two years). (</w:t>
      </w:r>
      <w:hyperlink r:id="rId48">
        <w:r>
          <w:rPr>
            <w:rStyle w:val="Hyperlink"/>
          </w:rPr>
          <w:t xml:space="preserve">EUR-Lex</w:t>
        </w:r>
      </w:hyperlink>
      <w:r>
        <w:t xml:space="preserve">)</w:t>
      </w:r>
      <w:r>
        <w:t xml:space="preserve"> </w:t>
      </w:r>
      <w:r>
        <w:t xml:space="preserve">Entities must submit minimum identifying information (name, address/contact, sector/subsector, Member States where services are provided). (</w:t>
      </w:r>
      <w:hyperlink r:id="rId48">
        <w:r>
          <w:rPr>
            <w:rStyle w:val="Hyperlink"/>
          </w:rPr>
          <w:t xml:space="preserve">EUR-Lex</w:t>
        </w:r>
      </w:hyperlink>
      <w:r>
        <w:t xml:space="preserve">)</w:t>
      </w:r>
    </w:p>
    <w:bookmarkEnd w:id="81"/>
    <w:bookmarkStart w:id="82" w:name="Xd067785d0fe380d0bec469c6572859b30d75f5e"/>
    <w:p>
      <w:pPr>
        <w:pStyle w:val="Heading2"/>
      </w:pPr>
      <w:r>
        <w:rPr>
          <w:b/>
          <w:bCs/>
        </w:rPr>
        <w:t xml:space="preserve">Publication of the list (not mandated in the text shown)</w:t>
      </w:r>
    </w:p>
    <w:p>
      <w:pPr>
        <w:pStyle w:val="FirstParagraph"/>
      </w:pPr>
      <w:r>
        <w:t xml:space="preserve">In the provisions cited above, NIS2</w:t>
      </w:r>
      <w:r>
        <w:t xml:space="preserve"> </w:t>
      </w:r>
      <w:r>
        <w:rPr>
          <w:b/>
          <w:bCs/>
        </w:rPr>
        <w:t xml:space="preserve">requires a list to exist</w:t>
      </w:r>
      <w:r>
        <w:t xml:space="preserve"> </w:t>
      </w:r>
      <w:r>
        <w:t xml:space="preserve">and prescribes information flows (including statistical reporting to the Commission), but it does</w:t>
      </w:r>
      <w:r>
        <w:t xml:space="preserve"> </w:t>
      </w:r>
      <w:r>
        <w:rPr>
          <w:b/>
          <w:bCs/>
        </w:rPr>
        <w:t xml:space="preserve">not</w:t>
      </w:r>
      <w:r>
        <w:t xml:space="preserve"> </w:t>
      </w:r>
      <w:r>
        <w:t xml:space="preserve">state that Member States must publish a public registry. (</w:t>
      </w:r>
      <w:hyperlink r:id="rId48">
        <w:r>
          <w:rPr>
            <w:rStyle w:val="Hyperlink"/>
          </w:rPr>
          <w:t xml:space="preserve">EUR-Lex</w:t>
        </w:r>
      </w:hyperlink>
      <w:r>
        <w:t xml:space="preserve">)</w:t>
      </w:r>
      <w:r>
        <w:t xml:space="preserve"> </w:t>
      </w:r>
      <w:r>
        <w:t xml:space="preserve">It also explicitly addresses confidentiality constraints on information exchange (confidential business information, etc.). (</w:t>
      </w:r>
      <w:hyperlink r:id="rId48">
        <w:r>
          <w:rPr>
            <w:rStyle w:val="Hyperlink"/>
          </w:rPr>
          <w:t xml:space="preserve">EUR-Lex</w:t>
        </w:r>
      </w:hyperlink>
      <w:r>
        <w:t xml:space="preserve">)</w:t>
      </w:r>
    </w:p>
    <w:bookmarkEnd w:id="82"/>
    <w:bookmarkStart w:id="83" w:name="X121dee177e35351475819dd3e069fed507a921f"/>
    <w:p>
      <w:pPr>
        <w:pStyle w:val="Heading2"/>
      </w:pPr>
      <w:r>
        <w:rPr>
          <w:b/>
          <w:bCs/>
        </w:rPr>
        <w:t xml:space="preserve">Interpretation: mapping to “health information systems most likely classified”</w:t>
      </w:r>
    </w:p>
    <w:p>
      <w:pPr>
        <w:pStyle w:val="FirstParagraph"/>
      </w:pPr>
      <w:r>
        <w:rPr>
          <w:i/>
          <w:iCs/>
        </w:rPr>
        <w:t xml:space="preserve">(These are examples to help operationalize the entity-scoped law; they are</w:t>
      </w:r>
      <w:r>
        <w:rPr>
          <w:i/>
          <w:iCs/>
        </w:rPr>
        <w:t xml:space="preserve"> </w:t>
      </w:r>
      <w:r>
        <w:rPr>
          <w:b/>
          <w:bCs/>
          <w:i/>
          <w:iCs/>
        </w:rPr>
        <w:t xml:space="preserve">not</w:t>
      </w:r>
      <w:r>
        <w:rPr>
          <w:i/>
          <w:iCs/>
        </w:rPr>
        <w:t xml:space="preserve"> </w:t>
      </w:r>
      <w:r>
        <w:rPr>
          <w:i/>
          <w:iCs/>
        </w:rPr>
        <w:t xml:space="preserve">lists from NIS2 itself.)</w:t>
      </w:r>
      <w:r>
        <w:t xml:space="preserve"> </w:t>
      </w:r>
      <w:r>
        <w:t xml:space="preserve">If a</w:t>
      </w:r>
      <w:r>
        <w:t xml:space="preserve"> </w:t>
      </w:r>
      <w:r>
        <w:rPr>
          <w:b/>
          <w:bCs/>
        </w:rPr>
        <w:t xml:space="preserve">hospital / clinic / health care provider</w:t>
      </w:r>
      <w:r>
        <w:t xml:space="preserve"> </w:t>
      </w:r>
      <w:r>
        <w:t xml:space="preserve">is in-scope as an essential/important entity, then systems typically implicated will include (as an operational matter): EHR/EMR platforms, PAS, ED/ICU/OR systems, LIS, RIS/PACS, pharmacy/medication systems, blood bank/transfusion systems, identity/access, and supporting infrastructure used to deliver the service.</w:t>
      </w:r>
      <w:r>
        <w:t xml:space="preserve"> </w:t>
      </w:r>
      <w:r>
        <w:t xml:space="preserve">If</w:t>
      </w:r>
      <w:r>
        <w:t xml:space="preserve"> </w:t>
      </w:r>
      <w:r>
        <w:rPr>
          <w:b/>
          <w:bCs/>
        </w:rPr>
        <w:t xml:space="preserve">EU reference laboratories</w:t>
      </w:r>
      <w:r>
        <w:t xml:space="preserve"> </w:t>
      </w:r>
      <w:r>
        <w:t xml:space="preserve">are in-scope, then their surveillance/diagnostic IT (e.g., LIMS and associated data flows) are the most obvious in-scope systems.</w:t>
      </w:r>
      <w:r>
        <w:t xml:space="preserve"> </w:t>
      </w:r>
      <w:r>
        <w:t xml:space="preserve">If</w:t>
      </w:r>
      <w:r>
        <w:t xml:space="preserve"> </w:t>
      </w:r>
      <w:r>
        <w:rPr>
          <w:b/>
          <w:bCs/>
        </w:rPr>
        <w:t xml:space="preserve">medical device / IVD / medicinal product manufacturers</w:t>
      </w:r>
      <w:r>
        <w:t xml:space="preserve"> </w:t>
      </w:r>
      <w:r>
        <w:t xml:space="preserve">are in-scope (Annex II), then manufacturing/quality systems and supporting enterprise IT used to produce/release products are the most obvious in-scope systems.</w:t>
      </w:r>
    </w:p>
    <w:bookmarkEnd w:id="83"/>
    <w:bookmarkStart w:id="84" w:name="references-european-union"/>
    <w:p>
      <w:pPr>
        <w:pStyle w:val="Heading2"/>
      </w:pPr>
      <w:r>
        <w:t xml:space="preserve">References (European Union)</w:t>
      </w:r>
    </w:p>
    <w:p>
      <w:pPr>
        <w:pStyle w:val="Compact"/>
        <w:numPr>
          <w:ilvl w:val="0"/>
          <w:numId w:val="1043"/>
        </w:numPr>
      </w:pPr>
      <w:r>
        <w:rPr>
          <w:b/>
          <w:bCs/>
        </w:rPr>
        <w:t xml:space="preserve">Directive (EU) 2022/2555 (NIS2 Directive)</w:t>
      </w:r>
      <w:r>
        <w:t xml:space="preserve"> </w:t>
      </w:r>
      <w:r>
        <w:t xml:space="preserve">— Official Journal of the European Union (EUR-Lex PDF). (</w:t>
      </w:r>
      <w:hyperlink r:id="rId48">
        <w:r>
          <w:rPr>
            <w:rStyle w:val="Hyperlink"/>
          </w:rPr>
          <w:t xml:space="preserve">EUR-Lex</w:t>
        </w:r>
      </w:hyperlink>
      <w:r>
        <w:t xml:space="preserve">)</w:t>
      </w:r>
    </w:p>
    <w:p>
      <w:pPr>
        <w:sectPr>
          <w:footerReference w:type="first" r:id="rId13"/>
          <w:footerReference w:type="default" r:id="rId11"/>
          <w:footerReference w:type="even" r:id="rId10"/>
          <w:type w:val="nextPage"/>
        </w:sectPr>
      </w:pPr>
    </w:p>
    <w:bookmarkEnd w:id="84"/>
    <w:bookmarkEnd w:id="85"/>
    <w:bookmarkStart w:id="98" w:name="canada"/>
    <w:p>
      <w:pPr>
        <w:pStyle w:val="Heading1"/>
      </w:pPr>
      <w:r>
        <w:t xml:space="preserve">CANADA</w:t>
      </w:r>
    </w:p>
    <w:bookmarkStart w:id="86" w:name="final-category-1"/>
    <w:p>
      <w:pPr>
        <w:pStyle w:val="Heading2"/>
      </w:pPr>
      <w:r>
        <w:t xml:space="preserve">Final category</w:t>
      </w:r>
    </w:p>
    <w:p>
      <w:pPr>
        <w:pStyle w:val="FirstParagraph"/>
      </w:pPr>
      <w:r>
        <w:t xml:space="preserve">Canada’s top-level framing for “critical / protected” health systems is</w:t>
      </w:r>
      <w:r>
        <w:t xml:space="preserve"> </w:t>
      </w:r>
      <w:r>
        <w:rPr>
          <w:b/>
          <w:bCs/>
        </w:rPr>
        <w:t xml:space="preserve">sector-based</w:t>
      </w:r>
      <w:r>
        <w:t xml:space="preserve">:</w:t>
      </w:r>
    </w:p>
    <w:p>
      <w:pPr>
        <w:pStyle w:val="Compact"/>
        <w:numPr>
          <w:ilvl w:val="0"/>
          <w:numId w:val="1044"/>
        </w:numPr>
      </w:pPr>
      <w:r>
        <w:rPr>
          <w:b/>
          <w:bCs/>
        </w:rPr>
        <w:t xml:space="preserve">Critical Infrastructure (CI) — “Health” sector</w:t>
      </w:r>
      <w:r>
        <w:t xml:space="preserve"> </w:t>
      </w:r>
      <w:r>
        <w:t xml:space="preserve">(one of</w:t>
      </w:r>
      <w:r>
        <w:t xml:space="preserve"> </w:t>
      </w:r>
      <w:r>
        <w:rPr>
          <w:b/>
          <w:bCs/>
        </w:rPr>
        <w:t xml:space="preserve">10</w:t>
      </w:r>
      <w:r>
        <w:t xml:space="preserve"> </w:t>
      </w:r>
      <w:r>
        <w:t xml:space="preserve">CI sectors in Canada’s National Strategy / Public Safety Canada CI framework). (</w:t>
      </w:r>
      <w:hyperlink r:id="rId48">
        <w:r>
          <w:rPr>
            <w:rStyle w:val="Hyperlink"/>
          </w:rPr>
          <w:t xml:space="preserve">Public Safety Canada</w:t>
        </w:r>
      </w:hyperlink>
      <w:r>
        <w:t xml:space="preserve">)</w:t>
      </w:r>
    </w:p>
    <w:p>
      <w:pPr>
        <w:pStyle w:val="Compact"/>
        <w:numPr>
          <w:ilvl w:val="0"/>
          <w:numId w:val="1044"/>
        </w:numPr>
      </w:pPr>
      <w:r>
        <w:rPr>
          <w:b/>
          <w:bCs/>
        </w:rPr>
        <w:t xml:space="preserve">Federally regulated “critical cyber systems” (designation-based obligations) — via Bill C-8 / proposed CCSPA framework</w:t>
      </w:r>
      <w:r>
        <w:t xml:space="preserve"> </w:t>
      </w:r>
      <w:r>
        <w:t xml:space="preserve">for</w:t>
      </w:r>
      <w:r>
        <w:t xml:space="preserve"> </w:t>
      </w:r>
      <w:r>
        <w:rPr>
          <w:b/>
          <w:bCs/>
        </w:rPr>
        <w:t xml:space="preserve">designated operators</w:t>
      </w:r>
      <w:r>
        <w:t xml:space="preserve"> </w:t>
      </w:r>
      <w:r>
        <w:t xml:space="preserve">of certain</w:t>
      </w:r>
      <w:r>
        <w:t xml:space="preserve"> </w:t>
      </w:r>
      <w:r>
        <w:rPr>
          <w:b/>
          <w:bCs/>
        </w:rPr>
        <w:t xml:space="preserve">vital services/systems</w:t>
      </w:r>
      <w:r>
        <w:t xml:space="preserve"> </w:t>
      </w:r>
      <w:r>
        <w:t xml:space="preserve">within Parliament’s jurisdiction (not a “health CI designation list,” but relevant to cross-cutting dependencies such as telecom, energy/pipelines, transport, banking/clearing). (</w:t>
      </w:r>
      <w:hyperlink r:id="rId49">
        <w:r>
          <w:rPr>
            <w:rStyle w:val="Hyperlink"/>
          </w:rPr>
          <w:t xml:space="preserve">Ministère de la Justice</w:t>
        </w:r>
      </w:hyperlink>
      <w:r>
        <w:t xml:space="preserve">)</w:t>
      </w:r>
    </w:p>
    <w:bookmarkEnd w:id="86"/>
    <w:bookmarkStart w:id="89" w:name="exact-legal-policy-criteria-used"/>
    <w:p>
      <w:pPr>
        <w:pStyle w:val="Heading2"/>
      </w:pPr>
      <w:r>
        <w:t xml:space="preserve">Exact legal / policy criteria used</w:t>
      </w:r>
    </w:p>
    <w:bookmarkStart w:id="87" w:name="X3fb5a32115d141dc58b02524caee3609e2ba10c"/>
    <w:p>
      <w:pPr>
        <w:pStyle w:val="Heading3"/>
      </w:pPr>
      <w:r>
        <w:t xml:space="preserve">A) National Critical Infrastructure (Public Safety Canada) — public definition + sector model</w:t>
      </w:r>
    </w:p>
    <w:p>
      <w:pPr>
        <w:pStyle w:val="FirstParagraph"/>
      </w:pPr>
      <w:r>
        <w:rPr>
          <w:b/>
          <w:bCs/>
        </w:rPr>
        <w:t xml:space="preserve">CI definition (public):</w:t>
      </w:r>
      <w:r>
        <w:t xml:space="preserve"> </w:t>
      </w:r>
      <w:r>
        <w:t xml:space="preserve">CI refers to “processes, systems, facilities, technologies, networks, assets and services” essential to Canadians’ health/safety/security/economic well-being and the effective functioning of government. (</w:t>
      </w:r>
      <w:hyperlink r:id="rId48">
        <w:r>
          <w:rPr>
            <w:rStyle w:val="Hyperlink"/>
          </w:rPr>
          <w:t xml:space="preserve">Public Safety Canada</w:t>
        </w:r>
      </w:hyperlink>
      <w:r>
        <w:t xml:space="preserve">)</w:t>
      </w:r>
    </w:p>
    <w:p>
      <w:pPr>
        <w:pStyle w:val="BodyText"/>
      </w:pPr>
      <w:r>
        <w:rPr>
          <w:b/>
          <w:bCs/>
        </w:rPr>
        <w:t xml:space="preserve">Sector list (public):</w:t>
      </w:r>
      <w:r>
        <w:t xml:space="preserve"> </w:t>
      </w:r>
      <w:r>
        <w:t xml:space="preserve">The National Strategy enumerates</w:t>
      </w:r>
      <w:r>
        <w:t xml:space="preserve"> </w:t>
      </w:r>
      <w:r>
        <w:rPr>
          <w:b/>
          <w:bCs/>
        </w:rPr>
        <w:t xml:space="preserve">ten CI sectors</w:t>
      </w:r>
      <w:r>
        <w:t xml:space="preserve">, explicitly including</w:t>
      </w:r>
      <w:r>
        <w:t xml:space="preserve"> </w:t>
      </w:r>
      <w:r>
        <w:rPr>
          <w:b/>
          <w:bCs/>
        </w:rPr>
        <w:t xml:space="preserve">Health</w:t>
      </w:r>
      <w:r>
        <w:t xml:space="preserve">. (</w:t>
      </w:r>
      <w:hyperlink r:id="rId48">
        <w:r>
          <w:rPr>
            <w:rStyle w:val="Hyperlink"/>
          </w:rPr>
          <w:t xml:space="preserve">Public Safety Canada</w:t>
        </w:r>
      </w:hyperlink>
      <w:r>
        <w:t xml:space="preserve">)</w:t>
      </w:r>
    </w:p>
    <w:p>
      <w:pPr>
        <w:pStyle w:val="BodyText"/>
      </w:pPr>
      <w:r>
        <w:rPr>
          <w:b/>
          <w:bCs/>
        </w:rPr>
        <w:t xml:space="preserve">How inclusion works (important):</w:t>
      </w:r>
      <w:r>
        <w:t xml:space="preserve"> </w:t>
      </w:r>
      <w:r>
        <w:t xml:space="preserve">This is a</w:t>
      </w:r>
      <w:r>
        <w:t xml:space="preserve"> </w:t>
      </w:r>
      <w:r>
        <w:rPr>
          <w:b/>
          <w:bCs/>
        </w:rPr>
        <w:t xml:space="preserve">resilience / partnership framework</w:t>
      </w:r>
      <w:r>
        <w:t xml:space="preserve">, not a single national law that publishes a universal, named list of “designated health information systems.” The Strategy emphasizes:</w:t>
      </w:r>
    </w:p>
    <w:p>
      <w:pPr>
        <w:pStyle w:val="Compact"/>
        <w:numPr>
          <w:ilvl w:val="0"/>
          <w:numId w:val="1045"/>
        </w:numPr>
      </w:pPr>
      <w:r>
        <w:rPr>
          <w:b/>
          <w:bCs/>
        </w:rPr>
        <w:t xml:space="preserve">shared responsibilities</w:t>
      </w:r>
      <w:r>
        <w:t xml:space="preserve"> </w:t>
      </w:r>
      <w:r>
        <w:t xml:space="preserve">across federal/provincial/territorial governments, local authorities, and owners/operators, with owners/operators bearing primary responsibility for protecting assets/services; (</w:t>
      </w:r>
      <w:hyperlink r:id="rId48">
        <w:r>
          <w:rPr>
            <w:rStyle w:val="Hyperlink"/>
          </w:rPr>
          <w:t xml:space="preserve">Public Safety Canada</w:t>
        </w:r>
      </w:hyperlink>
      <w:r>
        <w:t xml:space="preserve">)</w:t>
      </w:r>
    </w:p>
    <w:p>
      <w:pPr>
        <w:pStyle w:val="Compact"/>
        <w:numPr>
          <w:ilvl w:val="0"/>
          <w:numId w:val="1045"/>
        </w:numPr>
      </w:pPr>
      <w:r>
        <w:t xml:space="preserve">an</w:t>
      </w:r>
      <w:r>
        <w:t xml:space="preserve"> </w:t>
      </w:r>
      <w:r>
        <w:rPr>
          <w:b/>
          <w:bCs/>
        </w:rPr>
        <w:t xml:space="preserve">all-hazards risk management approach</w:t>
      </w:r>
      <w:r>
        <w:t xml:space="preserve"> </w:t>
      </w:r>
      <w:r>
        <w:t xml:space="preserve">and improved</w:t>
      </w:r>
      <w:r>
        <w:t xml:space="preserve"> </w:t>
      </w:r>
      <w:r>
        <w:rPr>
          <w:b/>
          <w:bCs/>
        </w:rPr>
        <w:t xml:space="preserve">information sharing/protection</w:t>
      </w:r>
      <w:r>
        <w:t xml:space="preserve"> </w:t>
      </w:r>
      <w:r>
        <w:t xml:space="preserve">among partners. (</w:t>
      </w:r>
      <w:hyperlink r:id="rId48">
        <w:r>
          <w:rPr>
            <w:rStyle w:val="Hyperlink"/>
          </w:rPr>
          <w:t xml:space="preserve">Public Safety Canada</w:t>
        </w:r>
      </w:hyperlink>
      <w:r>
        <w:t xml:space="preserve">)</w:t>
      </w:r>
    </w:p>
    <w:bookmarkEnd w:id="87"/>
    <w:bookmarkStart w:id="88" w:name="Xf1dfd33268a7f1b41f5fd539f0273f4d7201cab"/>
    <w:p>
      <w:pPr>
        <w:pStyle w:val="Heading3"/>
      </w:pPr>
      <w:r>
        <w:t xml:space="preserve">B) Federal designation-based cyber obligations (Bill C-8 / CCSPA concept)</w:t>
      </w:r>
    </w:p>
    <w:p>
      <w:pPr>
        <w:pStyle w:val="FirstParagraph"/>
      </w:pPr>
      <w:r>
        <w:rPr>
          <w:b/>
          <w:bCs/>
        </w:rPr>
        <w:t xml:space="preserve">What CCSPA would do (as described by Justice Canada):</w:t>
      </w:r>
    </w:p>
    <w:p>
      <w:pPr>
        <w:pStyle w:val="Compact"/>
        <w:numPr>
          <w:ilvl w:val="0"/>
          <w:numId w:val="1046"/>
        </w:numPr>
      </w:pPr>
      <w:r>
        <w:rPr>
          <w:b/>
          <w:bCs/>
        </w:rPr>
        <w:t xml:space="preserve">Part 2</w:t>
      </w:r>
      <w:r>
        <w:t xml:space="preserve"> </w:t>
      </w:r>
      <w:r>
        <w:t xml:space="preserve">would enact the</w:t>
      </w:r>
      <w:r>
        <w:t xml:space="preserve"> </w:t>
      </w:r>
      <w:r>
        <w:rPr>
          <w:b/>
          <w:bCs/>
        </w:rPr>
        <w:t xml:space="preserve">Critical Cyber Systems Protection Act (CCSPA)</w:t>
      </w:r>
      <w:r>
        <w:t xml:space="preserve"> </w:t>
      </w:r>
      <w:r>
        <w:t xml:space="preserve">to protect “critical cyber systems” supporting</w:t>
      </w:r>
      <w:r>
        <w:t xml:space="preserve"> </w:t>
      </w:r>
      <w:r>
        <w:rPr>
          <w:b/>
          <w:bCs/>
        </w:rPr>
        <w:t xml:space="preserve">vital services/systems</w:t>
      </w:r>
      <w:r>
        <w:t xml:space="preserve"> </w:t>
      </w:r>
      <w:r>
        <w:t xml:space="preserve">within Parliament’s jurisdiction that are vital to national security or public safety. (</w:t>
      </w:r>
      <w:hyperlink r:id="rId49">
        <w:r>
          <w:rPr>
            <w:rStyle w:val="Hyperlink"/>
          </w:rPr>
          <w:t xml:space="preserve">Ministère de la Justice</w:t>
        </w:r>
      </w:hyperlink>
      <w:r>
        <w:t xml:space="preserve">)</w:t>
      </w:r>
    </w:p>
    <w:p>
      <w:pPr>
        <w:pStyle w:val="Compact"/>
        <w:numPr>
          <w:ilvl w:val="0"/>
          <w:numId w:val="1046"/>
        </w:numPr>
      </w:pPr>
      <w:r>
        <w:t xml:space="preserve">It would authorize designation of</w:t>
      </w:r>
      <w:r>
        <w:t xml:space="preserve"> </w:t>
      </w:r>
      <w:r>
        <w:rPr>
          <w:b/>
          <w:bCs/>
        </w:rPr>
        <w:t xml:space="preserve">classes of operators (“designated operators”)</w:t>
      </w:r>
      <w:r>
        <w:t xml:space="preserve"> </w:t>
      </w:r>
      <w:r>
        <w:t xml:space="preserve">who own/control/operate critical cyber systems; these operators would have specified obligations. (</w:t>
      </w:r>
      <w:hyperlink r:id="rId49">
        <w:r>
          <w:rPr>
            <w:rStyle w:val="Hyperlink"/>
          </w:rPr>
          <w:t xml:space="preserve">Ministère de la Justice</w:t>
        </w:r>
      </w:hyperlink>
      <w:r>
        <w:t xml:space="preserve">)</w:t>
      </w:r>
    </w:p>
    <w:p>
      <w:pPr>
        <w:pStyle w:val="Compact"/>
        <w:numPr>
          <w:ilvl w:val="0"/>
          <w:numId w:val="1046"/>
        </w:numPr>
      </w:pPr>
      <w:r>
        <w:t xml:space="preserve">“Vital” systems/services initially include sectors such as</w:t>
      </w:r>
      <w:r>
        <w:t xml:space="preserve"> </w:t>
      </w:r>
      <w:r>
        <w:rPr>
          <w:b/>
          <w:bCs/>
        </w:rPr>
        <w:t xml:space="preserve">telecommunications</w:t>
      </w:r>
      <w:r>
        <w:t xml:space="preserve">,</w:t>
      </w:r>
      <w:r>
        <w:t xml:space="preserve"> </w:t>
      </w:r>
      <w:r>
        <w:rPr>
          <w:b/>
          <w:bCs/>
        </w:rPr>
        <w:t xml:space="preserve">pipelines/power lines</w:t>
      </w:r>
      <w:r>
        <w:t xml:space="preserve">,</w:t>
      </w:r>
      <w:r>
        <w:t xml:space="preserve"> </w:t>
      </w:r>
      <w:r>
        <w:rPr>
          <w:b/>
          <w:bCs/>
        </w:rPr>
        <w:t xml:space="preserve">nuclear energy</w:t>
      </w:r>
      <w:r>
        <w:t xml:space="preserve">,</w:t>
      </w:r>
      <w:r>
        <w:t xml:space="preserve"> </w:t>
      </w:r>
      <w:r>
        <w:rPr>
          <w:b/>
          <w:bCs/>
        </w:rPr>
        <w:t xml:space="preserve">transportation</w:t>
      </w:r>
      <w:r>
        <w:t xml:space="preserve">,</w:t>
      </w:r>
      <w:r>
        <w:t xml:space="preserve"> </w:t>
      </w:r>
      <w:r>
        <w:rPr>
          <w:b/>
          <w:bCs/>
        </w:rPr>
        <w:t xml:space="preserve">banking</w:t>
      </w:r>
      <w:r>
        <w:t xml:space="preserve"> </w:t>
      </w:r>
      <w:r>
        <w:t xml:space="preserve">and</w:t>
      </w:r>
      <w:r>
        <w:t xml:space="preserve"> </w:t>
      </w:r>
      <w:r>
        <w:rPr>
          <w:b/>
          <w:bCs/>
        </w:rPr>
        <w:t xml:space="preserve">clearing/settlement</w:t>
      </w:r>
      <w:r>
        <w:t xml:space="preserve">, with potential additions by Governor in Council. (</w:t>
      </w:r>
      <w:hyperlink r:id="rId49">
        <w:r>
          <w:rPr>
            <w:rStyle w:val="Hyperlink"/>
          </w:rPr>
          <w:t xml:space="preserve">Ministère de la Justice</w:t>
        </w:r>
      </w:hyperlink>
      <w:r>
        <w:t xml:space="preserve">)</w:t>
      </w:r>
    </w:p>
    <w:p>
      <w:pPr>
        <w:pStyle w:val="FirstParagraph"/>
      </w:pPr>
      <w:r>
        <w:rPr>
          <w:b/>
          <w:bCs/>
        </w:rPr>
        <w:t xml:space="preserve">Bill text purpose clause (primary text):</w:t>
      </w:r>
      <w:r>
        <w:t xml:space="preserve"> </w:t>
      </w:r>
      <w:r>
        <w:t xml:space="preserve">the purpose is to protect critical cyber systems to support continuity/security of vital services/systems, including managing cyber risks (incl. supply chain/third-party), protecting systems from compromise, detecting incidents, and minimizing impacts. (</w:t>
      </w:r>
      <w:hyperlink r:id="rId50">
        <w:r>
          <w:rPr>
            <w:rStyle w:val="Hyperlink"/>
          </w:rPr>
          <w:t xml:space="preserve">Parliament of Canada</w:t>
        </w:r>
      </w:hyperlink>
      <w:r>
        <w:t xml:space="preserve">)</w:t>
      </w:r>
    </w:p>
    <w:bookmarkEnd w:id="88"/>
    <w:bookmarkEnd w:id="89"/>
    <w:bookmarkStart w:id="90" w:name="grading-tiering-scheme"/>
    <w:p>
      <w:pPr>
        <w:pStyle w:val="Heading2"/>
      </w:pPr>
      <w:r>
        <w:t xml:space="preserve">Grading / tiering scheme</w:t>
      </w:r>
    </w:p>
    <w:p>
      <w:pPr>
        <w:pStyle w:val="FirstParagraph"/>
      </w:pPr>
      <w:r>
        <w:t xml:space="preserve">Canada’s CI model is primarily</w:t>
      </w:r>
      <w:r>
        <w:t xml:space="preserve"> </w:t>
      </w:r>
      <w:r>
        <w:rPr>
          <w:b/>
          <w:bCs/>
        </w:rPr>
        <w:t xml:space="preserve">sector-in-scope</w:t>
      </w:r>
      <w:r>
        <w:t xml:space="preserve"> </w:t>
      </w:r>
      <w:r>
        <w:t xml:space="preserve">(e.g., “Health” as a CI sector) rather than a published graded tiering of all health information systems. (</w:t>
      </w:r>
      <w:hyperlink r:id="rId48">
        <w:r>
          <w:rPr>
            <w:rStyle w:val="Hyperlink"/>
          </w:rPr>
          <w:t xml:space="preserve">Public Safety Canada</w:t>
        </w:r>
      </w:hyperlink>
      <w:r>
        <w:t xml:space="preserve">)</w:t>
      </w:r>
    </w:p>
    <w:p>
      <w:pPr>
        <w:pStyle w:val="BodyText"/>
      </w:pPr>
      <w:r>
        <w:t xml:space="preserve">Under the CCSPA approach (if enacted), the main “tier” is</w:t>
      </w:r>
      <w:r>
        <w:t xml:space="preserve"> </w:t>
      </w:r>
      <w:r>
        <w:rPr>
          <w:b/>
          <w:bCs/>
        </w:rPr>
        <w:t xml:space="preserve">designation status</w:t>
      </w:r>
      <w:r>
        <w:t xml:space="preserve">:</w:t>
      </w:r>
    </w:p>
    <w:p>
      <w:pPr>
        <w:pStyle w:val="Compact"/>
        <w:numPr>
          <w:ilvl w:val="0"/>
          <w:numId w:val="1047"/>
        </w:numPr>
      </w:pPr>
      <w:r>
        <w:rPr>
          <w:b/>
          <w:bCs/>
        </w:rPr>
        <w:t xml:space="preserve">designated operator</w:t>
      </w:r>
      <w:r>
        <w:t xml:space="preserve"> </w:t>
      </w:r>
      <w:r>
        <w:t xml:space="preserve">vs</w:t>
      </w:r>
      <w:r>
        <w:t xml:space="preserve"> </w:t>
      </w:r>
      <w:r>
        <w:rPr>
          <w:b/>
          <w:bCs/>
        </w:rPr>
        <w:t xml:space="preserve">non-designated operator</w:t>
      </w:r>
      <w:r>
        <w:t xml:space="preserve"> </w:t>
      </w:r>
      <w:r>
        <w:t xml:space="preserve">(federally regulated vital service/system operators). (</w:t>
      </w:r>
      <w:hyperlink r:id="rId49">
        <w:r>
          <w:rPr>
            <w:rStyle w:val="Hyperlink"/>
          </w:rPr>
          <w:t xml:space="preserve">Ministère de la Justice</w:t>
        </w:r>
      </w:hyperlink>
      <w:r>
        <w:t xml:space="preserve">)</w:t>
      </w:r>
    </w:p>
    <w:bookmarkEnd w:id="90"/>
    <w:bookmarkStart w:id="91" w:name="X3553fb1a4d5c5e8dab54cfdafdaa787dec7d7d1"/>
    <w:p>
      <w:pPr>
        <w:pStyle w:val="Heading2"/>
      </w:pPr>
      <w:r>
        <w:t xml:space="preserve">“Higher security” triggers relevant to health (what becomes critical in practice)</w:t>
      </w:r>
    </w:p>
    <w:p>
      <w:pPr>
        <w:pStyle w:val="FirstParagraph"/>
      </w:pPr>
      <w:r>
        <w:t xml:space="preserve">Because Canada’s national CI approach is sector + consequence + interdependency (rather than a single national list), the most “critical / higher-security” health systems are typically those whose disruption plausibly causes:</w:t>
      </w:r>
    </w:p>
    <w:p>
      <w:pPr>
        <w:pStyle w:val="Compact"/>
        <w:numPr>
          <w:ilvl w:val="0"/>
          <w:numId w:val="1048"/>
        </w:numPr>
      </w:pPr>
      <w:r>
        <w:rPr>
          <w:b/>
          <w:bCs/>
        </w:rPr>
        <w:t xml:space="preserve">loss of vital services</w:t>
      </w:r>
      <w:r>
        <w:t xml:space="preserve"> </w:t>
      </w:r>
      <w:r>
        <w:t xml:space="preserve">or</w:t>
      </w:r>
      <w:r>
        <w:t xml:space="preserve"> </w:t>
      </w:r>
      <w:r>
        <w:rPr>
          <w:b/>
          <w:bCs/>
        </w:rPr>
        <w:t xml:space="preserve">harm / loss of life</w:t>
      </w:r>
      <w:r>
        <w:t xml:space="preserve">, which Cyber Centre CI guidance highlights as potential CI impacts; (</w:t>
      </w:r>
      <w:hyperlink r:id="rId51">
        <w:r>
          <w:rPr>
            <w:rStyle w:val="Hyperlink"/>
          </w:rPr>
          <w:t xml:space="preserve">Canadian Centre for Cyber Security</w:t>
        </w:r>
      </w:hyperlink>
      <w:r>
        <w:t xml:space="preserve">)</w:t>
      </w:r>
    </w:p>
    <w:p>
      <w:pPr>
        <w:pStyle w:val="Compact"/>
        <w:numPr>
          <w:ilvl w:val="0"/>
          <w:numId w:val="1048"/>
        </w:numPr>
      </w:pPr>
      <w:r>
        <w:rPr>
          <w:b/>
          <w:bCs/>
        </w:rPr>
        <w:t xml:space="preserve">hospital operational disruption</w:t>
      </w:r>
      <w:r>
        <w:t xml:space="preserve"> </w:t>
      </w:r>
      <w:r>
        <w:t xml:space="preserve">/ compromised medical devices (explicitly called out as a CI cyber-impact risk). (</w:t>
      </w:r>
      <w:hyperlink r:id="rId52">
        <w:r>
          <w:rPr>
            <w:rStyle w:val="Hyperlink"/>
          </w:rPr>
          <w:t xml:space="preserve">Canadian Centre for Cyber Security</w:t>
        </w:r>
      </w:hyperlink>
      <w:r>
        <w:t xml:space="preserve">)</w:t>
      </w:r>
    </w:p>
    <w:p>
      <w:pPr>
        <w:pStyle w:val="FirstParagraph"/>
      </w:pPr>
      <w:r>
        <w:t xml:space="preserve">This supports prioritizing, in practice (examples, not an official list): core hospital operational platforms, emergency workflows, key diagnostic and medication systems, public health coordination platforms, and enterprise identity/network controls that have wide “blast radius.”</w:t>
      </w:r>
    </w:p>
    <w:bookmarkEnd w:id="91"/>
    <w:bookmarkStart w:id="92" w:name="public-vs-confidential"/>
    <w:p>
      <w:pPr>
        <w:pStyle w:val="Heading2"/>
      </w:pPr>
      <w:r>
        <w:t xml:space="preserve">Public vs confidential</w:t>
      </w:r>
    </w:p>
    <w:p>
      <w:pPr>
        <w:pStyle w:val="FirstParagraph"/>
      </w:pPr>
      <w:r>
        <w:rPr>
          <w:b/>
          <w:bCs/>
        </w:rPr>
        <w:t xml:space="preserve">Public</w:t>
      </w:r>
    </w:p>
    <w:p>
      <w:pPr>
        <w:pStyle w:val="Compact"/>
        <w:numPr>
          <w:ilvl w:val="0"/>
          <w:numId w:val="1049"/>
        </w:numPr>
      </w:pPr>
      <w:r>
        <w:t xml:space="preserve">CI definition and the</w:t>
      </w:r>
      <w:r>
        <w:t xml:space="preserve"> </w:t>
      </w:r>
      <w:r>
        <w:rPr>
          <w:b/>
          <w:bCs/>
        </w:rPr>
        <w:t xml:space="preserve">10-sector list including Health</w:t>
      </w:r>
      <w:r>
        <w:t xml:space="preserve"> </w:t>
      </w:r>
      <w:r>
        <w:t xml:space="preserve">are explicitly public. (</w:t>
      </w:r>
      <w:hyperlink r:id="rId48">
        <w:r>
          <w:rPr>
            <w:rStyle w:val="Hyperlink"/>
          </w:rPr>
          <w:t xml:space="preserve">Public Safety Canada</w:t>
        </w:r>
      </w:hyperlink>
      <w:r>
        <w:t xml:space="preserve">)</w:t>
      </w:r>
    </w:p>
    <w:p>
      <w:pPr>
        <w:pStyle w:val="Compact"/>
        <w:numPr>
          <w:ilvl w:val="0"/>
          <w:numId w:val="1049"/>
        </w:numPr>
      </w:pPr>
      <w:r>
        <w:t xml:space="preserve">Federal legislative instruments (Bill text, Charter Statement, legislative summaries) are public. (</w:t>
      </w:r>
      <w:hyperlink r:id="rId50">
        <w:r>
          <w:rPr>
            <w:rStyle w:val="Hyperlink"/>
          </w:rPr>
          <w:t xml:space="preserve">Parliament of Canada</w:t>
        </w:r>
      </w:hyperlink>
      <w:r>
        <w:t xml:space="preserve">)</w:t>
      </w:r>
    </w:p>
    <w:p>
      <w:pPr>
        <w:pStyle w:val="FirstParagraph"/>
      </w:pPr>
      <w:r>
        <w:rPr>
          <w:b/>
          <w:bCs/>
        </w:rPr>
        <w:t xml:space="preserve">Typically not public (operational practice)</w:t>
      </w:r>
    </w:p>
    <w:p>
      <w:pPr>
        <w:pStyle w:val="BodyText"/>
      </w:pPr>
      <w:r>
        <w:t xml:space="preserve">Specific, organization-level inventories of “most critical” systems (within hospitals/provinces/health authorities) are generally managed via risk management and operational security processes implied by the partnership/owner-operator responsibility model, rather than published as a single universal national register in the cited framework. (</w:t>
      </w:r>
      <w:hyperlink r:id="rId48">
        <w:r>
          <w:rPr>
            <w:rStyle w:val="Hyperlink"/>
          </w:rPr>
          <w:t xml:space="preserve">Public Safety Canada</w:t>
        </w:r>
      </w:hyperlink>
      <w:r>
        <w:t xml:space="preserve">)</w:t>
      </w:r>
    </w:p>
    <w:bookmarkEnd w:id="92"/>
    <w:bookmarkStart w:id="95" w:name="latest-updates-strictly-sourced"/>
    <w:p>
      <w:pPr>
        <w:pStyle w:val="Heading2"/>
      </w:pPr>
      <w:r>
        <w:t xml:space="preserve">Latest updates (strictly sourced)</w:t>
      </w:r>
    </w:p>
    <w:p>
      <w:pPr>
        <w:pStyle w:val="Compact"/>
        <w:numPr>
          <w:ilvl w:val="0"/>
          <w:numId w:val="1050"/>
        </w:numPr>
      </w:pPr>
      <w:r>
        <w:rPr>
          <w:b/>
          <w:bCs/>
        </w:rPr>
        <w:t xml:space="preserve">Public Safety Canada CI overview page</w:t>
      </w:r>
      <w:r>
        <w:t xml:space="preserve"> </w:t>
      </w:r>
      <w:r>
        <w:t xml:space="preserve">shows update metadata (Jan 2025) and reiterates CI definition + the 10 sectors including Health. (</w:t>
      </w:r>
      <w:hyperlink r:id="rId53">
        <w:r>
          <w:rPr>
            <w:rStyle w:val="Hyperlink"/>
          </w:rPr>
          <w:t xml:space="preserve">Public Safety Canada</w:t>
        </w:r>
      </w:hyperlink>
      <w:r>
        <w:t xml:space="preserve">)</w:t>
      </w:r>
    </w:p>
    <w:p>
      <w:pPr>
        <w:pStyle w:val="Compact"/>
        <w:numPr>
          <w:ilvl w:val="0"/>
          <w:numId w:val="1050"/>
        </w:numPr>
      </w:pPr>
      <w:r>
        <w:rPr>
          <w:b/>
          <w:bCs/>
        </w:rPr>
        <w:t xml:space="preserve">Cyber Centre CI guidance page</w:t>
      </w:r>
      <w:r>
        <w:t xml:space="preserve"> </w:t>
      </w:r>
      <w:r>
        <w:t xml:space="preserve">shows update metadata (Jul 2025) and reiterates CI definition, sector list, and CI cyber impacts. (</w:t>
      </w:r>
      <w:hyperlink r:id="rId51">
        <w:r>
          <w:rPr>
            <w:rStyle w:val="Hyperlink"/>
          </w:rPr>
          <w:t xml:space="preserve">Canadian Centre for Cyber Security</w:t>
        </w:r>
      </w:hyperlink>
      <w:r>
        <w:t xml:space="preserve">)</w:t>
      </w:r>
    </w:p>
    <w:p>
      <w:pPr>
        <w:pStyle w:val="Compact"/>
        <w:numPr>
          <w:ilvl w:val="0"/>
          <w:numId w:val="1050"/>
        </w:numPr>
      </w:pPr>
      <w:r>
        <w:rPr>
          <w:b/>
          <w:bCs/>
        </w:rPr>
        <w:t xml:space="preserve">Bill C-8 (45th Parliament, 1st session)</w:t>
      </w:r>
      <w:r>
        <w:t xml:space="preserve">: LEGISinfo lists the bill and links to the bill text and Charter Statement. (</w:t>
      </w:r>
      <w:hyperlink r:id="rId93">
        <w:r>
          <w:rPr>
            <w:rStyle w:val="Hyperlink"/>
          </w:rPr>
          <w:t xml:space="preserve">Parliament of Canada</w:t>
        </w:r>
      </w:hyperlink>
      <w:r>
        <w:t xml:space="preserve">)</w:t>
      </w:r>
    </w:p>
    <w:p>
      <w:pPr>
        <w:pStyle w:val="Compact"/>
        <w:numPr>
          <w:ilvl w:val="0"/>
          <w:numId w:val="1050"/>
        </w:numPr>
      </w:pPr>
      <w:r>
        <w:rPr>
          <w:b/>
          <w:bCs/>
        </w:rPr>
        <w:t xml:space="preserve">Library of Parliament legislative summary (PDF)</w:t>
      </w:r>
      <w:r>
        <w:t xml:space="preserve"> </w:t>
      </w:r>
      <w:r>
        <w:t xml:space="preserve">notes CCSPA incident reporting requirements for designated operators, including a reporting period that “cannot exceed 72 hours” for reporting certain incidents to CSE. (</w:t>
      </w:r>
      <w:hyperlink r:id="rId94">
        <w:r>
          <w:rPr>
            <w:rStyle w:val="Hyperlink"/>
          </w:rPr>
          <w:t xml:space="preserve">Parliamentary Library of Canada</w:t>
        </w:r>
      </w:hyperlink>
      <w:r>
        <w:t xml:space="preserve">)</w:t>
      </w:r>
    </w:p>
    <w:bookmarkEnd w:id="95"/>
    <w:bookmarkStart w:id="97" w:name="references-canada"/>
    <w:p>
      <w:pPr>
        <w:pStyle w:val="Heading2"/>
      </w:pPr>
      <w:r>
        <w:t xml:space="preserve">References (Canada)</w:t>
      </w:r>
    </w:p>
    <w:p>
      <w:pPr>
        <w:pStyle w:val="Compact"/>
        <w:numPr>
          <w:ilvl w:val="0"/>
          <w:numId w:val="1051"/>
        </w:numPr>
      </w:pPr>
      <w:r>
        <w:rPr>
          <w:b/>
          <w:bCs/>
        </w:rPr>
        <w:t xml:space="preserve">Public Safety Canada —</w:t>
      </w:r>
      <w:r>
        <w:rPr>
          <w:b/>
          <w:bCs/>
        </w:rPr>
        <w:t xml:space="preserve"> </w:t>
      </w:r>
      <w:r>
        <w:rPr>
          <w:b/>
          <w:bCs/>
          <w:i/>
          <w:iCs/>
        </w:rPr>
        <w:t xml:space="preserve">National Strategy for Critical Infrastructure</w:t>
      </w:r>
      <w:r>
        <w:t xml:space="preserve"> </w:t>
      </w:r>
      <w:r>
        <w:t xml:space="preserve">(sector list, CI definition, partnership/all-hazards/info sharing model). (</w:t>
      </w:r>
      <w:hyperlink r:id="rId48">
        <w:r>
          <w:rPr>
            <w:rStyle w:val="Hyperlink"/>
          </w:rPr>
          <w:t xml:space="preserve">Public Safety Canada</w:t>
        </w:r>
      </w:hyperlink>
      <w:r>
        <w:t xml:space="preserve">)</w:t>
      </w:r>
    </w:p>
    <w:p>
      <w:pPr>
        <w:pStyle w:val="Compact"/>
        <w:numPr>
          <w:ilvl w:val="0"/>
          <w:numId w:val="1051"/>
        </w:numPr>
      </w:pPr>
      <w:r>
        <w:rPr>
          <w:b/>
          <w:bCs/>
        </w:rPr>
        <w:t xml:space="preserve">Public Safety Canada —</w:t>
      </w:r>
      <w:r>
        <w:rPr>
          <w:b/>
          <w:bCs/>
        </w:rPr>
        <w:t xml:space="preserve"> </w:t>
      </w:r>
      <w:r>
        <w:rPr>
          <w:b/>
          <w:bCs/>
          <w:i/>
          <w:iCs/>
        </w:rPr>
        <w:t xml:space="preserve">Canada’s Critical Infrastructure (CI)</w:t>
      </w:r>
      <w:r>
        <w:t xml:space="preserve"> </w:t>
      </w:r>
      <w:r>
        <w:t xml:space="preserve">(CI definition; 10 sectors including Health). (</w:t>
      </w:r>
      <w:hyperlink r:id="rId53">
        <w:r>
          <w:rPr>
            <w:rStyle w:val="Hyperlink"/>
          </w:rPr>
          <w:t xml:space="preserve">Public Safety Canada</w:t>
        </w:r>
      </w:hyperlink>
      <w:r>
        <w:t xml:space="preserve">)</w:t>
      </w:r>
    </w:p>
    <w:p>
      <w:pPr>
        <w:pStyle w:val="Compact"/>
        <w:numPr>
          <w:ilvl w:val="0"/>
          <w:numId w:val="1051"/>
        </w:numPr>
      </w:pPr>
      <w:r>
        <w:rPr>
          <w:b/>
          <w:bCs/>
        </w:rPr>
        <w:t xml:space="preserve">RCMP —</w:t>
      </w:r>
      <w:r>
        <w:rPr>
          <w:b/>
          <w:bCs/>
        </w:rPr>
        <w:t xml:space="preserve"> </w:t>
      </w:r>
      <w:r>
        <w:rPr>
          <w:b/>
          <w:bCs/>
          <w:i/>
          <w:iCs/>
        </w:rPr>
        <w:t xml:space="preserve">Safeguarding critical infrastructure</w:t>
      </w:r>
      <w:r>
        <w:t xml:space="preserve"> </w:t>
      </w:r>
      <w:r>
        <w:t xml:space="preserve">(10 sectors list including Health). (</w:t>
      </w:r>
      <w:hyperlink r:id="rId96">
        <w:r>
          <w:rPr>
            <w:rStyle w:val="Hyperlink"/>
          </w:rPr>
          <w:t xml:space="preserve">RCMP</w:t>
        </w:r>
      </w:hyperlink>
      <w:r>
        <w:t xml:space="preserve">)</w:t>
      </w:r>
    </w:p>
    <w:p>
      <w:pPr>
        <w:pStyle w:val="Compact"/>
        <w:numPr>
          <w:ilvl w:val="0"/>
          <w:numId w:val="1051"/>
        </w:numPr>
      </w:pPr>
      <w:r>
        <w:rPr>
          <w:b/>
          <w:bCs/>
        </w:rPr>
        <w:t xml:space="preserve">Canadian Centre for Cyber Security —</w:t>
      </w:r>
      <w:r>
        <w:rPr>
          <w:b/>
          <w:bCs/>
        </w:rPr>
        <w:t xml:space="preserve"> </w:t>
      </w:r>
      <w:r>
        <w:rPr>
          <w:b/>
          <w:bCs/>
          <w:i/>
          <w:iCs/>
        </w:rPr>
        <w:t xml:space="preserve">Security considerations for critical infrastructure (ITSAP.10.100)</w:t>
      </w:r>
      <w:r>
        <w:t xml:space="preserve"> </w:t>
      </w:r>
      <w:r>
        <w:t xml:space="preserve">web page (CI definition; sector list; CI impacts and mitigations context). (</w:t>
      </w:r>
      <w:hyperlink r:id="rId51">
        <w:r>
          <w:rPr>
            <w:rStyle w:val="Hyperlink"/>
          </w:rPr>
          <w:t xml:space="preserve">Canadian Centre for Cyber Security</w:t>
        </w:r>
      </w:hyperlink>
      <w:r>
        <w:t xml:space="preserve">)</w:t>
      </w:r>
    </w:p>
    <w:p>
      <w:pPr>
        <w:pStyle w:val="Compact"/>
        <w:numPr>
          <w:ilvl w:val="0"/>
          <w:numId w:val="1051"/>
        </w:numPr>
      </w:pPr>
      <w:r>
        <w:rPr>
          <w:b/>
          <w:bCs/>
        </w:rPr>
        <w:t xml:space="preserve">Canadian Centre for Cyber Security —</w:t>
      </w:r>
      <w:r>
        <w:rPr>
          <w:b/>
          <w:bCs/>
        </w:rPr>
        <w:t xml:space="preserve"> </w:t>
      </w:r>
      <w:r>
        <w:rPr>
          <w:b/>
          <w:bCs/>
          <w:i/>
          <w:iCs/>
        </w:rPr>
        <w:t xml:space="preserve">ITSAP.10.100 PDF</w:t>
      </w:r>
      <w:r>
        <w:t xml:space="preserve"> </w:t>
      </w:r>
      <w:r>
        <w:t xml:space="preserve">(threats, impacts including hospital operations/medical devices; CI definition). (</w:t>
      </w:r>
      <w:hyperlink r:id="rId52">
        <w:r>
          <w:rPr>
            <w:rStyle w:val="Hyperlink"/>
          </w:rPr>
          <w:t xml:space="preserve">Canadian Centre for Cyber Security</w:t>
        </w:r>
      </w:hyperlink>
      <w:r>
        <w:t xml:space="preserve">)</w:t>
      </w:r>
    </w:p>
    <w:p>
      <w:pPr>
        <w:pStyle w:val="Compact"/>
        <w:numPr>
          <w:ilvl w:val="0"/>
          <w:numId w:val="1051"/>
        </w:numPr>
      </w:pPr>
      <w:r>
        <w:rPr>
          <w:b/>
          <w:bCs/>
        </w:rPr>
        <w:t xml:space="preserve">Parliament of Canada —</w:t>
      </w:r>
      <w:r>
        <w:rPr>
          <w:b/>
          <w:bCs/>
        </w:rPr>
        <w:t xml:space="preserve"> </w:t>
      </w:r>
      <w:r>
        <w:rPr>
          <w:b/>
          <w:bCs/>
          <w:i/>
          <w:iCs/>
        </w:rPr>
        <w:t xml:space="preserve">LEGISinfo: Bill C-8</w:t>
      </w:r>
      <w:r>
        <w:t xml:space="preserve"> </w:t>
      </w:r>
      <w:r>
        <w:t xml:space="preserve">(bill listing, links to text + Charter Statement + legislative summary). (</w:t>
      </w:r>
      <w:hyperlink r:id="rId93">
        <w:r>
          <w:rPr>
            <w:rStyle w:val="Hyperlink"/>
          </w:rPr>
          <w:t xml:space="preserve">Parliament of Canada</w:t>
        </w:r>
      </w:hyperlink>
      <w:r>
        <w:t xml:space="preserve">)</w:t>
      </w:r>
    </w:p>
    <w:p>
      <w:pPr>
        <w:pStyle w:val="Compact"/>
        <w:numPr>
          <w:ilvl w:val="0"/>
          <w:numId w:val="1051"/>
        </w:numPr>
      </w:pPr>
      <w:r>
        <w:rPr>
          <w:b/>
          <w:bCs/>
        </w:rPr>
        <w:t xml:space="preserve">Parliament of Canada —</w:t>
      </w:r>
      <w:r>
        <w:rPr>
          <w:b/>
          <w:bCs/>
        </w:rPr>
        <w:t xml:space="preserve"> </w:t>
      </w:r>
      <w:r>
        <w:rPr>
          <w:b/>
          <w:bCs/>
          <w:i/>
          <w:iCs/>
        </w:rPr>
        <w:t xml:space="preserve">Bill C-8 (First Reading text)</w:t>
      </w:r>
      <w:r>
        <w:t xml:space="preserve"> </w:t>
      </w:r>
      <w:r>
        <w:t xml:space="preserve">(purpose clause for protecting critical cyber systems). (</w:t>
      </w:r>
      <w:hyperlink r:id="rId50">
        <w:r>
          <w:rPr>
            <w:rStyle w:val="Hyperlink"/>
          </w:rPr>
          <w:t xml:space="preserve">Parliament of Canada</w:t>
        </w:r>
      </w:hyperlink>
      <w:r>
        <w:t xml:space="preserve">)</w:t>
      </w:r>
    </w:p>
    <w:p>
      <w:pPr>
        <w:pStyle w:val="Compact"/>
        <w:numPr>
          <w:ilvl w:val="0"/>
          <w:numId w:val="1051"/>
        </w:numPr>
      </w:pPr>
      <w:r>
        <w:rPr>
          <w:b/>
          <w:bCs/>
        </w:rPr>
        <w:t xml:space="preserve">Justice Canada —</w:t>
      </w:r>
      <w:r>
        <w:rPr>
          <w:b/>
          <w:bCs/>
        </w:rPr>
        <w:t xml:space="preserve"> </w:t>
      </w:r>
      <w:r>
        <w:rPr>
          <w:b/>
          <w:bCs/>
          <w:i/>
          <w:iCs/>
        </w:rPr>
        <w:t xml:space="preserve">Charter Statement: Bill C-8</w:t>
      </w:r>
      <w:r>
        <w:t xml:space="preserve"> </w:t>
      </w:r>
      <w:r>
        <w:t xml:space="preserve">(Part 2 enacts CCSPA; designated operators; initial vital services list). (</w:t>
      </w:r>
      <w:hyperlink r:id="rId49">
        <w:r>
          <w:rPr>
            <w:rStyle w:val="Hyperlink"/>
          </w:rPr>
          <w:t xml:space="preserve">Ministère de la Justice</w:t>
        </w:r>
      </w:hyperlink>
      <w:r>
        <w:t xml:space="preserve">)</w:t>
      </w:r>
    </w:p>
    <w:p>
      <w:pPr>
        <w:pStyle w:val="Compact"/>
        <w:numPr>
          <w:ilvl w:val="0"/>
          <w:numId w:val="1051"/>
        </w:numPr>
      </w:pPr>
      <w:r>
        <w:rPr>
          <w:b/>
          <w:bCs/>
        </w:rPr>
        <w:t xml:space="preserve">Library of Parliament —</w:t>
      </w:r>
      <w:r>
        <w:rPr>
          <w:b/>
          <w:bCs/>
        </w:rPr>
        <w:t xml:space="preserve"> </w:t>
      </w:r>
      <w:r>
        <w:rPr>
          <w:b/>
          <w:bCs/>
          <w:i/>
          <w:iCs/>
        </w:rPr>
        <w:t xml:space="preserve">Legislative Summary of Bill C-8 (PDF)</w:t>
      </w:r>
      <w:r>
        <w:t xml:space="preserve"> </w:t>
      </w:r>
      <w:r>
        <w:t xml:space="preserve">(incident reporting requirement summary, including period not exceeding 72 hours). (</w:t>
      </w:r>
      <w:hyperlink r:id="rId94">
        <w:r>
          <w:rPr>
            <w:rStyle w:val="Hyperlink"/>
          </w:rPr>
          <w:t xml:space="preserve">Parliamentary Library of Canada</w:t>
        </w:r>
      </w:hyperlink>
      <w:r>
        <w:t xml:space="preserve">)</w:t>
      </w:r>
    </w:p>
    <w:p>
      <w:pPr>
        <w:sectPr>
          <w:footerReference w:type="first" r:id="rId13"/>
          <w:footerReference w:type="default" r:id="rId11"/>
          <w:footerReference w:type="even" r:id="rId10"/>
          <w:type w:val="nextPage"/>
        </w:sectPr>
      </w:pPr>
    </w:p>
    <w:bookmarkEnd w:id="97"/>
    <w:bookmarkEnd w:id="98"/>
    <w:bookmarkStart w:id="109" w:name="united-kingdom-uk"/>
    <w:p>
      <w:pPr>
        <w:pStyle w:val="Heading1"/>
      </w:pPr>
      <w:r>
        <w:t xml:space="preserve">UNITED KINGDOM (UK)</w:t>
      </w:r>
    </w:p>
    <w:bookmarkStart w:id="99" w:name="X401263da2cddcd5ea9b142652d8fa3b03418ead"/>
    <w:p>
      <w:pPr>
        <w:pStyle w:val="Heading2"/>
      </w:pPr>
      <w:r>
        <w:t xml:space="preserve">Final categories (what is “highest critical / protected” in this regime)</w:t>
      </w:r>
    </w:p>
    <w:p>
      <w:pPr>
        <w:pStyle w:val="Compact"/>
        <w:numPr>
          <w:ilvl w:val="0"/>
          <w:numId w:val="1052"/>
        </w:numPr>
      </w:pPr>
      <w:r>
        <w:rPr>
          <w:b/>
          <w:bCs/>
        </w:rPr>
        <w:t xml:space="preserve">Operator of Essential Services (OES) — Health (England)</w:t>
      </w:r>
    </w:p>
    <w:p>
      <w:pPr>
        <w:pStyle w:val="Compact"/>
        <w:numPr>
          <w:ilvl w:val="0"/>
          <w:numId w:val="1053"/>
        </w:numPr>
      </w:pPr>
      <w:r>
        <w:t xml:space="preserve">The DHSC health-sector guide states that</w:t>
      </w:r>
      <w:r>
        <w:t xml:space="preserve"> </w:t>
      </w:r>
      <w:r>
        <w:rPr>
          <w:b/>
          <w:bCs/>
        </w:rPr>
        <w:t xml:space="preserve">“Healthcare services are an essential service under the NIS Regulations”</w:t>
      </w:r>
      <w:r>
        <w:t xml:space="preserve"> </w:t>
      </w:r>
      <w:r>
        <w:t xml:space="preserve">and that</w:t>
      </w:r>
      <w:r>
        <w:t xml:space="preserve"> </w:t>
      </w:r>
      <w:r>
        <w:rPr>
          <w:b/>
          <w:bCs/>
        </w:rPr>
        <w:t xml:space="preserve">“NHS trusts and foundation trusts, integrated care boards (ICBs) and certain independent providers [are] currently designated OESs for healthcare services.”</w:t>
      </w:r>
      <w:r>
        <w:t xml:space="preserve"> </w:t>
      </w:r>
      <w:r>
        <w:t xml:space="preserve">(</w:t>
      </w:r>
      <w:hyperlink r:id="rId48">
        <w:r>
          <w:rPr>
            <w:rStyle w:val="Hyperlink"/>
          </w:rPr>
          <w:t xml:space="preserve">GOV.UK</w:t>
        </w:r>
      </w:hyperlink>
      <w:r>
        <w:t xml:space="preserve">)</w:t>
      </w:r>
    </w:p>
    <w:p>
      <w:pPr>
        <w:pStyle w:val="Compact"/>
        <w:numPr>
          <w:ilvl w:val="0"/>
          <w:numId w:val="1053"/>
        </w:numPr>
      </w:pPr>
      <w:r>
        <w:t xml:space="preserve">The same guide states that</w:t>
      </w:r>
      <w:r>
        <w:t xml:space="preserve"> </w:t>
      </w:r>
      <w:r>
        <w:rPr>
          <w:b/>
          <w:bCs/>
        </w:rPr>
        <w:t xml:space="preserve">the Secretary of State for Health and Social Care, acting through DHSC, is responsible for overseeing the NIS Regulations for OESs within the health sector in England</w:t>
      </w:r>
      <w:r>
        <w:t xml:space="preserve"> </w:t>
      </w:r>
      <w:r>
        <w:t xml:space="preserve">(i.e., DHSC is the competent authority for the England health sector). (</w:t>
      </w:r>
      <w:hyperlink r:id="rId48">
        <w:r>
          <w:rPr>
            <w:rStyle w:val="Hyperlink"/>
          </w:rPr>
          <w:t xml:space="preserve">GOV.UK</w:t>
        </w:r>
      </w:hyperlink>
      <w:r>
        <w:t xml:space="preserve">)</w:t>
      </w:r>
    </w:p>
    <w:p>
      <w:pPr>
        <w:pStyle w:val="Compact"/>
        <w:numPr>
          <w:ilvl w:val="0"/>
          <w:numId w:val="1054"/>
        </w:numPr>
      </w:pPr>
      <w:r>
        <w:rPr>
          <w:b/>
          <w:bCs/>
        </w:rPr>
        <w:t xml:space="preserve">Relevant Digital Service Provider (RDSP) — cross-sector category (often relevant to health supply chains)</w:t>
      </w:r>
    </w:p>
    <w:p>
      <w:pPr>
        <w:pStyle w:val="Compact"/>
        <w:numPr>
          <w:ilvl w:val="0"/>
          <w:numId w:val="1055"/>
        </w:numPr>
      </w:pPr>
      <w:r>
        <w:t xml:space="preserve">The ICO’s Guide to NIS is explicitly for organisations providing digital services such as</w:t>
      </w:r>
      <w:r>
        <w:t xml:space="preserve"> </w:t>
      </w:r>
      <w:r>
        <w:rPr>
          <w:b/>
          <w:bCs/>
        </w:rPr>
        <w:t xml:space="preserve">online marketplaces, online search engines and cloud services</w:t>
      </w:r>
      <w:r>
        <w:t xml:space="preserve">, and it explains RDSP obligations and the ICO’s role as the UK competent authority for RDSPs. (</w:t>
      </w:r>
      <w:hyperlink r:id="rId49">
        <w:r>
          <w:rPr>
            <w:rStyle w:val="Hyperlink"/>
          </w:rPr>
          <w:t xml:space="preserve">ICO</w:t>
        </w:r>
      </w:hyperlink>
      <w:r>
        <w:t xml:space="preserve">)</w:t>
      </w:r>
    </w:p>
    <w:p>
      <w:pPr>
        <w:pStyle w:val="Compact"/>
        <w:numPr>
          <w:ilvl w:val="0"/>
          <w:numId w:val="1055"/>
        </w:numPr>
      </w:pPr>
      <w:r>
        <w:t xml:space="preserve">The</w:t>
      </w:r>
      <w:r>
        <w:t xml:space="preserve"> </w:t>
      </w:r>
      <w:r>
        <w:rPr>
          <w:b/>
          <w:bCs/>
        </w:rPr>
        <w:t xml:space="preserve">NIS Regulations 2018</w:t>
      </w:r>
      <w:r>
        <w:t xml:space="preserve"> </w:t>
      </w:r>
      <w:r>
        <w:t xml:space="preserve">define</w:t>
      </w:r>
      <w:r>
        <w:t xml:space="preserve"> </w:t>
      </w:r>
      <w:r>
        <w:rPr>
          <w:b/>
          <w:bCs/>
        </w:rPr>
        <w:t xml:space="preserve">“digital service”</w:t>
      </w:r>
      <w:r>
        <w:t xml:space="preserve"> </w:t>
      </w:r>
      <w:r>
        <w:t xml:space="preserve">as including</w:t>
      </w:r>
      <w:r>
        <w:t xml:space="preserve"> </w:t>
      </w:r>
      <w:r>
        <w:rPr>
          <w:b/>
          <w:bCs/>
        </w:rPr>
        <w:t xml:space="preserve">(a) online marketplace, (b) online search engine, (c) cloud computing service</w:t>
      </w:r>
      <w:r>
        <w:t xml:space="preserve">, and define</w:t>
      </w:r>
      <w:r>
        <w:t xml:space="preserve"> </w:t>
      </w:r>
      <w:r>
        <w:rPr>
          <w:b/>
          <w:bCs/>
        </w:rPr>
        <w:t xml:space="preserve">“cloud computing service.”</w:t>
      </w:r>
      <w:r>
        <w:t xml:space="preserve"> </w:t>
      </w:r>
      <w:r>
        <w:t xml:space="preserve">(</w:t>
      </w:r>
      <w:hyperlink r:id="rId50">
        <w:r>
          <w:rPr>
            <w:rStyle w:val="Hyperlink"/>
          </w:rPr>
          <w:t xml:space="preserve">Legislation.gov.uk</w:t>
        </w:r>
      </w:hyperlink>
      <w:r>
        <w:t xml:space="preserve">)</w:t>
      </w:r>
    </w:p>
    <w:p>
      <w:pPr>
        <w:pStyle w:val="Compact"/>
        <w:numPr>
          <w:ilvl w:val="0"/>
          <w:numId w:val="1056"/>
        </w:numPr>
      </w:pPr>
      <w:r>
        <w:rPr>
          <w:b/>
          <w:bCs/>
        </w:rPr>
        <w:t xml:space="preserve">Proposed expansion (Bill introduced 12 Nov 2025 — Bill 329)</w:t>
      </w:r>
    </w:p>
    <w:p>
      <w:pPr>
        <w:pStyle w:val="Compact"/>
        <w:numPr>
          <w:ilvl w:val="0"/>
          <w:numId w:val="1057"/>
        </w:numPr>
      </w:pPr>
      <w:r>
        <w:t xml:space="preserve">The</w:t>
      </w:r>
      <w:r>
        <w:t xml:space="preserve"> </w:t>
      </w:r>
      <w:r>
        <w:rPr>
          <w:b/>
          <w:bCs/>
        </w:rPr>
        <w:t xml:space="preserve">Cyber Security and Resilience (Network and Information Systems) Bill</w:t>
      </w:r>
      <w:r>
        <w:t xml:space="preserve"> </w:t>
      </w:r>
      <w:r>
        <w:t xml:space="preserve">explanatory notes (within the Parliament PDF) describe new/expanded regulated roles including</w:t>
      </w:r>
      <w:r>
        <w:t xml:space="preserve"> </w:t>
      </w:r>
      <w:r>
        <w:rPr>
          <w:b/>
          <w:bCs/>
        </w:rPr>
        <w:t xml:space="preserve">relevant managed service providers (RMSPs)</w:t>
      </w:r>
      <w:r>
        <w:t xml:space="preserve"> </w:t>
      </w:r>
      <w:r>
        <w:t xml:space="preserve">and</w:t>
      </w:r>
      <w:r>
        <w:t xml:space="preserve"> </w:t>
      </w:r>
      <w:r>
        <w:rPr>
          <w:b/>
          <w:bCs/>
        </w:rPr>
        <w:t xml:space="preserve">critical suppliers</w:t>
      </w:r>
      <w:r>
        <w:t xml:space="preserve">. (</w:t>
      </w:r>
      <w:hyperlink r:id="rId51">
        <w:r>
          <w:rPr>
            <w:rStyle w:val="Hyperlink"/>
          </w:rPr>
          <w:t xml:space="preserve">UK Parliament</w:t>
        </w:r>
      </w:hyperlink>
      <w:r>
        <w:t xml:space="preserve">)</w:t>
      </w:r>
    </w:p>
    <w:bookmarkEnd w:id="99"/>
    <w:bookmarkStart w:id="102" w:name="Xd36a1b472c931e2f9b1706dfe01728e4d63780e"/>
    <w:p>
      <w:pPr>
        <w:pStyle w:val="Heading2"/>
      </w:pPr>
      <w:r>
        <w:t xml:space="preserve">Exact legal / regulatory criteria (what triggers inclusion)</w:t>
      </w:r>
    </w:p>
    <w:bookmarkStart w:id="100" w:name="a-oes-health-sector-england"/>
    <w:p>
      <w:pPr>
        <w:pStyle w:val="Heading3"/>
      </w:pPr>
      <w:r>
        <w:t xml:space="preserve">A) OES (Health sector, England)</w:t>
      </w:r>
    </w:p>
    <w:p>
      <w:pPr>
        <w:pStyle w:val="Compact"/>
        <w:numPr>
          <w:ilvl w:val="0"/>
          <w:numId w:val="1058"/>
        </w:numPr>
      </w:pPr>
      <w:r>
        <w:t xml:space="preserve">The DHSC guide states the health-sector OES landscape in England (NHS trusts/foundation trusts, ICBs, and certain independent providers are</w:t>
      </w:r>
      <w:r>
        <w:t xml:space="preserve"> </w:t>
      </w:r>
      <w:r>
        <w:rPr>
          <w:b/>
          <w:bCs/>
        </w:rPr>
        <w:t xml:space="preserve">currently designated</w:t>
      </w:r>
      <w:r>
        <w:t xml:space="preserve"> </w:t>
      </w:r>
      <w:r>
        <w:t xml:space="preserve">as OESs for healthcare services). (</w:t>
      </w:r>
      <w:hyperlink r:id="rId48">
        <w:r>
          <w:rPr>
            <w:rStyle w:val="Hyperlink"/>
          </w:rPr>
          <w:t xml:space="preserve">GOV.UK</w:t>
        </w:r>
      </w:hyperlink>
      <w:r>
        <w:t xml:space="preserve">)</w:t>
      </w:r>
    </w:p>
    <w:p>
      <w:pPr>
        <w:pStyle w:val="Compact"/>
        <w:numPr>
          <w:ilvl w:val="0"/>
          <w:numId w:val="1058"/>
        </w:numPr>
      </w:pPr>
      <w:r>
        <w:t xml:space="preserve">The DHSC guide states it is published under</w:t>
      </w:r>
      <w:r>
        <w:t xml:space="preserve"> </w:t>
      </w:r>
      <w:r>
        <w:rPr>
          <w:b/>
          <w:bCs/>
        </w:rPr>
        <w:t xml:space="preserve">regulation 3</w:t>
      </w:r>
      <w:r>
        <w:t xml:space="preserve"> </w:t>
      </w:r>
      <w:r>
        <w:t xml:space="preserve">guidance duties, and that OESs</w:t>
      </w:r>
      <w:r>
        <w:t xml:space="preserve"> </w:t>
      </w:r>
      <w:r>
        <w:rPr>
          <w:b/>
          <w:bCs/>
        </w:rPr>
        <w:t xml:space="preserve">must have regard to it</w:t>
      </w:r>
      <w:r>
        <w:t xml:space="preserve"> </w:t>
      </w:r>
      <w:r>
        <w:t xml:space="preserve">when carrying out security and incident reporting duties under the NIS Regulations. (</w:t>
      </w:r>
      <w:hyperlink r:id="rId48">
        <w:r>
          <w:rPr>
            <w:rStyle w:val="Hyperlink"/>
          </w:rPr>
          <w:t xml:space="preserve">GOV.UK</w:t>
        </w:r>
      </w:hyperlink>
      <w:r>
        <w:t xml:space="preserve">)</w:t>
      </w:r>
    </w:p>
    <w:bookmarkEnd w:id="100"/>
    <w:bookmarkStart w:id="101" w:name="b-rdsp-ico-regulated"/>
    <w:p>
      <w:pPr>
        <w:pStyle w:val="Heading3"/>
      </w:pPr>
      <w:r>
        <w:t xml:space="preserve">B) RDSP (ICO-regulated)</w:t>
      </w:r>
    </w:p>
    <w:p>
      <w:pPr>
        <w:pStyle w:val="Compact"/>
        <w:numPr>
          <w:ilvl w:val="0"/>
          <w:numId w:val="1059"/>
        </w:numPr>
      </w:pPr>
      <w:r>
        <w:t xml:space="preserve">The DHSC guide lists criteria for being an RDSP (all must apply), including providing an online search engine/online marketplace/cloud computing service in the UK; UK head office or nominated UK representative; and not being a micro/small enterprise (staff/turnover thresholds). (</w:t>
      </w:r>
      <w:hyperlink r:id="rId48">
        <w:r>
          <w:rPr>
            <w:rStyle w:val="Hyperlink"/>
          </w:rPr>
          <w:t xml:space="preserve">GOV.UK</w:t>
        </w:r>
      </w:hyperlink>
      <w:r>
        <w:t xml:space="preserve">)</w:t>
      </w:r>
    </w:p>
    <w:p>
      <w:pPr>
        <w:pStyle w:val="Compact"/>
        <w:numPr>
          <w:ilvl w:val="0"/>
          <w:numId w:val="1059"/>
        </w:numPr>
      </w:pPr>
      <w:r>
        <w:t xml:space="preserve">The ICO states its guide summarises obligations for</w:t>
      </w:r>
      <w:r>
        <w:t xml:space="preserve"> </w:t>
      </w:r>
      <w:r>
        <w:rPr>
          <w:b/>
          <w:bCs/>
        </w:rPr>
        <w:t xml:space="preserve">RDSPs</w:t>
      </w:r>
      <w:r>
        <w:t xml:space="preserve"> </w:t>
      </w:r>
      <w:r>
        <w:t xml:space="preserve">and explains the ICO’s role as competent authority for RDSPs. (</w:t>
      </w:r>
      <w:hyperlink r:id="rId49">
        <w:r>
          <w:rPr>
            <w:rStyle w:val="Hyperlink"/>
          </w:rPr>
          <w:t xml:space="preserve">ICO</w:t>
        </w:r>
      </w:hyperlink>
      <w:r>
        <w:t xml:space="preserve">)</w:t>
      </w:r>
    </w:p>
    <w:bookmarkEnd w:id="101"/>
    <w:bookmarkEnd w:id="102"/>
    <w:bookmarkStart w:id="105" w:name="X51e379c6774cfce07d7b888f2937ead89cc3742"/>
    <w:p>
      <w:pPr>
        <w:pStyle w:val="Heading2"/>
      </w:pPr>
      <w:r>
        <w:t xml:space="preserve">Incident reporting tests and thresholds (evidence only)</w:t>
      </w:r>
    </w:p>
    <w:bookmarkStart w:id="103" w:name="X851778856238aa1b705a28052f93b99e589375d"/>
    <w:p>
      <w:pPr>
        <w:pStyle w:val="Heading3"/>
      </w:pPr>
      <w:r>
        <w:t xml:space="preserve">OES (Health, England) — “significant impact” + DHSC Table 1 thresholds</w:t>
      </w:r>
    </w:p>
    <w:p>
      <w:pPr>
        <w:pStyle w:val="Compact"/>
        <w:numPr>
          <w:ilvl w:val="0"/>
          <w:numId w:val="1060"/>
        </w:numPr>
      </w:pPr>
      <w:r>
        <w:t xml:space="preserve">The DHSC guide states that OES reports must be submitted</w:t>
      </w:r>
      <w:r>
        <w:t xml:space="preserve"> </w:t>
      </w:r>
      <w:r>
        <w:rPr>
          <w:b/>
          <w:bCs/>
        </w:rPr>
        <w:t xml:space="preserve">via the Data Security and Protection Toolkit (DSPT)</w:t>
      </w:r>
      <w:r>
        <w:t xml:space="preserve"> </w:t>
      </w:r>
      <w:r>
        <w:rPr>
          <w:b/>
          <w:bCs/>
        </w:rPr>
        <w:t xml:space="preserve">without undue delay and, in any event, no later than 72 hours</w:t>
      </w:r>
      <w:r>
        <w:t xml:space="preserve"> </w:t>
      </w:r>
      <w:r>
        <w:t xml:space="preserve">after the OES became aware that an NIS incident has occurred. (</w:t>
      </w:r>
      <w:hyperlink r:id="rId48">
        <w:r>
          <w:rPr>
            <w:rStyle w:val="Hyperlink"/>
          </w:rPr>
          <w:t xml:space="preserve">GOV.UK</w:t>
        </w:r>
      </w:hyperlink>
      <w:r>
        <w:t xml:space="preserve">)</w:t>
      </w:r>
    </w:p>
    <w:p>
      <w:pPr>
        <w:pStyle w:val="Compact"/>
        <w:numPr>
          <w:ilvl w:val="0"/>
          <w:numId w:val="1060"/>
        </w:numPr>
      </w:pPr>
      <w:r>
        <w:t xml:space="preserve">The DHSC guide states OESs must assess significance having regard to</w:t>
      </w:r>
      <w:r>
        <w:t xml:space="preserve"> </w:t>
      </w:r>
      <w:r>
        <w:rPr>
          <w:b/>
          <w:bCs/>
        </w:rPr>
        <w:t xml:space="preserve">(i) number of users affected, (ii) duration, (iii) geographical area</w:t>
      </w:r>
      <w:r>
        <w:t xml:space="preserve">, and provides</w:t>
      </w:r>
      <w:r>
        <w:t xml:space="preserve"> </w:t>
      </w:r>
      <w:r>
        <w:rPr>
          <w:b/>
          <w:bCs/>
        </w:rPr>
        <w:t xml:space="preserve">Table 1 thresholds</w:t>
      </w:r>
      <w:r>
        <w:t xml:space="preserve"> </w:t>
      </w:r>
      <w:r>
        <w:t xml:space="preserve">for the health sector definition of significant impact. (</w:t>
      </w:r>
      <w:hyperlink r:id="rId48">
        <w:r>
          <w:rPr>
            <w:rStyle w:val="Hyperlink"/>
          </w:rPr>
          <w:t xml:space="preserve">GOV.UK</w:t>
        </w:r>
      </w:hyperlink>
      <w:r>
        <w:t xml:space="preserve">)</w:t>
      </w:r>
    </w:p>
    <w:p>
      <w:pPr>
        <w:pStyle w:val="FirstParagraph"/>
      </w:pPr>
      <w:r>
        <w:rPr>
          <w:b/>
          <w:bCs/>
        </w:rPr>
        <w:t xml:space="preserve">Examples of explicit Table 1 thresholds (DHSC):</w:t>
      </w:r>
    </w:p>
    <w:p>
      <w:pPr>
        <w:pStyle w:val="Compact"/>
        <w:numPr>
          <w:ilvl w:val="0"/>
          <w:numId w:val="1061"/>
        </w:numPr>
      </w:pPr>
      <w:r>
        <w:rPr>
          <w:b/>
          <w:bCs/>
        </w:rPr>
        <w:t xml:space="preserve">Excess fatalities:</w:t>
      </w:r>
      <w:r>
        <w:t xml:space="preserve"> </w:t>
      </w:r>
      <w:r>
        <w:t xml:space="preserve">&gt; 0;</w:t>
      </w:r>
      <w:r>
        <w:t xml:space="preserve"> </w:t>
      </w:r>
      <w:r>
        <w:rPr>
          <w:b/>
          <w:bCs/>
        </w:rPr>
        <w:t xml:space="preserve">Potential clinical harm:</w:t>
      </w:r>
      <w:r>
        <w:t xml:space="preserve"> </w:t>
      </w:r>
      <w:r>
        <w:t xml:space="preserve">&gt; 50 patients at risk. (</w:t>
      </w:r>
      <w:hyperlink r:id="rId48">
        <w:r>
          <w:rPr>
            <w:rStyle w:val="Hyperlink"/>
          </w:rPr>
          <w:t xml:space="preserve">GOV.UK</w:t>
        </w:r>
      </w:hyperlink>
      <w:r>
        <w:t xml:space="preserve">)</w:t>
      </w:r>
    </w:p>
    <w:p>
      <w:pPr>
        <w:pStyle w:val="Compact"/>
        <w:numPr>
          <w:ilvl w:val="0"/>
          <w:numId w:val="1061"/>
        </w:numPr>
      </w:pPr>
      <w:r>
        <w:rPr>
          <w:b/>
          <w:bCs/>
        </w:rPr>
        <w:t xml:space="preserve">ED closure/diversion:</w:t>
      </w:r>
      <w:r>
        <w:t xml:space="preserve"> </w:t>
      </w:r>
      <w:r>
        <w:t xml:space="preserve">&gt; 3 hours (major trauma centre); &gt; 24 hours (all other organisations). (</w:t>
      </w:r>
      <w:hyperlink r:id="rId48">
        <w:r>
          <w:rPr>
            <w:rStyle w:val="Hyperlink"/>
          </w:rPr>
          <w:t xml:space="preserve">GOV.UK</w:t>
        </w:r>
      </w:hyperlink>
      <w:r>
        <w:t xml:space="preserve">)</w:t>
      </w:r>
    </w:p>
    <w:p>
      <w:pPr>
        <w:pStyle w:val="Compact"/>
        <w:numPr>
          <w:ilvl w:val="0"/>
          <w:numId w:val="1061"/>
        </w:numPr>
      </w:pPr>
      <w:r>
        <w:rPr>
          <w:b/>
          <w:bCs/>
        </w:rPr>
        <w:t xml:space="preserve">Outpatient appointments cancelled:</w:t>
      </w:r>
      <w:r>
        <w:t xml:space="preserve"> </w:t>
      </w:r>
      <w:r>
        <w:t xml:space="preserve">1,500;</w:t>
      </w:r>
      <w:r>
        <w:t xml:space="preserve"> </w:t>
      </w:r>
      <w:r>
        <w:rPr>
          <w:b/>
          <w:bCs/>
        </w:rPr>
        <w:t xml:space="preserve">Inpatient episodes cancelled:</w:t>
      </w:r>
      <w:r>
        <w:t xml:space="preserve"> </w:t>
      </w:r>
      <w:r>
        <w:t xml:space="preserve">250. (</w:t>
      </w:r>
      <w:hyperlink r:id="rId48">
        <w:r>
          <w:rPr>
            <w:rStyle w:val="Hyperlink"/>
          </w:rPr>
          <w:t xml:space="preserve">GOV.UK</w:t>
        </w:r>
      </w:hyperlink>
      <w:r>
        <w:t xml:space="preserve">)</w:t>
      </w:r>
    </w:p>
    <w:p>
      <w:pPr>
        <w:pStyle w:val="Compact"/>
        <w:numPr>
          <w:ilvl w:val="0"/>
          <w:numId w:val="1061"/>
        </w:numPr>
      </w:pPr>
      <w:r>
        <w:rPr>
          <w:b/>
          <w:bCs/>
        </w:rPr>
        <w:t xml:space="preserve">NHS111 services unavailable:</w:t>
      </w:r>
      <w:r>
        <w:t xml:space="preserve"> </w:t>
      </w:r>
      <w:r>
        <w:t xml:space="preserve">&gt; 3 hours. (</w:t>
      </w:r>
      <w:hyperlink r:id="rId48">
        <w:r>
          <w:rPr>
            <w:rStyle w:val="Hyperlink"/>
          </w:rPr>
          <w:t xml:space="preserve">GOV.UK</w:t>
        </w:r>
      </w:hyperlink>
      <w:r>
        <w:t xml:space="preserve">)</w:t>
      </w:r>
    </w:p>
    <w:bookmarkEnd w:id="103"/>
    <w:bookmarkStart w:id="104" w:name="rdsp-ico-72-hour-reporting-requirement"/>
    <w:p>
      <w:pPr>
        <w:pStyle w:val="Heading3"/>
      </w:pPr>
      <w:r>
        <w:t xml:space="preserve">RDSP (ICO) — 72-hour reporting requirement</w:t>
      </w:r>
    </w:p>
    <w:p>
      <w:pPr>
        <w:pStyle w:val="Compact"/>
        <w:numPr>
          <w:ilvl w:val="0"/>
          <w:numId w:val="1062"/>
        </w:numPr>
      </w:pPr>
      <w:r>
        <w:t xml:space="preserve">The ICO states:</w:t>
      </w:r>
      <w:r>
        <w:t xml:space="preserve"> </w:t>
      </w:r>
      <w:r>
        <w:rPr>
          <w:b/>
          <w:bCs/>
        </w:rPr>
        <w:t xml:space="preserve">notify the ICO without undue delay and not later than 72 hours</w:t>
      </w:r>
      <w:r>
        <w:t xml:space="preserve"> </w:t>
      </w:r>
      <w:r>
        <w:t xml:space="preserve">of becoming aware of any incident (where feasible). (</w:t>
      </w:r>
      <w:hyperlink r:id="rId52">
        <w:r>
          <w:rPr>
            <w:rStyle w:val="Hyperlink"/>
          </w:rPr>
          <w:t xml:space="preserve">ICO</w:t>
        </w:r>
      </w:hyperlink>
      <w:r>
        <w:t xml:space="preserve">)</w:t>
      </w:r>
    </w:p>
    <w:p>
      <w:pPr>
        <w:pStyle w:val="Compact"/>
        <w:numPr>
          <w:ilvl w:val="0"/>
          <w:numId w:val="1062"/>
        </w:numPr>
      </w:pPr>
      <w:r>
        <w:t xml:space="preserve">The ICO also states:</w:t>
      </w:r>
      <w:r>
        <w:t xml:space="preserve"> </w:t>
      </w:r>
      <w:r>
        <w:rPr>
          <w:b/>
          <w:bCs/>
        </w:rPr>
        <w:t xml:space="preserve">only RDSPs</w:t>
      </w:r>
      <w:r>
        <w:t xml:space="preserve"> </w:t>
      </w:r>
      <w:r>
        <w:t xml:space="preserve">notify the ICO;</w:t>
      </w:r>
      <w:r>
        <w:t xml:space="preserve"> </w:t>
      </w:r>
      <w:r>
        <w:rPr>
          <w:b/>
          <w:bCs/>
        </w:rPr>
        <w:t xml:space="preserve">OESs notify their sector competent authority</w:t>
      </w:r>
      <w:r>
        <w:t xml:space="preserve">. (</w:t>
      </w:r>
      <w:hyperlink r:id="rId52">
        <w:r>
          <w:rPr>
            <w:rStyle w:val="Hyperlink"/>
          </w:rPr>
          <w:t xml:space="preserve">ICO</w:t>
        </w:r>
      </w:hyperlink>
      <w:r>
        <w:t xml:space="preserve">)</w:t>
      </w:r>
    </w:p>
    <w:bookmarkEnd w:id="104"/>
    <w:bookmarkEnd w:id="105"/>
    <w:bookmarkStart w:id="106" w:name="grading-tiering-scheme-as-published"/>
    <w:p>
      <w:pPr>
        <w:pStyle w:val="Heading2"/>
      </w:pPr>
      <w:r>
        <w:t xml:space="preserve">Grading / tiering scheme (as published)</w:t>
      </w:r>
    </w:p>
    <w:p>
      <w:pPr>
        <w:pStyle w:val="Compact"/>
        <w:numPr>
          <w:ilvl w:val="0"/>
          <w:numId w:val="1063"/>
        </w:numPr>
      </w:pPr>
      <w:r>
        <w:t xml:space="preserve">The regime is</w:t>
      </w:r>
      <w:r>
        <w:t xml:space="preserve"> </w:t>
      </w:r>
      <w:r>
        <w:rPr>
          <w:b/>
          <w:bCs/>
        </w:rPr>
        <w:t xml:space="preserve">categorical by role</w:t>
      </w:r>
      <w:r>
        <w:t xml:space="preserve"> </w:t>
      </w:r>
      <w:r>
        <w:t xml:space="preserve">(e.g.,</w:t>
      </w:r>
      <w:r>
        <w:t xml:space="preserve"> </w:t>
      </w:r>
      <w:r>
        <w:rPr>
          <w:b/>
          <w:bCs/>
        </w:rPr>
        <w:t xml:space="preserve">OES</w:t>
      </w:r>
      <w:r>
        <w:t xml:space="preserve"> </w:t>
      </w:r>
      <w:r>
        <w:t xml:space="preserve">vs</w:t>
      </w:r>
      <w:r>
        <w:t xml:space="preserve"> </w:t>
      </w:r>
      <w:r>
        <w:rPr>
          <w:b/>
          <w:bCs/>
        </w:rPr>
        <w:t xml:space="preserve">RDSP</w:t>
      </w:r>
      <w:r>
        <w:t xml:space="preserve">) with different competent authorities and obligations, as reflected in the DHSC guide (OES) and ICO guidance (RDSP), and in the NIS Regulations’ definitions/structure. (</w:t>
      </w:r>
      <w:hyperlink r:id="rId48">
        <w:r>
          <w:rPr>
            <w:rStyle w:val="Hyperlink"/>
          </w:rPr>
          <w:t xml:space="preserve">GOV.UK</w:t>
        </w:r>
      </w:hyperlink>
      <w:r>
        <w:t xml:space="preserve">)</w:t>
      </w:r>
    </w:p>
    <w:bookmarkEnd w:id="106"/>
    <w:bookmarkStart w:id="107" w:name="X539eebe4aba640d99ebc0b07a60570f76f3d295"/>
    <w:p>
      <w:pPr>
        <w:pStyle w:val="Heading2"/>
      </w:pPr>
      <w:r>
        <w:t xml:space="preserve">Latest updates (2025–2026) — Bill introduced 12 Nov 2025 (Bill 329) (evidence only)</w:t>
      </w:r>
    </w:p>
    <w:p>
      <w:pPr>
        <w:pStyle w:val="FirstParagraph"/>
      </w:pPr>
      <w:r>
        <w:t xml:space="preserve">From the Bill’s explanatory notes:</w:t>
      </w:r>
    </w:p>
    <w:p>
      <w:pPr>
        <w:pStyle w:val="Compact"/>
        <w:numPr>
          <w:ilvl w:val="0"/>
          <w:numId w:val="1064"/>
        </w:numPr>
      </w:pPr>
      <w:r>
        <w:t xml:space="preserve">A</w:t>
      </w:r>
      <w:r>
        <w:t xml:space="preserve"> </w:t>
      </w:r>
      <w:r>
        <w:rPr>
          <w:b/>
          <w:bCs/>
        </w:rPr>
        <w:t xml:space="preserve">two-stage reporting structure</w:t>
      </w:r>
      <w:r>
        <w:t xml:space="preserve"> </w:t>
      </w:r>
      <w:r>
        <w:t xml:space="preserve">is described:</w:t>
      </w:r>
      <w:r>
        <w:t xml:space="preserve"> </w:t>
      </w:r>
      <w:r>
        <w:rPr>
          <w:b/>
          <w:bCs/>
        </w:rPr>
        <w:t xml:space="preserve">initial notification within 24 hours</w:t>
      </w:r>
      <w:r>
        <w:t xml:space="preserve"> </w:t>
      </w:r>
      <w:r>
        <w:t xml:space="preserve">of becoming aware, and</w:t>
      </w:r>
      <w:r>
        <w:t xml:space="preserve"> </w:t>
      </w:r>
      <w:r>
        <w:rPr>
          <w:b/>
          <w:bCs/>
        </w:rPr>
        <w:t xml:space="preserve">full notification within 72 hours</w:t>
      </w:r>
      <w:r>
        <w:t xml:space="preserve"> </w:t>
      </w:r>
      <w:r>
        <w:t xml:space="preserve">(described for OES incidents and similarly for RDSP incidents). (</w:t>
      </w:r>
      <w:hyperlink r:id="rId51">
        <w:r>
          <w:rPr>
            <w:rStyle w:val="Hyperlink"/>
          </w:rPr>
          <w:t xml:space="preserve">UK Parliament</w:t>
        </w:r>
      </w:hyperlink>
      <w:r>
        <w:t xml:space="preserve">)</w:t>
      </w:r>
    </w:p>
    <w:p>
      <w:pPr>
        <w:pStyle w:val="Compact"/>
        <w:numPr>
          <w:ilvl w:val="0"/>
          <w:numId w:val="1064"/>
        </w:numPr>
      </w:pPr>
      <w:r>
        <w:t xml:space="preserve">The notes also state that regulated entities must</w:t>
      </w:r>
      <w:r>
        <w:t xml:space="preserve"> </w:t>
      </w:r>
      <w:r>
        <w:rPr>
          <w:b/>
          <w:bCs/>
        </w:rPr>
        <w:t xml:space="preserve">send a copy of notifications to the CSIRT</w:t>
      </w:r>
      <w:r>
        <w:t xml:space="preserve"> </w:t>
      </w:r>
      <w:r>
        <w:t xml:space="preserve">(NCSC in its CSIRT capacity)</w:t>
      </w:r>
      <w:r>
        <w:t xml:space="preserve"> </w:t>
      </w:r>
      <w:r>
        <w:rPr>
          <w:b/>
          <w:bCs/>
        </w:rPr>
        <w:t xml:space="preserve">at the same time</w:t>
      </w:r>
      <w:r>
        <w:t xml:space="preserve"> </w:t>
      </w:r>
      <w:r>
        <w:t xml:space="preserve">as notifying the regulator. (</w:t>
      </w:r>
      <w:hyperlink r:id="rId51">
        <w:r>
          <w:rPr>
            <w:rStyle w:val="Hyperlink"/>
          </w:rPr>
          <w:t xml:space="preserve">UK Parliament</w:t>
        </w:r>
      </w:hyperlink>
      <w:r>
        <w:t xml:space="preserve">)</w:t>
      </w:r>
    </w:p>
    <w:p>
      <w:pPr>
        <w:pStyle w:val="Compact"/>
        <w:numPr>
          <w:ilvl w:val="0"/>
          <w:numId w:val="1064"/>
        </w:numPr>
      </w:pPr>
      <w:r>
        <w:t xml:space="preserve">The explanatory notes describe</w:t>
      </w:r>
      <w:r>
        <w:t xml:space="preserve"> </w:t>
      </w:r>
      <w:r>
        <w:rPr>
          <w:b/>
          <w:bCs/>
        </w:rPr>
        <w:t xml:space="preserve">managed services / RMSPs</w:t>
      </w:r>
      <w:r>
        <w:t xml:space="preserve"> </w:t>
      </w:r>
      <w:r>
        <w:t xml:space="preserve">and</w:t>
      </w:r>
      <w:r>
        <w:t xml:space="preserve"> </w:t>
      </w:r>
      <w:r>
        <w:rPr>
          <w:b/>
          <w:bCs/>
        </w:rPr>
        <w:t xml:space="preserve">critical suppliers</w:t>
      </w:r>
      <w:r>
        <w:t xml:space="preserve"> </w:t>
      </w:r>
      <w:r>
        <w:t xml:space="preserve">as added/expanded regulated categories. (</w:t>
      </w:r>
      <w:hyperlink r:id="rId51">
        <w:r>
          <w:rPr>
            <w:rStyle w:val="Hyperlink"/>
          </w:rPr>
          <w:t xml:space="preserve">UK Parliament</w:t>
        </w:r>
      </w:hyperlink>
      <w:r>
        <w:t xml:space="preserve">)</w:t>
      </w:r>
    </w:p>
    <w:bookmarkEnd w:id="107"/>
    <w:bookmarkStart w:id="108" w:name="references-united-kingdom"/>
    <w:p>
      <w:pPr>
        <w:pStyle w:val="Heading2"/>
      </w:pPr>
      <w:r>
        <w:t xml:space="preserve">References (United Kingdom)</w:t>
      </w:r>
    </w:p>
    <w:p>
      <w:pPr>
        <w:pStyle w:val="Compact"/>
        <w:numPr>
          <w:ilvl w:val="0"/>
          <w:numId w:val="1065"/>
        </w:numPr>
      </w:pPr>
      <w:r>
        <w:rPr>
          <w:b/>
          <w:bCs/>
        </w:rPr>
        <w:t xml:space="preserve">DHSC (GOV.UK):</w:t>
      </w:r>
      <w:r>
        <w:t xml:space="preserve"> </w:t>
      </w:r>
      <w:r>
        <w:rPr>
          <w:i/>
          <w:iCs/>
        </w:rPr>
        <w:t xml:space="preserve">The Network and Information Systems Regulations 2018: guide for the health sector in England</w:t>
      </w:r>
      <w:r>
        <w:t xml:space="preserve"> </w:t>
      </w:r>
      <w:r>
        <w:t xml:space="preserve">(OES scope statement; DHSC oversight; DSPT reporting route; 72 hours; Table 1 thresholds). (</w:t>
      </w:r>
      <w:hyperlink r:id="rId48">
        <w:r>
          <w:rPr>
            <w:rStyle w:val="Hyperlink"/>
          </w:rPr>
          <w:t xml:space="preserve">GOV.UK</w:t>
        </w:r>
      </w:hyperlink>
      <w:r>
        <w:t xml:space="preserve">)</w:t>
      </w:r>
    </w:p>
    <w:p>
      <w:pPr>
        <w:pStyle w:val="Compact"/>
        <w:numPr>
          <w:ilvl w:val="0"/>
          <w:numId w:val="1065"/>
        </w:numPr>
      </w:pPr>
      <w:r>
        <w:rPr>
          <w:b/>
          <w:bCs/>
        </w:rPr>
        <w:t xml:space="preserve">UK Legislation:</w:t>
      </w:r>
      <w:r>
        <w:t xml:space="preserve"> </w:t>
      </w:r>
      <w:r>
        <w:rPr>
          <w:i/>
          <w:iCs/>
        </w:rPr>
        <w:t xml:space="preserve">The Network and Information Systems Regulations 2018 (S.I. 2018/506) — PDF</w:t>
      </w:r>
      <w:r>
        <w:t xml:space="preserve"> </w:t>
      </w:r>
      <w:r>
        <w:t xml:space="preserve">(definitions of digital service / cloud computing service; RDSP references). (</w:t>
      </w:r>
      <w:hyperlink r:id="rId50">
        <w:r>
          <w:rPr>
            <w:rStyle w:val="Hyperlink"/>
          </w:rPr>
          <w:t xml:space="preserve">Legislation.gov.uk</w:t>
        </w:r>
      </w:hyperlink>
      <w:r>
        <w:t xml:space="preserve">)</w:t>
      </w:r>
    </w:p>
    <w:p>
      <w:pPr>
        <w:pStyle w:val="Compact"/>
        <w:numPr>
          <w:ilvl w:val="0"/>
          <w:numId w:val="1065"/>
        </w:numPr>
      </w:pPr>
      <w:r>
        <w:rPr>
          <w:b/>
          <w:bCs/>
        </w:rPr>
        <w:t xml:space="preserve">ICO:</w:t>
      </w:r>
      <w:r>
        <w:t xml:space="preserve"> </w:t>
      </w:r>
      <w:r>
        <w:rPr>
          <w:i/>
          <w:iCs/>
        </w:rPr>
        <w:t xml:space="preserve">The Guide to NIS</w:t>
      </w:r>
      <w:r>
        <w:t xml:space="preserve"> </w:t>
      </w:r>
      <w:r>
        <w:t xml:space="preserve">(scope: online marketplace/search/cloud services; ICO role as competent authority for RDSPs). (</w:t>
      </w:r>
      <w:hyperlink r:id="rId49">
        <w:r>
          <w:rPr>
            <w:rStyle w:val="Hyperlink"/>
          </w:rPr>
          <w:t xml:space="preserve">ICO</w:t>
        </w:r>
      </w:hyperlink>
      <w:r>
        <w:t xml:space="preserve">)</w:t>
      </w:r>
    </w:p>
    <w:p>
      <w:pPr>
        <w:pStyle w:val="Compact"/>
        <w:numPr>
          <w:ilvl w:val="0"/>
          <w:numId w:val="1065"/>
        </w:numPr>
      </w:pPr>
      <w:r>
        <w:rPr>
          <w:b/>
          <w:bCs/>
        </w:rPr>
        <w:t xml:space="preserve">ICO:</w:t>
      </w:r>
      <w:r>
        <w:t xml:space="preserve"> </w:t>
      </w:r>
      <w:r>
        <w:rPr>
          <w:i/>
          <w:iCs/>
        </w:rPr>
        <w:t xml:space="preserve">Incident reporting (Guide to NIS)</w:t>
      </w:r>
      <w:r>
        <w:t xml:space="preserve"> </w:t>
      </w:r>
      <w:r>
        <w:t xml:space="preserve">(RDSP-only notification to ICO; “without undue delay and not later than 72 hours”; NCSC notification suggestion). (</w:t>
      </w:r>
      <w:hyperlink r:id="rId52">
        <w:r>
          <w:rPr>
            <w:rStyle w:val="Hyperlink"/>
          </w:rPr>
          <w:t xml:space="preserve">ICO</w:t>
        </w:r>
      </w:hyperlink>
      <w:r>
        <w:t xml:space="preserve">)</w:t>
      </w:r>
    </w:p>
    <w:p>
      <w:pPr>
        <w:pStyle w:val="Compact"/>
        <w:numPr>
          <w:ilvl w:val="0"/>
          <w:numId w:val="1065"/>
        </w:numPr>
      </w:pPr>
      <w:r>
        <w:rPr>
          <w:b/>
          <w:bCs/>
        </w:rPr>
        <w:t xml:space="preserve">UK Parliament Publications:</w:t>
      </w:r>
      <w:r>
        <w:t xml:space="preserve"> </w:t>
      </w:r>
      <w:r>
        <w:rPr>
          <w:i/>
          <w:iCs/>
        </w:rPr>
        <w:t xml:space="preserve">Cyber Security and Resilience (Network and Information Systems) Bill — Explanatory Notes (Bill 329; introduced 12 Nov 2025)</w:t>
      </w:r>
      <w:r>
        <w:t xml:space="preserve"> </w:t>
      </w:r>
      <w:r>
        <w:t xml:space="preserve">(24h/72h staged reporting; CSIRT copy; RMSPs/managed services; critical suppliers). (</w:t>
      </w:r>
      <w:hyperlink r:id="rId51">
        <w:r>
          <w:rPr>
            <w:rStyle w:val="Hyperlink"/>
          </w:rPr>
          <w:t xml:space="preserve">UK Parliament</w:t>
        </w:r>
      </w:hyperlink>
      <w:r>
        <w:t xml:space="preserve">)</w:t>
      </w:r>
    </w:p>
    <w:p>
      <w:pPr>
        <w:sectPr>
          <w:footerReference w:type="first" r:id="rId13"/>
          <w:footerReference w:type="default" r:id="rId11"/>
          <w:footerReference w:type="even" r:id="rId10"/>
          <w:type w:val="nextPage"/>
        </w:sectPr>
      </w:pPr>
    </w:p>
    <w:bookmarkEnd w:id="108"/>
    <w:bookmarkEnd w:id="109"/>
    <w:bookmarkStart w:id="122" w:name="germany"/>
    <w:p>
      <w:pPr>
        <w:pStyle w:val="Heading1"/>
      </w:pPr>
      <w:r>
        <w:t xml:space="preserve">GERMANY</w:t>
      </w:r>
    </w:p>
    <w:bookmarkStart w:id="110" w:name="final-categories"/>
    <w:p>
      <w:pPr>
        <w:pStyle w:val="Heading2"/>
      </w:pPr>
      <w:r>
        <w:t xml:space="preserve">Final categories</w:t>
      </w:r>
    </w:p>
    <w:p>
      <w:pPr>
        <w:pStyle w:val="FirstParagraph"/>
      </w:pPr>
      <w:r>
        <w:t xml:space="preserve">Germany applies</w:t>
      </w:r>
      <w:r>
        <w:t xml:space="preserve"> </w:t>
      </w:r>
      <w:r>
        <w:rPr>
          <w:b/>
          <w:bCs/>
        </w:rPr>
        <w:t xml:space="preserve">two distinct, formal classification layers</w:t>
      </w:r>
      <w:r>
        <w:t xml:space="preserve"> </w:t>
      </w:r>
      <w:r>
        <w:t xml:space="preserve">that can bring health-sector entities/systems into heightened cybersecurity obligations:</w:t>
      </w:r>
    </w:p>
    <w:p>
      <w:pPr>
        <w:pStyle w:val="Compact"/>
        <w:numPr>
          <w:ilvl w:val="0"/>
          <w:numId w:val="1066"/>
        </w:numPr>
      </w:pPr>
      <w:r>
        <w:rPr>
          <w:b/>
          <w:bCs/>
        </w:rPr>
        <w:t xml:space="preserve">KRITIS (Critical Infrastructure) — “Kritische Anlagen” / critical installations (anlagenbezogen)</w:t>
      </w:r>
    </w:p>
    <w:p>
      <w:pPr>
        <w:pStyle w:val="Compact"/>
        <w:numPr>
          <w:ilvl w:val="1"/>
          <w:numId w:val="1067"/>
        </w:numPr>
      </w:pPr>
      <w:r>
        <w:t xml:space="preserve">Instrument:</w:t>
      </w:r>
      <w:r>
        <w:t xml:space="preserve"> </w:t>
      </w:r>
      <w:r>
        <w:rPr>
          <w:b/>
          <w:bCs/>
        </w:rPr>
        <w:t xml:space="preserve">BSI-Kritisverordnung (BSI-KritisV)</w:t>
      </w:r>
      <w:r>
        <w:t xml:space="preserve"> </w:t>
      </w:r>
      <w:r>
        <w:t xml:space="preserve">(Verordnung zur Bestimmung kritischer Anlagen nach dem BSI-Gesetz). (</w:t>
      </w:r>
      <w:hyperlink r:id="rId48">
        <w:r>
          <w:rPr>
            <w:rStyle w:val="Hyperlink"/>
          </w:rPr>
          <w:t xml:space="preserve">Gesetze im Internet</w:t>
        </w:r>
      </w:hyperlink>
      <w:r>
        <w:t xml:space="preserve">)</w:t>
      </w:r>
    </w:p>
    <w:p>
      <w:pPr>
        <w:pStyle w:val="Compact"/>
        <w:numPr>
          <w:ilvl w:val="1"/>
          <w:numId w:val="1067"/>
        </w:numPr>
      </w:pPr>
      <w:r>
        <w:t xml:space="preserve">Health sector thresholds are in</w:t>
      </w:r>
      <w:r>
        <w:t xml:space="preserve"> </w:t>
      </w:r>
      <w:r>
        <w:rPr>
          <w:b/>
          <w:bCs/>
        </w:rPr>
        <w:t xml:space="preserve">Anhang 5 (Sektor Gesundheit)</w:t>
      </w:r>
      <w:r>
        <w:t xml:space="preserve">. (</w:t>
      </w:r>
      <w:hyperlink r:id="rId49">
        <w:r>
          <w:rPr>
            <w:rStyle w:val="Hyperlink"/>
          </w:rPr>
          <w:t xml:space="preserve">Gesetze im Internet</w:t>
        </w:r>
      </w:hyperlink>
      <w:r>
        <w:t xml:space="preserve">)</w:t>
      </w:r>
    </w:p>
    <w:p>
      <w:pPr>
        <w:pStyle w:val="Compact"/>
        <w:numPr>
          <w:ilvl w:val="0"/>
          <w:numId w:val="1066"/>
        </w:numPr>
      </w:pPr>
      <w:r>
        <w:rPr>
          <w:b/>
          <w:bCs/>
        </w:rPr>
        <w:t xml:space="preserve">NIS2 implementation (entity-based) — “Besonders wichtige Einrichtungen” and “Wichtige Einrichtungen”</w:t>
      </w:r>
    </w:p>
    <w:p>
      <w:pPr>
        <w:pStyle w:val="Compact"/>
        <w:numPr>
          <w:ilvl w:val="1"/>
          <w:numId w:val="1068"/>
        </w:numPr>
      </w:pPr>
      <w:r>
        <w:t xml:space="preserve">Instrument:</w:t>
      </w:r>
      <w:r>
        <w:t xml:space="preserve"> </w:t>
      </w:r>
      <w:r>
        <w:rPr>
          <w:b/>
          <w:bCs/>
        </w:rPr>
        <w:t xml:space="preserve">BSI-Gesetz (BSIG)</w:t>
      </w:r>
      <w:r>
        <w:t xml:space="preserve"> </w:t>
      </w:r>
      <w:r>
        <w:t xml:space="preserve">(2025 consolidated version on Gesetze-im-Internet), including sector lists in</w:t>
      </w:r>
      <w:r>
        <w:t xml:space="preserve"> </w:t>
      </w:r>
      <w:r>
        <w:rPr>
          <w:b/>
          <w:bCs/>
        </w:rPr>
        <w:t xml:space="preserve">Anlage 1</w:t>
      </w:r>
      <w:r>
        <w:t xml:space="preserve"> </w:t>
      </w:r>
      <w:r>
        <w:t xml:space="preserve">and</w:t>
      </w:r>
      <w:r>
        <w:t xml:space="preserve"> </w:t>
      </w:r>
      <w:r>
        <w:rPr>
          <w:b/>
          <w:bCs/>
        </w:rPr>
        <w:t xml:space="preserve">Anlage 2</w:t>
      </w:r>
      <w:r>
        <w:t xml:space="preserve">. (</w:t>
      </w:r>
      <w:hyperlink r:id="rId50">
        <w:r>
          <w:rPr>
            <w:rStyle w:val="Hyperlink"/>
          </w:rPr>
          <w:t xml:space="preserve">Gesetze im Internet</w:t>
        </w:r>
      </w:hyperlink>
      <w:r>
        <w:t xml:space="preserve">)</w:t>
      </w:r>
    </w:p>
    <w:p>
      <w:pPr>
        <w:pStyle w:val="Compact"/>
        <w:numPr>
          <w:ilvl w:val="1"/>
          <w:numId w:val="1068"/>
        </w:numPr>
      </w:pPr>
      <w:r>
        <w:t xml:space="preserve">Official statements indicate the</w:t>
      </w:r>
      <w:r>
        <w:t xml:space="preserve"> </w:t>
      </w:r>
      <w:r>
        <w:rPr>
          <w:b/>
          <w:bCs/>
        </w:rPr>
        <w:t xml:space="preserve">NIS-2 implementation law entered into force on 6 Dec 2025</w:t>
      </w:r>
      <w:r>
        <w:t xml:space="preserve">. (</w:t>
      </w:r>
      <w:hyperlink r:id="rId51">
        <w:r>
          <w:rPr>
            <w:rStyle w:val="Hyperlink"/>
          </w:rPr>
          <w:t xml:space="preserve">Bundesregierung</w:t>
        </w:r>
      </w:hyperlink>
      <w:r>
        <w:t xml:space="preserve">)</w:t>
      </w:r>
    </w:p>
    <w:bookmarkEnd w:id="110"/>
    <w:bookmarkStart w:id="113" w:name="Xe86b77714156afcb83fad7a47ef1a8dc611b949"/>
    <w:p>
      <w:pPr>
        <w:pStyle w:val="Heading2"/>
      </w:pPr>
      <w:r>
        <w:t xml:space="preserve">Exact legal / regulatory criteria (how classification is determined)</w:t>
      </w:r>
    </w:p>
    <w:bookmarkStart w:id="111" w:name="X387a638c6e233a030549f90eadee0f64ddfc07d"/>
    <w:p>
      <w:pPr>
        <w:pStyle w:val="Heading3"/>
      </w:pPr>
      <w:r>
        <w:t xml:space="preserve">A) KRITIS (Health sector) — threshold test in BSI-KritisV Anhang 5</w:t>
      </w:r>
    </w:p>
    <w:p>
      <w:pPr>
        <w:pStyle w:val="FirstParagraph"/>
      </w:pPr>
      <w:r>
        <w:t xml:space="preserve">A health installation is KRITIS-relevant when it matches an Anlagenkategorie in</w:t>
      </w:r>
      <w:r>
        <w:t xml:space="preserve"> </w:t>
      </w:r>
      <w:r>
        <w:rPr>
          <w:b/>
          <w:bCs/>
        </w:rPr>
        <w:t xml:space="preserve">Anhang 5</w:t>
      </w:r>
      <w:r>
        <w:t xml:space="preserve"> </w:t>
      </w:r>
      <w:r>
        <w:t xml:space="preserve">and meets the defined</w:t>
      </w:r>
      <w:r>
        <w:t xml:space="preserve"> </w:t>
      </w:r>
      <w:r>
        <w:rPr>
          <w:b/>
          <w:bCs/>
        </w:rPr>
        <w:t xml:space="preserve">Schwellenwert</w:t>
      </w:r>
      <w:r>
        <w:t xml:space="preserve">.</w:t>
      </w:r>
    </w:p>
    <w:p>
      <w:pPr>
        <w:pStyle w:val="BodyText"/>
      </w:pPr>
      <w:r>
        <w:t xml:space="preserve">Examples explicitly shown in the annex include:</w:t>
      </w:r>
    </w:p>
    <w:p>
      <w:pPr>
        <w:pStyle w:val="Compact"/>
        <w:numPr>
          <w:ilvl w:val="0"/>
          <w:numId w:val="1069"/>
        </w:numPr>
      </w:pPr>
      <w:r>
        <w:rPr>
          <w:b/>
          <w:bCs/>
        </w:rPr>
        <w:t xml:space="preserve">Hospitals (Krankenhaus)</w:t>
      </w:r>
      <w:r>
        <w:t xml:space="preserve">:</w:t>
      </w:r>
      <w:r>
        <w:t xml:space="preserve"> </w:t>
      </w:r>
      <w:r>
        <w:rPr>
          <w:b/>
          <w:bCs/>
        </w:rPr>
        <w:t xml:space="preserve">Vollstationäre Fallzahl/Jahr = 30,000</w:t>
      </w:r>
      <w:r>
        <w:t xml:space="preserve">. (</w:t>
      </w:r>
      <w:hyperlink r:id="rId49">
        <w:r>
          <w:rPr>
            <w:rStyle w:val="Hyperlink"/>
          </w:rPr>
          <w:t xml:space="preserve">Gesetze im Internet</w:t>
        </w:r>
      </w:hyperlink>
      <w:r>
        <w:t xml:space="preserve">)</w:t>
      </w:r>
    </w:p>
    <w:p>
      <w:pPr>
        <w:pStyle w:val="Compact"/>
        <w:numPr>
          <w:ilvl w:val="0"/>
          <w:numId w:val="1069"/>
        </w:numPr>
      </w:pPr>
      <w:r>
        <w:rPr>
          <w:b/>
          <w:bCs/>
        </w:rPr>
        <w:t xml:space="preserve">Labor / lab IT service constellation</w:t>
      </w:r>
      <w:r>
        <w:t xml:space="preserve"> </w:t>
      </w:r>
      <w:r>
        <w:t xml:space="preserve">(diagnostics/therapy-control IT services for at least one lab):</w:t>
      </w:r>
      <w:r>
        <w:t xml:space="preserve"> </w:t>
      </w:r>
      <w:r>
        <w:rPr>
          <w:b/>
          <w:bCs/>
        </w:rPr>
        <w:t xml:space="preserve">1,500,000</w:t>
      </w:r>
      <w:r>
        <w:t xml:space="preserve"> </w:t>
      </w:r>
      <w:r>
        <w:t xml:space="preserve">(threshold shown in the Anhang 5 text snippet). (</w:t>
      </w:r>
      <w:hyperlink r:id="rId49">
        <w:r>
          <w:rPr>
            <w:rStyle w:val="Hyperlink"/>
          </w:rPr>
          <w:t xml:space="preserve">Gesetze im Internet</w:t>
        </w:r>
      </w:hyperlink>
      <w:r>
        <w:t xml:space="preserve">)</w:t>
      </w:r>
    </w:p>
    <w:p>
      <w:pPr>
        <w:pStyle w:val="Compact"/>
        <w:numPr>
          <w:ilvl w:val="0"/>
          <w:numId w:val="1069"/>
        </w:numPr>
      </w:pPr>
      <w:r>
        <w:rPr>
          <w:b/>
          <w:bCs/>
        </w:rPr>
        <w:t xml:space="preserve">Blood/plasma donation control system</w:t>
      </w:r>
      <w:r>
        <w:t xml:space="preserve"> </w:t>
      </w:r>
      <w:r>
        <w:t xml:space="preserve">(</w:t>
      </w:r>
      <w:r>
        <w:rPr>
          <w:i/>
          <w:iCs/>
        </w:rPr>
        <w:t xml:space="preserve">Blut- oder Plasmaspendensteuerungssystem</w:t>
      </w:r>
      <w:r>
        <w:t xml:space="preserve">):</w:t>
      </w:r>
      <w:r>
        <w:t xml:space="preserve"> </w:t>
      </w:r>
      <w:r>
        <w:rPr>
          <w:b/>
          <w:bCs/>
        </w:rPr>
        <w:t xml:space="preserve">Hergestellte oder in Verkehr gebrachte Produkte/Jahr = 34,000</w:t>
      </w:r>
      <w:r>
        <w:t xml:space="preserve">. (</w:t>
      </w:r>
      <w:hyperlink r:id="rId52">
        <w:r>
          <w:rPr>
            <w:rStyle w:val="Hyperlink"/>
          </w:rPr>
          <w:t xml:space="preserve">Gesetze im Internet</w:t>
        </w:r>
      </w:hyperlink>
      <w:r>
        <w:t xml:space="preserve">)</w:t>
      </w:r>
    </w:p>
    <w:p>
      <w:pPr>
        <w:pStyle w:val="FirstParagraph"/>
      </w:pPr>
      <w:r>
        <w:rPr>
          <w:b/>
          <w:bCs/>
        </w:rPr>
        <w:t xml:space="preserve">Timing rule (when KRITIS status applies):</w:t>
      </w:r>
      <w:r>
        <w:t xml:space="preserve"> </w:t>
      </w:r>
      <w:r>
        <w:t xml:space="preserve">the BSI-KritisV provides that an installation is treated as KRITIS</w:t>
      </w:r>
      <w:r>
        <w:t xml:space="preserve"> </w:t>
      </w:r>
      <w:r>
        <w:rPr>
          <w:b/>
          <w:bCs/>
        </w:rPr>
        <w:t xml:space="preserve">from 1 April of the calendar year following</w:t>
      </w:r>
      <w:r>
        <w:t xml:space="preserve"> </w:t>
      </w:r>
      <w:r>
        <w:t xml:space="preserve">the year in which the threshold is first reached/ exceeded (and ceases similarly after dropping below). (</w:t>
      </w:r>
      <w:hyperlink r:id="rId53">
        <w:r>
          <w:rPr>
            <w:rStyle w:val="Hyperlink"/>
          </w:rPr>
          <w:t xml:space="preserve">bmi.bund.de</w:t>
        </w:r>
      </w:hyperlink>
      <w:r>
        <w:t xml:space="preserve">)</w:t>
      </w:r>
    </w:p>
    <w:bookmarkEnd w:id="111"/>
    <w:bookmarkStart w:id="112" w:name="X3373c86cb63be87bb8a69f9e4f41946acbe91ac"/>
    <w:p>
      <w:pPr>
        <w:pStyle w:val="Heading3"/>
      </w:pPr>
      <w:r>
        <w:t xml:space="preserve">B) NIS2 (BSIG 2025) — entity/sector test via Anlage 1 &amp; Anlage 2</w:t>
      </w:r>
    </w:p>
    <w:p>
      <w:pPr>
        <w:pStyle w:val="FirstParagraph"/>
      </w:pPr>
      <w:r>
        <w:t xml:space="preserve">Under the BSIG consolidated 2025 version, the sector lists in</w:t>
      </w:r>
      <w:r>
        <w:t xml:space="preserve"> </w:t>
      </w:r>
      <w:r>
        <w:rPr>
          <w:b/>
          <w:bCs/>
        </w:rPr>
        <w:t xml:space="preserve">Anlage 1</w:t>
      </w:r>
      <w:r>
        <w:t xml:space="preserve"> </w:t>
      </w:r>
      <w:r>
        <w:t xml:space="preserve">and</w:t>
      </w:r>
      <w:r>
        <w:t xml:space="preserve"> </w:t>
      </w:r>
      <w:r>
        <w:rPr>
          <w:b/>
          <w:bCs/>
        </w:rPr>
        <w:t xml:space="preserve">Anlage 2</w:t>
      </w:r>
      <w:r>
        <w:t xml:space="preserve"> </w:t>
      </w:r>
      <w:r>
        <w:t xml:space="preserve">are used to classify organisations as:</w:t>
      </w:r>
    </w:p>
    <w:p>
      <w:pPr>
        <w:pStyle w:val="Compact"/>
        <w:numPr>
          <w:ilvl w:val="0"/>
          <w:numId w:val="1070"/>
        </w:numPr>
      </w:pPr>
      <w:r>
        <w:rPr>
          <w:b/>
          <w:bCs/>
        </w:rPr>
        <w:t xml:space="preserve">“Besonders wichtige Einrichtungen”</w:t>
      </w:r>
      <w:r>
        <w:t xml:space="preserve"> </w:t>
      </w:r>
      <w:r>
        <w:t xml:space="preserve">(especially important) and/or</w:t>
      </w:r>
    </w:p>
    <w:p>
      <w:pPr>
        <w:pStyle w:val="Compact"/>
        <w:numPr>
          <w:ilvl w:val="0"/>
          <w:numId w:val="1070"/>
        </w:numPr>
      </w:pPr>
      <w:r>
        <w:rPr>
          <w:b/>
          <w:bCs/>
        </w:rPr>
        <w:t xml:space="preserve">“Wichtige Einrichtungen”</w:t>
      </w:r>
      <w:r>
        <w:t xml:space="preserve"> </w:t>
      </w:r>
      <w:r>
        <w:t xml:space="preserve">(important),</w:t>
      </w:r>
    </w:p>
    <w:p>
      <w:pPr>
        <w:pStyle w:val="FirstParagraph"/>
      </w:pPr>
      <w:r>
        <w:t xml:space="preserve">depending on the applicable sector listing and legal framing. (</w:t>
      </w:r>
      <w:hyperlink r:id="rId93">
        <w:r>
          <w:rPr>
            <w:rStyle w:val="Hyperlink"/>
          </w:rPr>
          <w:t xml:space="preserve">Gesetze im Internet</w:t>
        </w:r>
      </w:hyperlink>
      <w:r>
        <w:t xml:space="preserve">)</w:t>
      </w:r>
    </w:p>
    <w:p>
      <w:pPr>
        <w:pStyle w:val="BodyText"/>
      </w:pPr>
      <w:r>
        <w:rPr>
          <w:b/>
          <w:bCs/>
        </w:rPr>
        <w:t xml:space="preserve">Health-relevant entries evidenced in the annexes include:</w:t>
      </w:r>
    </w:p>
    <w:p>
      <w:pPr>
        <w:pStyle w:val="Compact"/>
        <w:numPr>
          <w:ilvl w:val="0"/>
          <w:numId w:val="1071"/>
        </w:numPr>
      </w:pPr>
      <w:r>
        <w:rPr>
          <w:b/>
          <w:bCs/>
        </w:rPr>
        <w:t xml:space="preserve">Anlage 1</w:t>
      </w:r>
      <w:r>
        <w:t xml:space="preserve"> </w:t>
      </w:r>
      <w:r>
        <w:t xml:space="preserve">contains health-related entries such as</w:t>
      </w:r>
      <w:r>
        <w:t xml:space="preserve"> </w:t>
      </w:r>
      <w:r>
        <w:rPr>
          <w:b/>
          <w:bCs/>
        </w:rPr>
        <w:t xml:space="preserve">pharmaceutical R&amp;D</w:t>
      </w:r>
      <w:r>
        <w:t xml:space="preserve"> </w:t>
      </w:r>
      <w:r>
        <w:t xml:space="preserve">(in relation to medicines), and references to</w:t>
      </w:r>
      <w:r>
        <w:t xml:space="preserve"> </w:t>
      </w:r>
      <w:r>
        <w:rPr>
          <w:b/>
          <w:bCs/>
        </w:rPr>
        <w:t xml:space="preserve">medical devices for public-health emergency situations</w:t>
      </w:r>
      <w:r>
        <w:t xml:space="preserve"> </w:t>
      </w:r>
      <w:r>
        <w:t xml:space="preserve">(linked to EU emergency mechanisms). (</w:t>
      </w:r>
      <w:hyperlink r:id="rId93">
        <w:r>
          <w:rPr>
            <w:rStyle w:val="Hyperlink"/>
          </w:rPr>
          <w:t xml:space="preserve">Gesetze im Internet</w:t>
        </w:r>
      </w:hyperlink>
      <w:r>
        <w:t xml:space="preserve">)</w:t>
      </w:r>
    </w:p>
    <w:p>
      <w:pPr>
        <w:pStyle w:val="Compact"/>
        <w:numPr>
          <w:ilvl w:val="0"/>
          <w:numId w:val="1071"/>
        </w:numPr>
      </w:pPr>
      <w:r>
        <w:rPr>
          <w:b/>
          <w:bCs/>
        </w:rPr>
        <w:t xml:space="preserve">Anlage 2</w:t>
      </w:r>
      <w:r>
        <w:t xml:space="preserve"> </w:t>
      </w:r>
      <w:r>
        <w:t xml:space="preserve">includes</w:t>
      </w:r>
      <w:r>
        <w:t xml:space="preserve"> </w:t>
      </w:r>
      <w:r>
        <w:rPr>
          <w:b/>
          <w:bCs/>
        </w:rPr>
        <w:t xml:space="preserve">manufacture of in-vitro diagnostics</w:t>
      </w:r>
      <w:r>
        <w:t xml:space="preserve"> </w:t>
      </w:r>
      <w:r>
        <w:t xml:space="preserve">and related medical device manufacturing language (as shown in the Anlage 2 snippet). (</w:t>
      </w:r>
      <w:hyperlink r:id="rId94">
        <w:r>
          <w:rPr>
            <w:rStyle w:val="Hyperlink"/>
          </w:rPr>
          <w:t xml:space="preserve">Gesetze im Internet</w:t>
        </w:r>
      </w:hyperlink>
      <w:r>
        <w:t xml:space="preserve">)</w:t>
      </w:r>
    </w:p>
    <w:p>
      <w:pPr>
        <w:pStyle w:val="FirstParagraph"/>
      </w:pPr>
      <w:r>
        <w:rPr>
          <w:i/>
          <w:iCs/>
        </w:rPr>
        <w:t xml:space="preserve">(The evidence above is limited to the retrieved official passages.)</w:t>
      </w:r>
    </w:p>
    <w:bookmarkEnd w:id="112"/>
    <w:bookmarkEnd w:id="113"/>
    <w:bookmarkStart w:id="114" w:name="X28e7800a94386643abce5621775c397a50076fe"/>
    <w:p>
      <w:pPr>
        <w:pStyle w:val="Heading2"/>
      </w:pPr>
      <w:r>
        <w:t xml:space="preserve">Registration / notification (explicit requirement)</w:t>
      </w:r>
    </w:p>
    <w:p>
      <w:pPr>
        <w:pStyle w:val="FirstParagraph"/>
      </w:pPr>
      <w:r>
        <w:t xml:space="preserve">The BSIG includes a</w:t>
      </w:r>
      <w:r>
        <w:t xml:space="preserve"> </w:t>
      </w:r>
      <w:r>
        <w:rPr>
          <w:b/>
          <w:bCs/>
        </w:rPr>
        <w:t xml:space="preserve">registration obligation</w:t>
      </w:r>
      <w:r>
        <w:t xml:space="preserve">: covered entities must register</w:t>
      </w:r>
      <w:r>
        <w:t xml:space="preserve"> </w:t>
      </w:r>
      <w:r>
        <w:rPr>
          <w:b/>
          <w:bCs/>
        </w:rPr>
        <w:t xml:space="preserve">no later than three months</w:t>
      </w:r>
      <w:r>
        <w:t xml:space="preserve"> </w:t>
      </w:r>
      <w:r>
        <w:t xml:space="preserve">and provide required information to the competent system/authority. (</w:t>
      </w:r>
      <w:hyperlink r:id="rId96">
        <w:r>
          <w:rPr>
            <w:rStyle w:val="Hyperlink"/>
          </w:rPr>
          <w:t xml:space="preserve">Gesetze im Internet</w:t>
        </w:r>
      </w:hyperlink>
      <w:r>
        <w:t xml:space="preserve">)</w:t>
      </w:r>
    </w:p>
    <w:bookmarkEnd w:id="114"/>
    <w:bookmarkStart w:id="115" w:name="grading-tiering-scheme-as-evidenced"/>
    <w:p>
      <w:pPr>
        <w:pStyle w:val="Heading2"/>
      </w:pPr>
      <w:r>
        <w:t xml:space="preserve">Grading / tiering scheme (as evidenced)</w:t>
      </w:r>
    </w:p>
    <w:p>
      <w:pPr>
        <w:pStyle w:val="Compact"/>
        <w:numPr>
          <w:ilvl w:val="0"/>
          <w:numId w:val="1072"/>
        </w:numPr>
      </w:pPr>
      <w:r>
        <w:rPr>
          <w:b/>
          <w:bCs/>
        </w:rPr>
        <w:t xml:space="preserve">KRITIS (BSI-KritisV):</w:t>
      </w:r>
      <w:r>
        <w:t xml:space="preserve"> </w:t>
      </w:r>
      <w:r>
        <w:t xml:space="preserve">effectively</w:t>
      </w:r>
      <w:r>
        <w:t xml:space="preserve"> </w:t>
      </w:r>
      <w:r>
        <w:rPr>
          <w:b/>
          <w:bCs/>
        </w:rPr>
        <w:t xml:space="preserve">binary</w:t>
      </w:r>
      <w:r>
        <w:t xml:space="preserve"> </w:t>
      </w:r>
      <w:r>
        <w:t xml:space="preserve">at installation level (threshold met vs not met), using</w:t>
      </w:r>
      <w:r>
        <w:t xml:space="preserve"> </w:t>
      </w:r>
      <w:r>
        <w:rPr>
          <w:b/>
          <w:bCs/>
        </w:rPr>
        <w:t xml:space="preserve">numeric thresholds</w:t>
      </w:r>
      <w:r>
        <w:t xml:space="preserve"> </w:t>
      </w:r>
      <w:r>
        <w:t xml:space="preserve">in Anhang 5. (</w:t>
      </w:r>
      <w:hyperlink r:id="rId49">
        <w:r>
          <w:rPr>
            <w:rStyle w:val="Hyperlink"/>
          </w:rPr>
          <w:t xml:space="preserve">Gesetze im Internet</w:t>
        </w:r>
      </w:hyperlink>
      <w:r>
        <w:t xml:space="preserve">)</w:t>
      </w:r>
    </w:p>
    <w:p>
      <w:pPr>
        <w:pStyle w:val="Compact"/>
        <w:numPr>
          <w:ilvl w:val="0"/>
          <w:numId w:val="1072"/>
        </w:numPr>
      </w:pPr>
      <w:r>
        <w:rPr>
          <w:b/>
          <w:bCs/>
        </w:rPr>
        <w:t xml:space="preserve">NIS2 (BSIG 2025):</w:t>
      </w:r>
      <w:r>
        <w:t xml:space="preserve"> </w:t>
      </w:r>
      <w:r>
        <w:rPr>
          <w:b/>
          <w:bCs/>
        </w:rPr>
        <w:t xml:space="preserve">two-tier entity categorisation</w:t>
      </w:r>
      <w:r>
        <w:t xml:space="preserve"> </w:t>
      </w:r>
      <w:r>
        <w:t xml:space="preserve">via</w:t>
      </w:r>
      <w:r>
        <w:t xml:space="preserve"> </w:t>
      </w:r>
      <w:r>
        <w:rPr>
          <w:b/>
          <w:bCs/>
        </w:rPr>
        <w:t xml:space="preserve">Anlage 1 vs Anlage 2</w:t>
      </w:r>
      <w:r>
        <w:t xml:space="preserve"> </w:t>
      </w:r>
      <w:r>
        <w:t xml:space="preserve">structure (especially important vs important sectors/entities). (</w:t>
      </w:r>
      <w:hyperlink r:id="rId93">
        <w:r>
          <w:rPr>
            <w:rStyle w:val="Hyperlink"/>
          </w:rPr>
          <w:t xml:space="preserve">Gesetze im Internet</w:t>
        </w:r>
      </w:hyperlink>
      <w:r>
        <w:t xml:space="preserve">)</w:t>
      </w:r>
    </w:p>
    <w:bookmarkEnd w:id="115"/>
    <w:bookmarkStart w:id="117" w:name="public-vs-confidential-1"/>
    <w:p>
      <w:pPr>
        <w:pStyle w:val="Heading2"/>
      </w:pPr>
      <w:r>
        <w:t xml:space="preserve">Public vs confidential</w:t>
      </w:r>
    </w:p>
    <w:p>
      <w:pPr>
        <w:pStyle w:val="Compact"/>
        <w:numPr>
          <w:ilvl w:val="0"/>
          <w:numId w:val="1073"/>
        </w:numPr>
      </w:pPr>
      <w:r>
        <w:rPr>
          <w:b/>
          <w:bCs/>
        </w:rPr>
        <w:t xml:space="preserve">Public:</w:t>
      </w:r>
      <w:r>
        <w:t xml:space="preserve"> </w:t>
      </w:r>
      <w:r>
        <w:t xml:space="preserve">KRITIS thresholds for health are published in</w:t>
      </w:r>
      <w:r>
        <w:t xml:space="preserve"> </w:t>
      </w:r>
      <w:r>
        <w:rPr>
          <w:b/>
          <w:bCs/>
        </w:rPr>
        <w:t xml:space="preserve">Anhang 5</w:t>
      </w:r>
      <w:r>
        <w:t xml:space="preserve"> </w:t>
      </w:r>
      <w:r>
        <w:t xml:space="preserve">(Gesetze-im-Internet), and BSIG sector annexes are also published on Gesetze-im-Internet. (</w:t>
      </w:r>
      <w:hyperlink r:id="rId49">
        <w:r>
          <w:rPr>
            <w:rStyle w:val="Hyperlink"/>
          </w:rPr>
          <w:t xml:space="preserve">Gesetze im Internet</w:t>
        </w:r>
      </w:hyperlink>
      <w:r>
        <w:t xml:space="preserve">)</w:t>
      </w:r>
    </w:p>
    <w:p>
      <w:pPr>
        <w:pStyle w:val="Compact"/>
        <w:numPr>
          <w:ilvl w:val="0"/>
          <w:numId w:val="1073"/>
        </w:numPr>
      </w:pPr>
      <w:r>
        <w:rPr>
          <w:b/>
          <w:bCs/>
        </w:rPr>
        <w:t xml:space="preserve">KRITIS statistics:</w:t>
      </w:r>
      <w:r>
        <w:t xml:space="preserve"> </w:t>
      </w:r>
      <w:r>
        <w:t xml:space="preserve">BSI publishes KRITIS “in figures” (aggregated reporting). (</w:t>
      </w:r>
      <w:hyperlink r:id="rId116">
        <w:r>
          <w:rPr>
            <w:rStyle w:val="Hyperlink"/>
          </w:rPr>
          <w:t xml:space="preserve">BSI</w:t>
        </w:r>
      </w:hyperlink>
      <w:r>
        <w:t xml:space="preserve">)</w:t>
      </w:r>
    </w:p>
    <w:bookmarkEnd w:id="117"/>
    <w:bookmarkStart w:id="119" w:name="operational-note"/>
    <w:p>
      <w:pPr>
        <w:pStyle w:val="Heading2"/>
      </w:pPr>
      <w:r>
        <w:t xml:space="preserve">Operational note</w:t>
      </w:r>
    </w:p>
    <w:p>
      <w:pPr>
        <w:pStyle w:val="FirstParagraph"/>
      </w:pPr>
      <w:r>
        <w:t xml:space="preserve">Germany’s hospital sector uses</w:t>
      </w:r>
      <w:r>
        <w:t xml:space="preserve"> </w:t>
      </w:r>
      <w:r>
        <w:rPr>
          <w:b/>
          <w:bCs/>
        </w:rPr>
        <w:t xml:space="preserve">B3S (branch-specific security standard) materials</w:t>
      </w:r>
      <w:r>
        <w:t xml:space="preserve"> </w:t>
      </w:r>
      <w:r>
        <w:t xml:space="preserve">in practice. The DKG’s submitted B3S document explicitly references applicability beyond only KRITIS hospitals (e.g., those exceeding</w:t>
      </w:r>
      <w:r>
        <w:t xml:space="preserve"> </w:t>
      </w:r>
      <w:r>
        <w:rPr>
          <w:b/>
          <w:bCs/>
        </w:rPr>
        <w:t xml:space="preserve">30,000</w:t>
      </w:r>
      <w:r>
        <w:t xml:space="preserve"> </w:t>
      </w:r>
      <w:r>
        <w:t xml:space="preserve">inpatient cases) and frames B3S usage as an implementation approach in context. (</w:t>
      </w:r>
      <w:hyperlink r:id="rId118">
        <w:r>
          <w:rPr>
            <w:rStyle w:val="Hyperlink"/>
          </w:rPr>
          <w:t xml:space="preserve">dkgev.de</w:t>
        </w:r>
      </w:hyperlink>
      <w:r>
        <w:t xml:space="preserve">)</w:t>
      </w:r>
    </w:p>
    <w:bookmarkEnd w:id="119"/>
    <w:bookmarkStart w:id="121" w:name="references-germany"/>
    <w:p>
      <w:pPr>
        <w:pStyle w:val="Heading2"/>
      </w:pPr>
      <w:r>
        <w:t xml:space="preserve">References (Germany)</w:t>
      </w:r>
    </w:p>
    <w:p>
      <w:pPr>
        <w:pStyle w:val="Compact"/>
        <w:numPr>
          <w:ilvl w:val="0"/>
          <w:numId w:val="1074"/>
        </w:numPr>
      </w:pPr>
      <w:r>
        <w:rPr>
          <w:b/>
          <w:bCs/>
        </w:rPr>
        <w:t xml:space="preserve">BSI-KritisV</w:t>
      </w:r>
      <w:r>
        <w:t xml:space="preserve"> </w:t>
      </w:r>
      <w:r>
        <w:t xml:space="preserve">(Gesetze-im-Internet) — regulation index. (</w:t>
      </w:r>
      <w:hyperlink r:id="rId48">
        <w:r>
          <w:rPr>
            <w:rStyle w:val="Hyperlink"/>
          </w:rPr>
          <w:t xml:space="preserve">Gesetze im Internet</w:t>
        </w:r>
      </w:hyperlink>
      <w:r>
        <w:t xml:space="preserve">)</w:t>
      </w:r>
    </w:p>
    <w:p>
      <w:pPr>
        <w:pStyle w:val="Compact"/>
        <w:numPr>
          <w:ilvl w:val="0"/>
          <w:numId w:val="1074"/>
        </w:numPr>
      </w:pPr>
      <w:r>
        <w:rPr>
          <w:b/>
          <w:bCs/>
        </w:rPr>
        <w:t xml:space="preserve">BSI-KritisV — Anhang 5 (Sektor Gesundheit)</w:t>
      </w:r>
      <w:r>
        <w:t xml:space="preserve"> </w:t>
      </w:r>
      <w:r>
        <w:t xml:space="preserve">(Gesetze-im-Internet) — hospital threshold 30,000 cases/year (and health sector annex basis). (</w:t>
      </w:r>
      <w:hyperlink r:id="rId49">
        <w:r>
          <w:rPr>
            <w:rStyle w:val="Hyperlink"/>
          </w:rPr>
          <w:t xml:space="preserve">Gesetze im Internet</w:t>
        </w:r>
      </w:hyperlink>
      <w:r>
        <w:t xml:space="preserve">)</w:t>
      </w:r>
    </w:p>
    <w:p>
      <w:pPr>
        <w:pStyle w:val="Compact"/>
        <w:numPr>
          <w:ilvl w:val="0"/>
          <w:numId w:val="1074"/>
        </w:numPr>
      </w:pPr>
      <w:r>
        <w:rPr>
          <w:b/>
          <w:bCs/>
        </w:rPr>
        <w:t xml:space="preserve">BSI-KritisV — health/lab IT threshold evidence</w:t>
      </w:r>
      <w:r>
        <w:t xml:space="preserve"> </w:t>
      </w:r>
      <w:r>
        <w:t xml:space="preserve">(Gesetze-im-Internet snippet from Anhang 5 showing 1,500,000). (</w:t>
      </w:r>
      <w:hyperlink r:id="rId49">
        <w:r>
          <w:rPr>
            <w:rStyle w:val="Hyperlink"/>
          </w:rPr>
          <w:t xml:space="preserve">Gesetze im Internet</w:t>
        </w:r>
      </w:hyperlink>
      <w:r>
        <w:t xml:space="preserve">)</w:t>
      </w:r>
    </w:p>
    <w:p>
      <w:pPr>
        <w:pStyle w:val="Compact"/>
        <w:numPr>
          <w:ilvl w:val="0"/>
          <w:numId w:val="1074"/>
        </w:numPr>
      </w:pPr>
      <w:r>
        <w:rPr>
          <w:b/>
          <w:bCs/>
        </w:rPr>
        <w:t xml:space="preserve">BSI-KritisV — Blut-/Plasmaspendensteuerungssystem threshold 34,000</w:t>
      </w:r>
      <w:r>
        <w:t xml:space="preserve"> </w:t>
      </w:r>
      <w:r>
        <w:t xml:space="preserve">(Gesetze-im-Internet + PDF snippet). (</w:t>
      </w:r>
      <w:hyperlink r:id="rId52">
        <w:r>
          <w:rPr>
            <w:rStyle w:val="Hyperlink"/>
          </w:rPr>
          <w:t xml:space="preserve">Gesetze im Internet</w:t>
        </w:r>
      </w:hyperlink>
      <w:r>
        <w:t xml:space="preserve">)</w:t>
      </w:r>
    </w:p>
    <w:p>
      <w:pPr>
        <w:pStyle w:val="Compact"/>
        <w:numPr>
          <w:ilvl w:val="0"/>
          <w:numId w:val="1074"/>
        </w:numPr>
      </w:pPr>
      <w:r>
        <w:rPr>
          <w:b/>
          <w:bCs/>
        </w:rPr>
        <w:t xml:space="preserve">BSI-KritisV timing rule (“ab dem 1. April …”)</w:t>
      </w:r>
      <w:r>
        <w:t xml:space="preserve"> </w:t>
      </w:r>
      <w:r>
        <w:t xml:space="preserve">(BMI PDF + Gesetze snippet). (</w:t>
      </w:r>
      <w:hyperlink r:id="rId53">
        <w:r>
          <w:rPr>
            <w:rStyle w:val="Hyperlink"/>
          </w:rPr>
          <w:t xml:space="preserve">bmi.bund.de</w:t>
        </w:r>
      </w:hyperlink>
      <w:r>
        <w:t xml:space="preserve">)</w:t>
      </w:r>
    </w:p>
    <w:p>
      <w:pPr>
        <w:pStyle w:val="Compact"/>
        <w:numPr>
          <w:ilvl w:val="0"/>
          <w:numId w:val="1074"/>
        </w:numPr>
      </w:pPr>
      <w:r>
        <w:rPr>
          <w:b/>
          <w:bCs/>
        </w:rPr>
        <w:t xml:space="preserve">BSIG (2025 consolidated)</w:t>
      </w:r>
      <w:r>
        <w:t xml:space="preserve"> </w:t>
      </w:r>
      <w:r>
        <w:t xml:space="preserve">(Gesetze-im-Internet) +</w:t>
      </w:r>
      <w:r>
        <w:t xml:space="preserve"> </w:t>
      </w:r>
      <w:r>
        <w:rPr>
          <w:b/>
          <w:bCs/>
        </w:rPr>
        <w:t xml:space="preserve">Anlage 1</w:t>
      </w:r>
      <w:r>
        <w:t xml:space="preserve"> </w:t>
      </w:r>
      <w:r>
        <w:t xml:space="preserve">+</w:t>
      </w:r>
      <w:r>
        <w:t xml:space="preserve"> </w:t>
      </w:r>
      <w:r>
        <w:rPr>
          <w:b/>
          <w:bCs/>
        </w:rPr>
        <w:t xml:space="preserve">Anlage 2</w:t>
      </w:r>
      <w:r>
        <w:t xml:space="preserve">. (</w:t>
      </w:r>
      <w:hyperlink r:id="rId50">
        <w:r>
          <w:rPr>
            <w:rStyle w:val="Hyperlink"/>
          </w:rPr>
          <w:t xml:space="preserve">Gesetze im Internet</w:t>
        </w:r>
      </w:hyperlink>
      <w:r>
        <w:t xml:space="preserve">)</w:t>
      </w:r>
    </w:p>
    <w:p>
      <w:pPr>
        <w:pStyle w:val="Compact"/>
        <w:numPr>
          <w:ilvl w:val="0"/>
          <w:numId w:val="1074"/>
        </w:numPr>
      </w:pPr>
      <w:r>
        <w:rPr>
          <w:b/>
          <w:bCs/>
        </w:rPr>
        <w:t xml:space="preserve">Anlage 1 health-related entries (pharma R&amp;D; emergency medical device linkage)</w:t>
      </w:r>
      <w:r>
        <w:t xml:space="preserve"> </w:t>
      </w:r>
      <w:r>
        <w:t xml:space="preserve">(Gesetze-im-Internet snippet). (</w:t>
      </w:r>
      <w:hyperlink r:id="rId93">
        <w:r>
          <w:rPr>
            <w:rStyle w:val="Hyperlink"/>
          </w:rPr>
          <w:t xml:space="preserve">Gesetze im Internet</w:t>
        </w:r>
      </w:hyperlink>
      <w:r>
        <w:t xml:space="preserve">)</w:t>
      </w:r>
    </w:p>
    <w:p>
      <w:pPr>
        <w:pStyle w:val="Compact"/>
        <w:numPr>
          <w:ilvl w:val="0"/>
          <w:numId w:val="1074"/>
        </w:numPr>
      </w:pPr>
      <w:r>
        <w:rPr>
          <w:b/>
          <w:bCs/>
        </w:rPr>
        <w:t xml:space="preserve">Anlage 2 health supply-chain entry (in-vitro diagnostics / medical devices manufacturing snippet)</w:t>
      </w:r>
      <w:r>
        <w:t xml:space="preserve"> </w:t>
      </w:r>
      <w:r>
        <w:t xml:space="preserve">(Gesetze-im-Internet snippet). (</w:t>
      </w:r>
      <w:hyperlink r:id="rId94">
        <w:r>
          <w:rPr>
            <w:rStyle w:val="Hyperlink"/>
          </w:rPr>
          <w:t xml:space="preserve">Gesetze im Internet</w:t>
        </w:r>
      </w:hyperlink>
      <w:r>
        <w:t xml:space="preserve">)</w:t>
      </w:r>
    </w:p>
    <w:p>
      <w:pPr>
        <w:pStyle w:val="Compact"/>
        <w:numPr>
          <w:ilvl w:val="0"/>
          <w:numId w:val="1074"/>
        </w:numPr>
      </w:pPr>
      <w:r>
        <w:rPr>
          <w:b/>
          <w:bCs/>
        </w:rPr>
        <w:t xml:space="preserve">BSIG §33 registration obligation (“spätestens drei Monate …”)</w:t>
      </w:r>
      <w:r>
        <w:t xml:space="preserve"> </w:t>
      </w:r>
      <w:r>
        <w:t xml:space="preserve">(Gesetze-im-Internet snippet). (</w:t>
      </w:r>
      <w:hyperlink r:id="rId96">
        <w:r>
          <w:rPr>
            <w:rStyle w:val="Hyperlink"/>
          </w:rPr>
          <w:t xml:space="preserve">Gesetze im Internet</w:t>
        </w:r>
      </w:hyperlink>
      <w:r>
        <w:t xml:space="preserve">)</w:t>
      </w:r>
    </w:p>
    <w:p>
      <w:pPr>
        <w:pStyle w:val="Compact"/>
        <w:numPr>
          <w:ilvl w:val="0"/>
          <w:numId w:val="1074"/>
        </w:numPr>
      </w:pPr>
      <w:r>
        <w:rPr>
          <w:b/>
          <w:bCs/>
        </w:rPr>
        <w:t xml:space="preserve">Entry into force date (6 Dec 2025) — Federal Government + BSI press release</w:t>
      </w:r>
      <w:r>
        <w:t xml:space="preserve">. (</w:t>
      </w:r>
      <w:hyperlink r:id="rId51">
        <w:r>
          <w:rPr>
            <w:rStyle w:val="Hyperlink"/>
          </w:rPr>
          <w:t xml:space="preserve">Bundesregierung</w:t>
        </w:r>
      </w:hyperlink>
      <w:r>
        <w:t xml:space="preserve">)</w:t>
      </w:r>
    </w:p>
    <w:p>
      <w:pPr>
        <w:pStyle w:val="Compact"/>
        <w:numPr>
          <w:ilvl w:val="0"/>
          <w:numId w:val="1074"/>
        </w:numPr>
      </w:pPr>
      <w:r>
        <w:rPr>
          <w:b/>
          <w:bCs/>
        </w:rPr>
        <w:t xml:space="preserve">EU Regulation (EU) 2022/123 — Article 22 (“Liste kritischer Medizinprodukte …”)</w:t>
      </w:r>
      <w:r>
        <w:t xml:space="preserve"> </w:t>
      </w:r>
      <w:r>
        <w:t xml:space="preserve">(EUR-Lex PDF). (</w:t>
      </w:r>
      <w:hyperlink r:id="rId120">
        <w:r>
          <w:rPr>
            <w:rStyle w:val="Hyperlink"/>
          </w:rPr>
          <w:t xml:space="preserve">EUR-Lex</w:t>
        </w:r>
      </w:hyperlink>
      <w:r>
        <w:t xml:space="preserve">)</w:t>
      </w:r>
    </w:p>
    <w:p>
      <w:pPr>
        <w:pStyle w:val="Compact"/>
        <w:numPr>
          <w:ilvl w:val="0"/>
          <w:numId w:val="1074"/>
        </w:numPr>
      </w:pPr>
      <w:r>
        <w:rPr>
          <w:b/>
          <w:bCs/>
        </w:rPr>
        <w:t xml:space="preserve">DKG B3S hospital security standard submission document (2025-07-25)</w:t>
      </w:r>
      <w:r>
        <w:t xml:space="preserve"> </w:t>
      </w:r>
      <w:r>
        <w:t xml:space="preserve">(PDF). (</w:t>
      </w:r>
      <w:hyperlink r:id="rId118">
        <w:r>
          <w:rPr>
            <w:rStyle w:val="Hyperlink"/>
          </w:rPr>
          <w:t xml:space="preserve">dkgev.de</w:t>
        </w:r>
      </w:hyperlink>
      <w:r>
        <w:t xml:space="preserve">)</w:t>
      </w:r>
    </w:p>
    <w:p>
      <w:pPr>
        <w:sectPr>
          <w:footerReference w:type="first" r:id="rId13"/>
          <w:footerReference w:type="default" r:id="rId11"/>
          <w:footerReference w:type="even" r:id="rId10"/>
          <w:type w:val="nextPage"/>
        </w:sectPr>
      </w:pPr>
    </w:p>
    <w:bookmarkEnd w:id="121"/>
    <w:bookmarkEnd w:id="122"/>
    <w:bookmarkStart w:id="131" w:name="singapore"/>
    <w:p>
      <w:pPr>
        <w:pStyle w:val="Heading1"/>
      </w:pPr>
      <w:r>
        <w:t xml:space="preserve">SINGAPORE</w:t>
      </w:r>
    </w:p>
    <w:bookmarkStart w:id="123" w:name="final-categories-1"/>
    <w:p>
      <w:pPr>
        <w:pStyle w:val="Heading2"/>
      </w:pPr>
      <w:r>
        <w:rPr>
          <w:b/>
          <w:bCs/>
        </w:rPr>
        <w:t xml:space="preserve">Final Categories</w:t>
      </w:r>
    </w:p>
    <w:p>
      <w:pPr>
        <w:pStyle w:val="FirstParagraph"/>
      </w:pPr>
      <w:r>
        <w:rPr>
          <w:b/>
          <w:bCs/>
        </w:rPr>
        <w:t xml:space="preserve">Cybersecurity Act (2018; amended 2024)</w:t>
      </w:r>
    </w:p>
    <w:p>
      <w:pPr>
        <w:pStyle w:val="Compact"/>
        <w:numPr>
          <w:ilvl w:val="0"/>
          <w:numId w:val="1075"/>
        </w:numPr>
      </w:pPr>
      <w:r>
        <w:rPr>
          <w:b/>
          <w:bCs/>
        </w:rPr>
        <w:t xml:space="preserve">Critical Information Infrastructure (CII)</w:t>
      </w:r>
      <w:r>
        <w:t xml:space="preserve"> </w:t>
      </w:r>
      <w:r>
        <w:t xml:space="preserve">— a</w:t>
      </w:r>
      <w:r>
        <w:t xml:space="preserve"> </w:t>
      </w:r>
      <w:r>
        <w:rPr>
          <w:b/>
          <w:bCs/>
        </w:rPr>
        <w:t xml:space="preserve">computer or computer system</w:t>
      </w:r>
      <w:r>
        <w:t xml:space="preserve"> </w:t>
      </w:r>
      <w:r>
        <w:t xml:space="preserve">designated under</w:t>
      </w:r>
      <w:r>
        <w:t xml:space="preserve"> </w:t>
      </w:r>
      <w:r>
        <w:rPr>
          <w:b/>
          <w:bCs/>
        </w:rPr>
        <w:t xml:space="preserve">section 7(1)</w:t>
      </w:r>
      <w:r>
        <w:t xml:space="preserve"> </w:t>
      </w:r>
      <w:r>
        <w:t xml:space="preserve">(i.e., system-level designation, not “whole organisations/sectors”). (</w:t>
      </w:r>
      <w:hyperlink r:id="rId48">
        <w:r>
          <w:rPr>
            <w:rStyle w:val="Hyperlink"/>
          </w:rPr>
          <w:t xml:space="preserve">Cyber Security Agency of Singapore</w:t>
        </w:r>
      </w:hyperlink>
      <w:r>
        <w:t xml:space="preserve">)</w:t>
      </w:r>
    </w:p>
    <w:p>
      <w:pPr>
        <w:pStyle w:val="FirstParagraph"/>
      </w:pPr>
      <w:r>
        <w:rPr>
          <w:b/>
          <w:bCs/>
        </w:rPr>
        <w:t xml:space="preserve">CII sector coverage (policy statement):</w:t>
      </w:r>
    </w:p>
    <w:p>
      <w:pPr>
        <w:pStyle w:val="Compact"/>
        <w:numPr>
          <w:ilvl w:val="0"/>
          <w:numId w:val="1076"/>
        </w:numPr>
      </w:pPr>
      <w:r>
        <w:t xml:space="preserve">CSA identifies</w:t>
      </w:r>
      <w:r>
        <w:t xml:space="preserve"> </w:t>
      </w:r>
      <w:r>
        <w:rPr>
          <w:b/>
          <w:bCs/>
        </w:rPr>
        <w:t xml:space="preserve">Healthcare</w:t>
      </w:r>
      <w:r>
        <w:t xml:space="preserve"> </w:t>
      </w:r>
      <w:r>
        <w:t xml:space="preserve">as one of the critical sectors in scope for CII-protected essential services. (</w:t>
      </w:r>
      <w:hyperlink r:id="rId48">
        <w:r>
          <w:rPr>
            <w:rStyle w:val="Hyperlink"/>
          </w:rPr>
          <w:t xml:space="preserve">Cyber Security Agency of Singapore</w:t>
        </w:r>
      </w:hyperlink>
      <w:r>
        <w:t xml:space="preserve">)</w:t>
      </w:r>
    </w:p>
    <w:bookmarkEnd w:id="123"/>
    <w:bookmarkStart w:id="124" w:name="X23eb9deeb60aa6c50ec64a4f2075fd41b0cac36"/>
    <w:p>
      <w:pPr>
        <w:pStyle w:val="Heading2"/>
      </w:pPr>
      <w:r>
        <w:rPr>
          <w:b/>
          <w:bCs/>
        </w:rPr>
        <w:t xml:space="preserve">Exact Legal/Regulatory Criteria (designation test)</w:t>
      </w:r>
    </w:p>
    <w:p>
      <w:pPr>
        <w:pStyle w:val="FirstParagraph"/>
      </w:pPr>
      <w:r>
        <w:t xml:space="preserve">Under</w:t>
      </w:r>
      <w:r>
        <w:t xml:space="preserve"> </w:t>
      </w:r>
      <w:r>
        <w:rPr>
          <w:b/>
          <w:bCs/>
        </w:rPr>
        <w:t xml:space="preserve">section 7(1)</w:t>
      </w:r>
      <w:r>
        <w:t xml:space="preserve"> </w:t>
      </w:r>
      <w:r>
        <w:t xml:space="preserve">(as described in CSA’s official FAQ and the Act’s Explanatory Statement), a system may be designated as CII where it is:</w:t>
      </w:r>
    </w:p>
    <w:p>
      <w:pPr>
        <w:pStyle w:val="Compact"/>
        <w:numPr>
          <w:ilvl w:val="0"/>
          <w:numId w:val="1077"/>
        </w:numPr>
      </w:pPr>
      <w:r>
        <w:rPr>
          <w:b/>
          <w:bCs/>
        </w:rPr>
        <w:t xml:space="preserve">Located wholly or partly in Singapore</w:t>
      </w:r>
      <w:r>
        <w:t xml:space="preserve">, and</w:t>
      </w:r>
    </w:p>
    <w:p>
      <w:pPr>
        <w:pStyle w:val="Compact"/>
        <w:numPr>
          <w:ilvl w:val="0"/>
          <w:numId w:val="1077"/>
        </w:numPr>
      </w:pPr>
      <w:r>
        <w:rPr>
          <w:b/>
          <w:bCs/>
        </w:rPr>
        <w:t xml:space="preserve">Necessary for the continuous delivery of an “essential service”</w:t>
      </w:r>
      <w:r>
        <w:t xml:space="preserve">, and</w:t>
      </w:r>
    </w:p>
    <w:p>
      <w:pPr>
        <w:pStyle w:val="Compact"/>
        <w:numPr>
          <w:ilvl w:val="0"/>
          <w:numId w:val="1077"/>
        </w:numPr>
      </w:pPr>
      <w:r>
        <w:t xml:space="preserve">The system’s</w:t>
      </w:r>
      <w:r>
        <w:t xml:space="preserve"> </w:t>
      </w:r>
      <w:r>
        <w:rPr>
          <w:b/>
          <w:bCs/>
        </w:rPr>
        <w:t xml:space="preserve">loss or compromise</w:t>
      </w:r>
      <w:r>
        <w:t xml:space="preserve"> </w:t>
      </w:r>
      <w:r>
        <w:t xml:space="preserve">will have a</w:t>
      </w:r>
      <w:r>
        <w:t xml:space="preserve"> </w:t>
      </w:r>
      <w:r>
        <w:rPr>
          <w:b/>
          <w:bCs/>
        </w:rPr>
        <w:t xml:space="preserve">debilitating effect on the availability</w:t>
      </w:r>
      <w:r>
        <w:t xml:space="preserve"> </w:t>
      </w:r>
      <w:r>
        <w:t xml:space="preserve">of that essential service in Singapore. (</w:t>
      </w:r>
      <w:hyperlink r:id="rId48">
        <w:r>
          <w:rPr>
            <w:rStyle w:val="Hyperlink"/>
          </w:rPr>
          <w:t xml:space="preserve">Cyber Security Agency of Singapore</w:t>
        </w:r>
      </w:hyperlink>
      <w:r>
        <w:t xml:space="preserve">)</w:t>
      </w:r>
    </w:p>
    <w:p>
      <w:pPr>
        <w:pStyle w:val="FirstParagraph"/>
      </w:pPr>
      <w:r>
        <w:rPr>
          <w:b/>
          <w:bCs/>
        </w:rPr>
        <w:t xml:space="preserve">“Essential service” framing (why healthcare can qualify):</w:t>
      </w:r>
      <w:r>
        <w:t xml:space="preserve"> </w:t>
      </w:r>
      <w:r>
        <w:t xml:space="preserve">the Explanatory Statement describes “essential service” as a service essential to national-level interests (including</w:t>
      </w:r>
      <w:r>
        <w:t xml:space="preserve"> </w:t>
      </w:r>
      <w:r>
        <w:rPr>
          <w:b/>
          <w:bCs/>
        </w:rPr>
        <w:t xml:space="preserve">public health</w:t>
      </w:r>
      <w:r>
        <w:t xml:space="preserve">) and</w:t>
      </w:r>
      <w:r>
        <w:t xml:space="preserve"> </w:t>
      </w:r>
      <w:r>
        <w:rPr>
          <w:b/>
          <w:bCs/>
        </w:rPr>
        <w:t xml:space="preserve">specified in the First Schedule</w:t>
      </w:r>
      <w:r>
        <w:t xml:space="preserve">. (</w:t>
      </w:r>
      <w:hyperlink r:id="rId49">
        <w:r>
          <w:rPr>
            <w:rStyle w:val="Hyperlink"/>
          </w:rPr>
          <w:t xml:space="preserve">Isomer User Content</w:t>
        </w:r>
      </w:hyperlink>
      <w:r>
        <w:t xml:space="preserve">)</w:t>
      </w:r>
      <w:r>
        <w:t xml:space="preserve"> </w:t>
      </w:r>
      <w:r>
        <w:rPr>
          <w:b/>
          <w:bCs/>
        </w:rPr>
        <w:t xml:space="preserve">Designation mechanics and duration:</w:t>
      </w:r>
      <w:r>
        <w:t xml:space="preserve"> </w:t>
      </w:r>
      <w:r>
        <w:t xml:space="preserve">* Designation is</w:t>
      </w:r>
      <w:r>
        <w:t xml:space="preserve"> </w:t>
      </w:r>
      <w:r>
        <w:rPr>
          <w:b/>
          <w:bCs/>
        </w:rPr>
        <w:t xml:space="preserve">by written notice</w:t>
      </w:r>
      <w:r>
        <w:t xml:space="preserve"> </w:t>
      </w:r>
      <w:r>
        <w:t xml:space="preserve">to the system owner. (</w:t>
      </w:r>
      <w:hyperlink r:id="rId49">
        <w:r>
          <w:rPr>
            <w:rStyle w:val="Hyperlink"/>
          </w:rPr>
          <w:t xml:space="preserve">Isomer User Content</w:t>
        </w:r>
      </w:hyperlink>
      <w:r>
        <w:t xml:space="preserve">)</w:t>
      </w:r>
      <w:r>
        <w:t xml:space="preserve"> </w:t>
      </w:r>
      <w:r>
        <w:t xml:space="preserve">* Designation takes effect for</w:t>
      </w:r>
      <w:r>
        <w:t xml:space="preserve"> </w:t>
      </w:r>
      <w:r>
        <w:rPr>
          <w:b/>
          <w:bCs/>
        </w:rPr>
        <w:t xml:space="preserve">5 years</w:t>
      </w:r>
      <w:r>
        <w:t xml:space="preserve"> </w:t>
      </w:r>
      <w:r>
        <w:t xml:space="preserve">unless withdrawn earlier; CSA explains this as allowing periodic re-evaluation as circumstances change. (</w:t>
      </w:r>
      <w:hyperlink r:id="rId49">
        <w:r>
          <w:rPr>
            <w:rStyle w:val="Hyperlink"/>
          </w:rPr>
          <w:t xml:space="preserve">Isomer User Content</w:t>
        </w:r>
      </w:hyperlink>
      <w:r>
        <w:t xml:space="preserve">)</w:t>
      </w:r>
    </w:p>
    <w:bookmarkEnd w:id="124"/>
    <w:bookmarkStart w:id="125" w:name="gradingtiering-schemes"/>
    <w:p>
      <w:pPr>
        <w:pStyle w:val="Heading2"/>
      </w:pPr>
      <w:r>
        <w:rPr>
          <w:b/>
          <w:bCs/>
        </w:rPr>
        <w:t xml:space="preserve">Grading/Tiering Schemes</w:t>
      </w:r>
    </w:p>
    <w:p>
      <w:pPr>
        <w:pStyle w:val="Compact"/>
        <w:numPr>
          <w:ilvl w:val="0"/>
          <w:numId w:val="1078"/>
        </w:numPr>
      </w:pPr>
      <w:r>
        <w:rPr>
          <w:b/>
          <w:bCs/>
        </w:rPr>
        <w:t xml:space="preserve">No published multi-tier grading</w:t>
      </w:r>
      <w:r>
        <w:t xml:space="preserve"> </w:t>
      </w:r>
      <w:r>
        <w:t xml:space="preserve">for CII designation — the regime is essentially</w:t>
      </w:r>
      <w:r>
        <w:t xml:space="preserve"> </w:t>
      </w:r>
      <w:r>
        <w:rPr>
          <w:b/>
          <w:bCs/>
        </w:rPr>
        <w:t xml:space="preserve">designated CII vs non-CII</w:t>
      </w:r>
      <w:r>
        <w:t xml:space="preserve"> </w:t>
      </w:r>
      <w:r>
        <w:t xml:space="preserve">(with the list of designated CII itself not public). (</w:t>
      </w:r>
      <w:hyperlink r:id="rId48">
        <w:r>
          <w:rPr>
            <w:rStyle w:val="Hyperlink"/>
          </w:rPr>
          <w:t xml:space="preserve">Cyber Security Agency of Singapore</w:t>
        </w:r>
      </w:hyperlink>
      <w:r>
        <w:t xml:space="preserve">)</w:t>
      </w:r>
    </w:p>
    <w:bookmarkEnd w:id="125"/>
    <w:bookmarkStart w:id="126" w:name="X0cdb100ed3b603ada63bf8c0add2a0844ed782e"/>
    <w:p>
      <w:pPr>
        <w:pStyle w:val="Heading2"/>
      </w:pPr>
      <w:r>
        <w:rPr>
          <w:b/>
          <w:bCs/>
        </w:rPr>
        <w:t xml:space="preserve">Obligations once designated (high-level; from official explanatory material + CSA CII Code)</w:t>
      </w:r>
    </w:p>
    <w:p>
      <w:pPr>
        <w:pStyle w:val="FirstParagraph"/>
      </w:pPr>
      <w:r>
        <w:t xml:space="preserve">From the Cybersecurity Act Explanatory Statement, CII owners’ duties include (among others):</w:t>
      </w:r>
    </w:p>
    <w:p>
      <w:pPr>
        <w:pStyle w:val="Compact"/>
        <w:numPr>
          <w:ilvl w:val="0"/>
          <w:numId w:val="1079"/>
        </w:numPr>
      </w:pPr>
      <w:r>
        <w:t xml:space="preserve">comply with</w:t>
      </w:r>
      <w:r>
        <w:t xml:space="preserve"> </w:t>
      </w:r>
      <w:r>
        <w:rPr>
          <w:b/>
          <w:bCs/>
        </w:rPr>
        <w:t xml:space="preserve">Codes of Practice / Standards of Performance</w:t>
      </w:r>
      <w:r>
        <w:t xml:space="preserve"> </w:t>
      </w:r>
      <w:r>
        <w:t xml:space="preserve">and directions,</w:t>
      </w:r>
    </w:p>
    <w:p>
      <w:pPr>
        <w:pStyle w:val="Compact"/>
        <w:numPr>
          <w:ilvl w:val="0"/>
          <w:numId w:val="1079"/>
        </w:numPr>
      </w:pPr>
      <w:r>
        <w:rPr>
          <w:b/>
          <w:bCs/>
        </w:rPr>
        <w:t xml:space="preserve">report prescribed cybersecurity incidents</w:t>
      </w:r>
      <w:r>
        <w:t xml:space="preserve">,</w:t>
      </w:r>
    </w:p>
    <w:p>
      <w:pPr>
        <w:pStyle w:val="Compact"/>
        <w:numPr>
          <w:ilvl w:val="0"/>
          <w:numId w:val="1079"/>
        </w:numPr>
      </w:pPr>
      <w:r>
        <w:t xml:space="preserve">undergo</w:t>
      </w:r>
      <w:r>
        <w:t xml:space="preserve"> </w:t>
      </w:r>
      <w:r>
        <w:rPr>
          <w:b/>
          <w:bCs/>
        </w:rPr>
        <w:t xml:space="preserve">audits at least once every 2 years</w:t>
      </w:r>
      <w:r>
        <w:t xml:space="preserve">,</w:t>
      </w:r>
    </w:p>
    <w:p>
      <w:pPr>
        <w:pStyle w:val="Compact"/>
        <w:numPr>
          <w:ilvl w:val="0"/>
          <w:numId w:val="1079"/>
        </w:numPr>
      </w:pPr>
      <w:r>
        <w:t xml:space="preserve">perform</w:t>
      </w:r>
      <w:r>
        <w:t xml:space="preserve"> </w:t>
      </w:r>
      <w:r>
        <w:rPr>
          <w:b/>
          <w:bCs/>
        </w:rPr>
        <w:t xml:space="preserve">cybersecurity risk assessments at least once a year</w:t>
      </w:r>
      <w:r>
        <w:t xml:space="preserve">, and</w:t>
      </w:r>
    </w:p>
    <w:p>
      <w:pPr>
        <w:pStyle w:val="Compact"/>
        <w:numPr>
          <w:ilvl w:val="0"/>
          <w:numId w:val="1079"/>
        </w:numPr>
      </w:pPr>
      <w:r>
        <w:t xml:space="preserve">participate in</w:t>
      </w:r>
      <w:r>
        <w:t xml:space="preserve"> </w:t>
      </w:r>
      <w:r>
        <w:rPr>
          <w:b/>
          <w:bCs/>
        </w:rPr>
        <w:t xml:space="preserve">cybersecurity exercises</w:t>
      </w:r>
      <w:r>
        <w:t xml:space="preserve"> </w:t>
      </w:r>
      <w:r>
        <w:t xml:space="preserve">if required. (</w:t>
      </w:r>
      <w:hyperlink r:id="rId49">
        <w:r>
          <w:rPr>
            <w:rStyle w:val="Hyperlink"/>
          </w:rPr>
          <w:t xml:space="preserve">Isomer User Content</w:t>
        </w:r>
      </w:hyperlink>
      <w:r>
        <w:t xml:space="preserve">)</w:t>
      </w:r>
    </w:p>
    <w:p>
      <w:pPr>
        <w:pStyle w:val="FirstParagraph"/>
      </w:pPr>
      <w:r>
        <w:t xml:space="preserve">CSA publishes the</w:t>
      </w:r>
      <w:r>
        <w:t xml:space="preserve"> </w:t>
      </w:r>
      <w:r>
        <w:rPr>
          <w:b/>
          <w:bCs/>
        </w:rPr>
        <w:t xml:space="preserve">Cybersecurity Code of Practice for CII (PDF)</w:t>
      </w:r>
      <w:r>
        <w:t xml:space="preserve"> </w:t>
      </w:r>
      <w:r>
        <w:t xml:space="preserve">under its legislation resources (non-compliance is enforceable via directions under the Act, per the Explanatory Statement). (</w:t>
      </w:r>
      <w:hyperlink r:id="rId50">
        <w:r>
          <w:rPr>
            <w:rStyle w:val="Hyperlink"/>
          </w:rPr>
          <w:t xml:space="preserve">Cyber Security Agency of Singapore</w:t>
        </w:r>
      </w:hyperlink>
      <w:r>
        <w:t xml:space="preserve">)</w:t>
      </w:r>
    </w:p>
    <w:bookmarkEnd w:id="126"/>
    <w:bookmarkStart w:id="127" w:name="Xbdee86031c7adff9ab5d358e671ac9847335007"/>
    <w:p>
      <w:pPr>
        <w:pStyle w:val="Heading2"/>
      </w:pPr>
      <w:r>
        <w:rPr>
          <w:b/>
          <w:bCs/>
        </w:rPr>
        <w:t xml:space="preserve">Healthcare information systems “most likely” designated CII</w:t>
      </w:r>
    </w:p>
    <w:p>
      <w:pPr>
        <w:pStyle w:val="FirstParagraph"/>
      </w:pPr>
      <w:r>
        <w:rPr>
          <w:b/>
          <w:bCs/>
        </w:rPr>
        <w:t xml:space="preserve">Strict evidentiary position (what can be said publicly):</w:t>
      </w:r>
    </w:p>
    <w:p>
      <w:pPr>
        <w:pStyle w:val="Compact"/>
        <w:numPr>
          <w:ilvl w:val="0"/>
          <w:numId w:val="1080"/>
        </w:numPr>
      </w:pPr>
      <w:r>
        <w:rPr>
          <w:b/>
          <w:bCs/>
        </w:rPr>
        <w:t xml:space="preserve">CSA states the list of CII and CII owners is secret for national security reasons</w:t>
      </w:r>
      <w:r>
        <w:t xml:space="preserve">, and</w:t>
      </w:r>
      <w:r>
        <w:t xml:space="preserve"> </w:t>
      </w:r>
      <w:r>
        <w:rPr>
          <w:b/>
          <w:bCs/>
        </w:rPr>
        <w:t xml:space="preserve">CII refers to specific computers/systems explicitly designated</w:t>
      </w:r>
      <w:r>
        <w:t xml:space="preserve"> </w:t>
      </w:r>
      <w:r>
        <w:t xml:space="preserve">(not “firms and sectors”). Therefore</w:t>
      </w:r>
      <w:r>
        <w:t xml:space="preserve"> </w:t>
      </w:r>
      <w:r>
        <w:rPr>
          <w:b/>
          <w:bCs/>
        </w:rPr>
        <w:t xml:space="preserve">specific health systems (e.g., NEHR, ED systems, etc.) cannot be confirmed as CII from public sources</w:t>
      </w:r>
      <w:r>
        <w:t xml:space="preserve">. (</w:t>
      </w:r>
      <w:hyperlink r:id="rId48">
        <w:r>
          <w:rPr>
            <w:rStyle w:val="Hyperlink"/>
          </w:rPr>
          <w:t xml:space="preserve">Cyber Security Agency of Singapore</w:t>
        </w:r>
      </w:hyperlink>
      <w:r>
        <w:t xml:space="preserve">)</w:t>
      </w:r>
    </w:p>
    <w:p>
      <w:pPr>
        <w:pStyle w:val="FirstParagraph"/>
      </w:pPr>
      <w:r>
        <w:rPr>
          <w:b/>
          <w:bCs/>
        </w:rPr>
        <w:t xml:space="preserve">Related but not a CII designation list (health sector cyber requirements):</w:t>
      </w:r>
    </w:p>
    <w:p>
      <w:pPr>
        <w:pStyle w:val="Compact"/>
        <w:numPr>
          <w:ilvl w:val="0"/>
          <w:numId w:val="1081"/>
        </w:numPr>
      </w:pPr>
      <w:r>
        <w:t xml:space="preserve">MOH has issued</w:t>
      </w:r>
      <w:r>
        <w:t xml:space="preserve"> </w:t>
      </w:r>
      <w:r>
        <w:rPr>
          <w:b/>
          <w:bCs/>
        </w:rPr>
        <w:t xml:space="preserve">Cyber and Data Security Guidelines for Healthcare Providers</w:t>
      </w:r>
      <w:r>
        <w:t xml:space="preserve"> </w:t>
      </w:r>
      <w:r>
        <w:t xml:space="preserve">in the context of safe contribution/access to</w:t>
      </w:r>
      <w:r>
        <w:t xml:space="preserve"> </w:t>
      </w:r>
      <w:r>
        <w:rPr>
          <w:b/>
          <w:bCs/>
        </w:rPr>
        <w:t xml:space="preserve">NEHR</w:t>
      </w:r>
      <w:r>
        <w:t xml:space="preserve"> </w:t>
      </w:r>
      <w:r>
        <w:t xml:space="preserve">(this is a healthcare-sector cyber baseline document, not a publication of CII designations). (</w:t>
      </w:r>
      <w:hyperlink r:id="rId51">
        <w:r>
          <w:rPr>
            <w:rStyle w:val="Hyperlink"/>
          </w:rPr>
          <w:t xml:space="preserve">Health Information</w:t>
        </w:r>
      </w:hyperlink>
      <w:r>
        <w:t xml:space="preserve">)</w:t>
      </w:r>
    </w:p>
    <w:bookmarkEnd w:id="127"/>
    <w:bookmarkStart w:id="128" w:name="public-vs-confidential-2"/>
    <w:p>
      <w:pPr>
        <w:pStyle w:val="Heading2"/>
      </w:pPr>
      <w:r>
        <w:rPr>
          <w:b/>
          <w:bCs/>
        </w:rPr>
        <w:t xml:space="preserve">Public vs Confidential</w:t>
      </w:r>
    </w:p>
    <w:p>
      <w:pPr>
        <w:pStyle w:val="FirstParagraph"/>
      </w:pPr>
      <w:r>
        <w:rPr>
          <w:b/>
          <w:bCs/>
        </w:rPr>
        <w:t xml:space="preserve">Public:</w:t>
      </w:r>
    </w:p>
    <w:p>
      <w:pPr>
        <w:pStyle w:val="Compact"/>
        <w:numPr>
          <w:ilvl w:val="0"/>
          <w:numId w:val="1082"/>
        </w:numPr>
      </w:pPr>
      <w:r>
        <w:t xml:space="preserve">CSA publicly describes the</w:t>
      </w:r>
      <w:r>
        <w:t xml:space="preserve"> </w:t>
      </w:r>
      <w:r>
        <w:rPr>
          <w:b/>
          <w:bCs/>
        </w:rPr>
        <w:t xml:space="preserve">CII definition</w:t>
      </w:r>
      <w:r>
        <w:t xml:space="preserve"> </w:t>
      </w:r>
      <w:r>
        <w:t xml:space="preserve">and</w:t>
      </w:r>
      <w:r>
        <w:t xml:space="preserve"> </w:t>
      </w:r>
      <w:r>
        <w:rPr>
          <w:b/>
          <w:bCs/>
        </w:rPr>
        <w:t xml:space="preserve">critical sector scope</w:t>
      </w:r>
      <w:r>
        <w:t xml:space="preserve"> </w:t>
      </w:r>
      <w:r>
        <w:t xml:space="preserve">(including healthcare) and links to CII regulatory materials and Codes of Practice. (</w:t>
      </w:r>
      <w:hyperlink r:id="rId48">
        <w:r>
          <w:rPr>
            <w:rStyle w:val="Hyperlink"/>
          </w:rPr>
          <w:t xml:space="preserve">Cyber Security Agency of Singapore</w:t>
        </w:r>
      </w:hyperlink>
      <w:r>
        <w:t xml:space="preserve">)</w:t>
      </w:r>
    </w:p>
    <w:p>
      <w:pPr>
        <w:pStyle w:val="FirstParagraph"/>
      </w:pPr>
      <w:r>
        <w:rPr>
          <w:b/>
          <w:bCs/>
        </w:rPr>
        <w:t xml:space="preserve">Confidential:</w:t>
      </w:r>
    </w:p>
    <w:p>
      <w:pPr>
        <w:pStyle w:val="Compact"/>
        <w:numPr>
          <w:ilvl w:val="0"/>
          <w:numId w:val="1083"/>
        </w:numPr>
      </w:pPr>
      <w:r>
        <w:rPr>
          <w:b/>
          <w:bCs/>
        </w:rPr>
        <w:t xml:space="preserve">The list of CII and CII owners is secret</w:t>
      </w:r>
      <w:r>
        <w:t xml:space="preserve"> </w:t>
      </w:r>
      <w:r>
        <w:t xml:space="preserve">(CSA’s explicit statement). (</w:t>
      </w:r>
      <w:hyperlink r:id="rId48">
        <w:r>
          <w:rPr>
            <w:rStyle w:val="Hyperlink"/>
          </w:rPr>
          <w:t xml:space="preserve">Cyber Security Agency of Singapore</w:t>
        </w:r>
      </w:hyperlink>
      <w:r>
        <w:t xml:space="preserve">)</w:t>
      </w:r>
    </w:p>
    <w:bookmarkEnd w:id="128"/>
    <w:bookmarkStart w:id="129" w:name="Xc2bfbf97808bad8621b53433aafcb57e801b45e"/>
    <w:p>
      <w:pPr>
        <w:pStyle w:val="Heading2"/>
      </w:pPr>
      <w:r>
        <w:rPr>
          <w:b/>
          <w:bCs/>
        </w:rPr>
        <w:t xml:space="preserve">Latest Updates (2024–2026) — what can be evidenced from official sources</w:t>
      </w:r>
    </w:p>
    <w:p>
      <w:pPr>
        <w:pStyle w:val="Compact"/>
        <w:numPr>
          <w:ilvl w:val="0"/>
          <w:numId w:val="1084"/>
        </w:numPr>
      </w:pPr>
      <w:r>
        <w:t xml:space="preserve">CSA states</w:t>
      </w:r>
      <w:r>
        <w:t xml:space="preserve"> </w:t>
      </w:r>
      <w:r>
        <w:rPr>
          <w:b/>
          <w:bCs/>
        </w:rPr>
        <w:t xml:space="preserve">amendments to the Cybersecurity Act were passed in Parliament in May 2024</w:t>
      </w:r>
      <w:r>
        <w:t xml:space="preserve">, including updates to the CII provisions (and new regulated classes like STCC/ESCI/FDI). (</w:t>
      </w:r>
      <w:hyperlink r:id="rId52">
        <w:r>
          <w:rPr>
            <w:rStyle w:val="Hyperlink"/>
          </w:rPr>
          <w:t xml:space="preserve">Cyber Security Agency of Singapore</w:t>
        </w:r>
      </w:hyperlink>
      <w:r>
        <w:t xml:space="preserve">)</w:t>
      </w:r>
    </w:p>
    <w:p>
      <w:pPr>
        <w:pStyle w:val="Compact"/>
        <w:numPr>
          <w:ilvl w:val="0"/>
          <w:numId w:val="1084"/>
        </w:numPr>
      </w:pPr>
      <w:r>
        <w:t xml:space="preserve">CSA’s legislation pages show the current published</w:t>
      </w:r>
      <w:r>
        <w:t xml:space="preserve"> </w:t>
      </w:r>
      <w:r>
        <w:rPr>
          <w:b/>
          <w:bCs/>
        </w:rPr>
        <w:t xml:space="preserve">CII Code of Practice</w:t>
      </w:r>
      <w:r>
        <w:t xml:space="preserve"> </w:t>
      </w:r>
      <w:r>
        <w:t xml:space="preserve">and its last-updated date on the site. (</w:t>
      </w:r>
      <w:hyperlink r:id="rId50">
        <w:r>
          <w:rPr>
            <w:rStyle w:val="Hyperlink"/>
          </w:rPr>
          <w:t xml:space="preserve">Cyber Security Agency of Singapore</w:t>
        </w:r>
      </w:hyperlink>
      <w:r>
        <w:t xml:space="preserve">)</w:t>
      </w:r>
    </w:p>
    <w:bookmarkEnd w:id="129"/>
    <w:bookmarkStart w:id="130" w:name="references-singapore"/>
    <w:p>
      <w:pPr>
        <w:pStyle w:val="Heading2"/>
      </w:pPr>
      <w:r>
        <w:t xml:space="preserve">References (Singapore)</w:t>
      </w:r>
    </w:p>
    <w:p>
      <w:pPr>
        <w:pStyle w:val="Compact"/>
        <w:numPr>
          <w:ilvl w:val="0"/>
          <w:numId w:val="1085"/>
        </w:numPr>
      </w:pPr>
      <w:r>
        <w:rPr>
          <w:b/>
          <w:bCs/>
        </w:rPr>
        <w:t xml:space="preserve">Cyber Security Agency of Singapore (CSA).</w:t>
      </w:r>
      <w:r>
        <w:t xml:space="preserve"> </w:t>
      </w:r>
      <w:r>
        <w:rPr>
          <w:b/>
          <w:bCs/>
        </w:rPr>
        <w:t xml:space="preserve">FAQs — Cybersecurity Act</w:t>
      </w:r>
      <w:r>
        <w:t xml:space="preserve"> </w:t>
      </w:r>
      <w:r>
        <w:t xml:space="preserve">(CII definition; sectors; secrecy of CII list; 5-year designation rationale). (</w:t>
      </w:r>
      <w:hyperlink r:id="rId48">
        <w:r>
          <w:rPr>
            <w:rStyle w:val="Hyperlink"/>
          </w:rPr>
          <w:t xml:space="preserve">Cyber Security Agency of Singapore</w:t>
        </w:r>
      </w:hyperlink>
      <w:r>
        <w:t xml:space="preserve">)</w:t>
      </w:r>
    </w:p>
    <w:p>
      <w:pPr>
        <w:pStyle w:val="Compact"/>
        <w:numPr>
          <w:ilvl w:val="0"/>
          <w:numId w:val="1085"/>
        </w:numPr>
      </w:pPr>
      <w:r>
        <w:rPr>
          <w:b/>
          <w:bCs/>
        </w:rPr>
        <w:t xml:space="preserve">Government of Singapore / CSA.</w:t>
      </w:r>
      <w:r>
        <w:t xml:space="preserve"> </w:t>
      </w:r>
      <w:r>
        <w:rPr>
          <w:b/>
          <w:bCs/>
        </w:rPr>
        <w:t xml:space="preserve">Cybersecurity Act — Explanatory Statement (PDF)</w:t>
      </w:r>
      <w:r>
        <w:t xml:space="preserve"> </w:t>
      </w:r>
      <w:r>
        <w:t xml:space="preserve">(section-by-section explanation including section 7 test; 5-year effect; duties like audits/risk assessments). (</w:t>
      </w:r>
      <w:hyperlink r:id="rId49">
        <w:r>
          <w:rPr>
            <w:rStyle w:val="Hyperlink"/>
          </w:rPr>
          <w:t xml:space="preserve">Isomer User Content</w:t>
        </w:r>
      </w:hyperlink>
      <w:r>
        <w:t xml:space="preserve">)</w:t>
      </w:r>
    </w:p>
    <w:p>
      <w:pPr>
        <w:pStyle w:val="Compact"/>
        <w:numPr>
          <w:ilvl w:val="0"/>
          <w:numId w:val="1085"/>
        </w:numPr>
      </w:pPr>
      <w:r>
        <w:rPr>
          <w:b/>
          <w:bCs/>
        </w:rPr>
        <w:t xml:space="preserve">CSA.</w:t>
      </w:r>
      <w:r>
        <w:t xml:space="preserve"> </w:t>
      </w:r>
      <w:r>
        <w:rPr>
          <w:b/>
          <w:bCs/>
        </w:rPr>
        <w:t xml:space="preserve">Cybersecurity Act (overview page)</w:t>
      </w:r>
      <w:r>
        <w:t xml:space="preserve"> </w:t>
      </w:r>
      <w:r>
        <w:t xml:space="preserve">(notes amendments passed May 2024; sector list including healthcare; links to official sources). (</w:t>
      </w:r>
      <w:hyperlink r:id="rId52">
        <w:r>
          <w:rPr>
            <w:rStyle w:val="Hyperlink"/>
          </w:rPr>
          <w:t xml:space="preserve">Cyber Security Agency of Singapore</w:t>
        </w:r>
      </w:hyperlink>
      <w:r>
        <w:t xml:space="preserve">)</w:t>
      </w:r>
    </w:p>
    <w:p>
      <w:pPr>
        <w:pStyle w:val="Compact"/>
        <w:numPr>
          <w:ilvl w:val="0"/>
          <w:numId w:val="1085"/>
        </w:numPr>
      </w:pPr>
      <w:r>
        <w:rPr>
          <w:b/>
          <w:bCs/>
        </w:rPr>
        <w:t xml:space="preserve">CSA.</w:t>
      </w:r>
      <w:r>
        <w:t xml:space="preserve"> </w:t>
      </w:r>
      <w:r>
        <w:rPr>
          <w:b/>
          <w:bCs/>
        </w:rPr>
        <w:t xml:space="preserve">Codes of Practice page</w:t>
      </w:r>
      <w:r>
        <w:t xml:space="preserve"> </w:t>
      </w:r>
      <w:r>
        <w:t xml:space="preserve">(official listing and link to CII Code of Practice PDF). (</w:t>
      </w:r>
      <w:hyperlink r:id="rId50">
        <w:r>
          <w:rPr>
            <w:rStyle w:val="Hyperlink"/>
          </w:rPr>
          <w:t xml:space="preserve">Cyber Security Agency of Singapore</w:t>
        </w:r>
      </w:hyperlink>
      <w:r>
        <w:t xml:space="preserve">)</w:t>
      </w:r>
    </w:p>
    <w:p>
      <w:pPr>
        <w:pStyle w:val="Compact"/>
        <w:numPr>
          <w:ilvl w:val="0"/>
          <w:numId w:val="1085"/>
        </w:numPr>
      </w:pPr>
      <w:r>
        <w:rPr>
          <w:b/>
          <w:bCs/>
        </w:rPr>
        <w:t xml:space="preserve">CSA.</w:t>
      </w:r>
      <w:r>
        <w:t xml:space="preserve"> </w:t>
      </w:r>
      <w:r>
        <w:rPr>
          <w:b/>
          <w:bCs/>
        </w:rPr>
        <w:t xml:space="preserve">Cybersecurity Code of Practice for Critical Information Infrastructure (PDF)</w:t>
      </w:r>
      <w:r>
        <w:t xml:space="preserve"> </w:t>
      </w:r>
      <w:r>
        <w:t xml:space="preserve">(detailed CII owner requirements). (</w:t>
      </w:r>
      <w:hyperlink r:id="rId53">
        <w:r>
          <w:rPr>
            <w:rStyle w:val="Hyperlink"/>
          </w:rPr>
          <w:t xml:space="preserve">Isomer User Content</w:t>
        </w:r>
      </w:hyperlink>
      <w:r>
        <w:t xml:space="preserve">)</w:t>
      </w:r>
    </w:p>
    <w:p>
      <w:pPr>
        <w:pStyle w:val="Compact"/>
        <w:numPr>
          <w:ilvl w:val="0"/>
          <w:numId w:val="1085"/>
        </w:numPr>
      </w:pPr>
      <w:r>
        <w:rPr>
          <w:b/>
          <w:bCs/>
        </w:rPr>
        <w:t xml:space="preserve">Ministry of Health (Singapore).</w:t>
      </w:r>
      <w:r>
        <w:t xml:space="preserve"> </w:t>
      </w:r>
      <w:r>
        <w:rPr>
          <w:b/>
          <w:bCs/>
        </w:rPr>
        <w:t xml:space="preserve">Cyber &amp; Data Security Guidelines for Healthcare Providers (PDF)</w:t>
      </w:r>
      <w:r>
        <w:t xml:space="preserve"> </w:t>
      </w:r>
      <w:r>
        <w:t xml:space="preserve">(NEHR-linked healthcare provider cyber requirements; not a CII designation list). (</w:t>
      </w:r>
      <w:hyperlink r:id="rId51">
        <w:r>
          <w:rPr>
            <w:rStyle w:val="Hyperlink"/>
          </w:rPr>
          <w:t xml:space="preserve">Health Information</w:t>
        </w:r>
      </w:hyperlink>
      <w:r>
        <w:t xml:space="preserve">)</w:t>
      </w:r>
    </w:p>
    <w:p>
      <w:pPr>
        <w:sectPr>
          <w:footerReference w:type="first" r:id="rId13"/>
          <w:footerReference w:type="default" r:id="rId11"/>
          <w:footerReference w:type="even" r:id="rId10"/>
          <w:type w:val="nextPage"/>
        </w:sectPr>
      </w:pPr>
    </w:p>
    <w:bookmarkEnd w:id="130"/>
    <w:bookmarkEnd w:id="131"/>
    <w:bookmarkStart w:id="140" w:name="japan"/>
    <w:p>
      <w:pPr>
        <w:pStyle w:val="Heading1"/>
      </w:pPr>
      <w:r>
        <w:t xml:space="preserve">JAPAN</w:t>
      </w:r>
    </w:p>
    <w:bookmarkStart w:id="132" w:name="legal-basis-1"/>
    <w:p>
      <w:pPr>
        <w:pStyle w:val="Heading2"/>
      </w:pPr>
      <w:r>
        <w:t xml:space="preserve">Legal Basis</w:t>
      </w:r>
    </w:p>
    <w:p>
      <w:pPr>
        <w:pStyle w:val="Compact"/>
        <w:numPr>
          <w:ilvl w:val="0"/>
          <w:numId w:val="1086"/>
        </w:numPr>
      </w:pPr>
      <w:r>
        <w:rPr>
          <w:b/>
          <w:bCs/>
        </w:rPr>
        <w:t xml:space="preserve">Basic Act on Cybersecurity (Act No. 104 of 2014)</w:t>
      </w:r>
      <w:r>
        <w:t xml:space="preserve"> </w:t>
      </w:r>
      <w:r>
        <w:t xml:space="preserve">— establishes the national cybersecurity policy framework and defines</w:t>
      </w:r>
      <w:r>
        <w:t xml:space="preserve"> </w:t>
      </w:r>
      <w:r>
        <w:rPr>
          <w:i/>
          <w:iCs/>
        </w:rPr>
        <w:t xml:space="preserve">critical social infrastructure providers</w:t>
      </w:r>
      <w:r>
        <w:t xml:space="preserve"> </w:t>
      </w:r>
      <w:r>
        <w:t xml:space="preserve">as those providing infrastructure foundational to people’s lives/economic activity where failure/deterioration would have enormous impact.</w:t>
      </w:r>
    </w:p>
    <w:p>
      <w:pPr>
        <w:pStyle w:val="Compact"/>
        <w:numPr>
          <w:ilvl w:val="0"/>
          <w:numId w:val="1086"/>
        </w:numPr>
      </w:pPr>
      <w:r>
        <w:rPr>
          <w:b/>
          <w:bCs/>
        </w:rPr>
        <w:t xml:space="preserve">Cybersecurity Policy for Critical Infrastructure Protection</w:t>
      </w:r>
      <w:r>
        <w:t xml:space="preserve"> </w:t>
      </w:r>
      <w:r>
        <w:t xml:space="preserve">(Cybersecurity Strategic Headquarters; June 17, 2022; revised March 8, 2024) — sets the government-wide CIP framework and terminology for CI operators, CI sectors, CI services, and “critical information systems”.</w:t>
      </w:r>
    </w:p>
    <w:bookmarkEnd w:id="132"/>
    <w:bookmarkStart w:id="133" w:name="X449b9c7fc2e8b6c6aeacbccf0fd71209a394361"/>
    <w:p>
      <w:pPr>
        <w:pStyle w:val="Heading2"/>
      </w:pPr>
      <w:r>
        <w:t xml:space="preserve">Final Categories (as used in the CIP framework)</w:t>
      </w:r>
    </w:p>
    <w:p>
      <w:pPr>
        <w:pStyle w:val="FirstParagraph"/>
      </w:pPr>
      <w:r>
        <w:t xml:space="preserve">From the</w:t>
      </w:r>
      <w:r>
        <w:t xml:space="preserve"> </w:t>
      </w:r>
      <w:r>
        <w:rPr>
          <w:b/>
          <w:bCs/>
        </w:rPr>
        <w:t xml:space="preserve">Cybersecurity Policy for Critical Infrastructure Protection</w:t>
      </w:r>
      <w:r>
        <w:t xml:space="preserve">:</w:t>
      </w:r>
    </w:p>
    <w:p>
      <w:pPr>
        <w:pStyle w:val="Compact"/>
        <w:numPr>
          <w:ilvl w:val="0"/>
          <w:numId w:val="1087"/>
        </w:numPr>
      </w:pPr>
      <w:r>
        <w:rPr>
          <w:b/>
          <w:bCs/>
        </w:rPr>
        <w:t xml:space="preserve">CI sectors</w:t>
      </w:r>
      <w:r>
        <w:t xml:space="preserve">: the policy glossary enumerates CI sectors including</w:t>
      </w:r>
      <w:r>
        <w:t xml:space="preserve"> </w:t>
      </w:r>
      <w:r>
        <w:rPr>
          <w:b/>
          <w:bCs/>
        </w:rPr>
        <w:t xml:space="preserve">“medical services”</w:t>
      </w:r>
      <w:r>
        <w:t xml:space="preserve"> </w:t>
      </w:r>
      <w:r>
        <w:t xml:space="preserve">(among other sectors).</w:t>
      </w:r>
    </w:p>
    <w:p>
      <w:pPr>
        <w:pStyle w:val="Compact"/>
        <w:numPr>
          <w:ilvl w:val="0"/>
          <w:numId w:val="1087"/>
        </w:numPr>
      </w:pPr>
      <w:r>
        <w:rPr>
          <w:b/>
          <w:bCs/>
        </w:rPr>
        <w:t xml:space="preserve">CI operators</w:t>
      </w:r>
      <w:r>
        <w:t xml:space="preserve">: defined in the policy as “critical social infrastructure providers” (per the Basic Act) and further scoped via</w:t>
      </w:r>
      <w:r>
        <w:t xml:space="preserve"> </w:t>
      </w:r>
      <w:r>
        <w:rPr>
          <w:b/>
          <w:bCs/>
        </w:rPr>
        <w:t xml:space="preserve">ANNEX 1</w:t>
      </w:r>
      <w:r>
        <w:t xml:space="preserve">.</w:t>
      </w:r>
    </w:p>
    <w:p>
      <w:pPr>
        <w:pStyle w:val="Compact"/>
        <w:numPr>
          <w:ilvl w:val="0"/>
          <w:numId w:val="1087"/>
        </w:numPr>
      </w:pPr>
      <w:r>
        <w:rPr>
          <w:b/>
          <w:bCs/>
        </w:rPr>
        <w:t xml:space="preserve">Critical information systems</w:t>
      </w:r>
      <w:r>
        <w:t xml:space="preserve">: information systems required to provide CI services, designated for each CI operator based on degree of impact on CI services.</w:t>
      </w:r>
    </w:p>
    <w:bookmarkEnd w:id="133"/>
    <w:bookmarkStart w:id="134" w:name="X9cc05808ab4715c95d304e7f2ced2b5a67e4281"/>
    <w:p>
      <w:pPr>
        <w:pStyle w:val="Heading2"/>
      </w:pPr>
      <w:r>
        <w:t xml:space="preserve">“Medical services” as a CI sector — what the policy explicitly says</w:t>
      </w:r>
    </w:p>
    <w:p>
      <w:pPr>
        <w:pStyle w:val="FirstParagraph"/>
      </w:pPr>
      <w:r>
        <w:rPr>
          <w:b/>
          <w:bCs/>
        </w:rPr>
        <w:t xml:space="preserve">ANNEX 1 (scope/examples) includes:</w:t>
      </w:r>
    </w:p>
    <w:p>
      <w:pPr>
        <w:pStyle w:val="Compact"/>
        <w:numPr>
          <w:ilvl w:val="0"/>
          <w:numId w:val="1088"/>
        </w:numPr>
      </w:pPr>
      <w:r>
        <w:rPr>
          <w:b/>
          <w:bCs/>
        </w:rPr>
        <w:t xml:space="preserve">Medical services — Medical facilities (excluding small scale facilities)</w:t>
      </w:r>
      <w:r>
        <w:t xml:space="preserve">, with example critical information systems such as:</w:t>
      </w:r>
    </w:p>
    <w:p>
      <w:pPr>
        <w:pStyle w:val="Compact"/>
        <w:numPr>
          <w:ilvl w:val="1"/>
          <w:numId w:val="1089"/>
        </w:numPr>
      </w:pPr>
      <w:r>
        <w:t xml:space="preserve">“medical examination record management systems”</w:t>
      </w:r>
    </w:p>
    <w:p>
      <w:pPr>
        <w:pStyle w:val="Compact"/>
        <w:numPr>
          <w:ilvl w:val="1"/>
          <w:numId w:val="1089"/>
        </w:numPr>
      </w:pPr>
      <w:r>
        <w:t xml:space="preserve">“medical examination support systems”</w:t>
      </w:r>
    </w:p>
    <w:p>
      <w:pPr>
        <w:pStyle w:val="Compact"/>
        <w:numPr>
          <w:ilvl w:val="1"/>
          <w:numId w:val="1089"/>
        </w:numPr>
      </w:pPr>
      <w:r>
        <w:t xml:space="preserve">“community medical care support systems”</w:t>
      </w:r>
    </w:p>
    <w:p>
      <w:pPr>
        <w:pStyle w:val="FirstParagraph"/>
      </w:pPr>
      <w:r>
        <w:rPr>
          <w:b/>
          <w:bCs/>
        </w:rPr>
        <w:t xml:space="preserve">ANNEX 2 (service explanation/outage examples) includes for medical services:</w:t>
      </w:r>
    </w:p>
    <w:p>
      <w:pPr>
        <w:pStyle w:val="Compact"/>
        <w:numPr>
          <w:ilvl w:val="0"/>
          <w:numId w:val="1090"/>
        </w:numPr>
      </w:pPr>
      <w:r>
        <w:t xml:space="preserve">CI service: “medical examination / examination and treatment”</w:t>
      </w:r>
    </w:p>
    <w:p>
      <w:pPr>
        <w:pStyle w:val="Compact"/>
        <w:numPr>
          <w:ilvl w:val="0"/>
          <w:numId w:val="1090"/>
        </w:numPr>
      </w:pPr>
      <w:r>
        <w:t xml:space="preserve">Example impacts: hindrance to medical examination support departments; malfunction of medical equipment threatening human life</w:t>
      </w:r>
    </w:p>
    <w:p>
      <w:pPr>
        <w:pStyle w:val="Compact"/>
        <w:numPr>
          <w:ilvl w:val="0"/>
          <w:numId w:val="1090"/>
        </w:numPr>
      </w:pPr>
      <w:r>
        <w:t xml:space="preserve">Referenced guidance: “Guideline on Safety Management of Medical Information Systems”</w:t>
      </w:r>
    </w:p>
    <w:bookmarkEnd w:id="134"/>
    <w:bookmarkStart w:id="135" w:name="X9df8fa9ee8825e28ec621e4d1748d8d01ab0a46"/>
    <w:p>
      <w:pPr>
        <w:pStyle w:val="Heading2"/>
      </w:pPr>
      <w:r>
        <w:t xml:space="preserve">Health-sector cybersecurity governance signals from MHLW (evidence from your PDFs)</w:t>
      </w:r>
    </w:p>
    <w:p>
      <w:pPr>
        <w:pStyle w:val="Compact"/>
        <w:numPr>
          <w:ilvl w:val="0"/>
          <w:numId w:val="1091"/>
        </w:numPr>
      </w:pPr>
      <w:r>
        <w:rPr>
          <w:b/>
          <w:bCs/>
        </w:rPr>
        <w:t xml:space="preserve">Basic Policy for Cyber-security Measures at Medical Facilities</w:t>
      </w:r>
      <w:r>
        <w:t xml:space="preserve">:</w:t>
      </w:r>
    </w:p>
    <w:p>
      <w:pPr>
        <w:pStyle w:val="Compact"/>
        <w:numPr>
          <w:ilvl w:val="1"/>
          <w:numId w:val="1092"/>
        </w:numPr>
      </w:pPr>
      <w:r>
        <w:t xml:space="preserve">The policy context explicitly places healthcare cyber measures alongside:</w:t>
      </w:r>
    </w:p>
    <w:p>
      <w:pPr>
        <w:pStyle w:val="Compact"/>
        <w:numPr>
          <w:ilvl w:val="2"/>
          <w:numId w:val="1093"/>
        </w:numPr>
      </w:pPr>
      <w:r>
        <w:t xml:space="preserve">“Basic Act on Cyber-security”</w:t>
      </w:r>
    </w:p>
    <w:p>
      <w:pPr>
        <w:pStyle w:val="Compact"/>
        <w:numPr>
          <w:ilvl w:val="2"/>
          <w:numId w:val="1093"/>
        </w:numPr>
      </w:pPr>
      <w:r>
        <w:t xml:space="preserve">“Fourth action plan on information security measures for critical infrastructure”</w:t>
      </w:r>
    </w:p>
    <w:p>
      <w:pPr>
        <w:pStyle w:val="Compact"/>
        <w:numPr>
          <w:ilvl w:val="2"/>
          <w:numId w:val="1093"/>
        </w:numPr>
      </w:pPr>
      <w:r>
        <w:t xml:space="preserve">and depicts</w:t>
      </w:r>
      <w:r>
        <w:t xml:space="preserve"> </w:t>
      </w:r>
      <w:r>
        <w:rPr>
          <w:b/>
          <w:bCs/>
        </w:rPr>
        <w:t xml:space="preserve">Healthcare CEPTOAR</w:t>
      </w:r>
      <w:r>
        <w:t xml:space="preserve"> </w:t>
      </w:r>
      <w:r>
        <w:t xml:space="preserve">within the information-sharing / reporting ecosystem.</w:t>
      </w:r>
    </w:p>
    <w:p>
      <w:pPr>
        <w:pStyle w:val="Compact"/>
        <w:numPr>
          <w:ilvl w:val="1"/>
          <w:numId w:val="1092"/>
        </w:numPr>
      </w:pPr>
      <w:r>
        <w:t xml:space="preserve">It also describes preparation of a</w:t>
      </w:r>
      <w:r>
        <w:t xml:space="preserve"> </w:t>
      </w:r>
      <w:r>
        <w:rPr>
          <w:b/>
          <w:bCs/>
        </w:rPr>
        <w:t xml:space="preserve">checklist</w:t>
      </w:r>
      <w:r>
        <w:t xml:space="preserve"> </w:t>
      </w:r>
      <w:r>
        <w:t xml:space="preserve">to facilitate checks at medical facilities and indicates positioning cybersecurity-measure status checks as part of</w:t>
      </w:r>
      <w:r>
        <w:t xml:space="preserve"> </w:t>
      </w:r>
      <w:r>
        <w:rPr>
          <w:b/>
          <w:bCs/>
        </w:rPr>
        <w:t xml:space="preserve">on-site inspection</w:t>
      </w:r>
      <w:r>
        <w:t xml:space="preserve"> </w:t>
      </w:r>
      <w:r>
        <w:t xml:space="preserve">framing.</w:t>
      </w:r>
    </w:p>
    <w:p>
      <w:pPr>
        <w:pStyle w:val="FirstParagraph"/>
      </w:pPr>
      <w:r>
        <w:rPr>
          <w:b/>
          <w:bCs/>
        </w:rPr>
        <w:t xml:space="preserve">Guidelines on Safety Management of Healthcare Information Systems (Ver. 6.0 outline/major points)</w:t>
      </w:r>
    </w:p>
    <w:p>
      <w:pPr>
        <w:pStyle w:val="Compact"/>
        <w:numPr>
          <w:ilvl w:val="0"/>
          <w:numId w:val="1094"/>
        </w:numPr>
      </w:pPr>
      <w:r>
        <w:t xml:space="preserve">The version history explicitly notes that</w:t>
      </w:r>
      <w:r>
        <w:t xml:space="preserve"> </w:t>
      </w:r>
      <w:r>
        <w:rPr>
          <w:b/>
          <w:bCs/>
        </w:rPr>
        <w:t xml:space="preserve">Version 2</w:t>
      </w:r>
      <w:r>
        <w:t xml:space="preserve"> </w:t>
      </w:r>
      <w:r>
        <w:t xml:space="preserve">was “revised from the viewpoint of healthcare information systems as</w:t>
      </w:r>
      <w:r>
        <w:t xml:space="preserve"> </w:t>
      </w:r>
      <w:r>
        <w:rPr>
          <w:b/>
          <w:bCs/>
        </w:rPr>
        <w:t xml:space="preserve">critical infrastructure</w:t>
      </w:r>
      <w:r>
        <w:t xml:space="preserve">.”</w:t>
      </w:r>
    </w:p>
    <w:p>
      <w:pPr>
        <w:pStyle w:val="Compact"/>
        <w:numPr>
          <w:ilvl w:val="0"/>
          <w:numId w:val="1094"/>
        </w:numPr>
      </w:pPr>
      <w:r>
        <w:t xml:space="preserve">It also notes that because</w:t>
      </w:r>
      <w:r>
        <w:t xml:space="preserve"> </w:t>
      </w:r>
      <w:r>
        <w:rPr>
          <w:b/>
          <w:bCs/>
        </w:rPr>
        <w:t xml:space="preserve">online qualification check</w:t>
      </w:r>
      <w:r>
        <w:t xml:space="preserve"> </w:t>
      </w:r>
      <w:r>
        <w:t xml:space="preserve">became mandatory (from April 2023), “almost all medical facilities, etc., are required to take the network-related security measures” described in the guidelines.</w:t>
      </w:r>
    </w:p>
    <w:bookmarkEnd w:id="135"/>
    <w:bookmarkStart w:id="136" w:name="Xf50ef00060dad14703e20aad204fa99f2861c74"/>
    <w:p>
      <w:pPr>
        <w:pStyle w:val="Heading2"/>
      </w:pPr>
      <w:r>
        <w:t xml:space="preserve">Medical devices cybersecurity (incident handling / reporting) — evidence</w:t>
      </w:r>
    </w:p>
    <w:p>
      <w:pPr>
        <w:pStyle w:val="FirstParagraph"/>
      </w:pPr>
      <w:r>
        <w:rPr>
          <w:b/>
          <w:bCs/>
        </w:rPr>
        <w:t xml:space="preserve">From the PMDA/MHLW English reference translation you uploaded (000272598.pdf):</w:t>
      </w:r>
    </w:p>
    <w:p>
      <w:pPr>
        <w:pStyle w:val="Compact"/>
        <w:numPr>
          <w:ilvl w:val="0"/>
          <w:numId w:val="1095"/>
        </w:numPr>
      </w:pPr>
      <w:r>
        <w:t xml:space="preserve">It describes cybersecurity expectations across the lifecycle (pre-market resilience; post-market vulnerability correction/patching; incident handling) and provides for reporting pathways/forms to PMDA in the described framework.</w:t>
      </w:r>
    </w:p>
    <w:bookmarkEnd w:id="136"/>
    <w:bookmarkStart w:id="137" w:name="Xddce93a83c3538d0b0b14de4972e6ed6891faf5"/>
    <w:p>
      <w:pPr>
        <w:pStyle w:val="Heading2"/>
      </w:pPr>
      <w:r>
        <w:t xml:space="preserve">Grading / Tiering schemes (what we can and cannot claim evidentially)</w:t>
      </w:r>
    </w:p>
    <w:p>
      <w:pPr>
        <w:pStyle w:val="Compact"/>
        <w:numPr>
          <w:ilvl w:val="0"/>
          <w:numId w:val="1096"/>
        </w:numPr>
      </w:pPr>
      <w:r>
        <w:rPr>
          <w:b/>
          <w:bCs/>
        </w:rPr>
        <w:t xml:space="preserve">No public numeric thresholding for “medical CI” appears in the CI policy text</w:t>
      </w:r>
      <w:r>
        <w:t xml:space="preserve"> </w:t>
      </w:r>
      <w:r>
        <w:t xml:space="preserve">(it uses the qualitative boundary “medical facilities (excluding small scale facilities)” in ANNEX 1).</w:t>
      </w:r>
    </w:p>
    <w:p>
      <w:pPr>
        <w:pStyle w:val="Compact"/>
        <w:numPr>
          <w:ilvl w:val="0"/>
          <w:numId w:val="1096"/>
        </w:numPr>
      </w:pPr>
      <w:r>
        <w:t xml:space="preserve">The CIP framework does define</w:t>
      </w:r>
      <w:r>
        <w:t xml:space="preserve"> </w:t>
      </w:r>
      <w:r>
        <w:rPr>
          <w:b/>
          <w:bCs/>
        </w:rPr>
        <w:t xml:space="preserve">information-sharing structures and policy measures</w:t>
      </w:r>
      <w:r>
        <w:t xml:space="preserve">, but</w:t>
      </w:r>
      <w:r>
        <w:t xml:space="preserve"> </w:t>
      </w:r>
      <w:r>
        <w:rPr>
          <w:b/>
          <w:bCs/>
        </w:rPr>
        <w:t xml:space="preserve">a public hospital-tier scoring rubric (A/B/C or Tier 1/2/3)</w:t>
      </w:r>
      <w:r>
        <w:t xml:space="preserve"> </w:t>
      </w:r>
      <w:r>
        <w:t xml:space="preserve">is</w:t>
      </w:r>
      <w:r>
        <w:t xml:space="preserve"> </w:t>
      </w:r>
      <w:r>
        <w:rPr>
          <w:b/>
          <w:bCs/>
        </w:rPr>
        <w:t xml:space="preserve">not evidenced</w:t>
      </w:r>
      <w:r>
        <w:t xml:space="preserve"> </w:t>
      </w:r>
      <w:r>
        <w:t xml:space="preserve">by the sources opened above, so it is</w:t>
      </w:r>
      <w:r>
        <w:t xml:space="preserve"> </w:t>
      </w:r>
      <w:r>
        <w:rPr>
          <w:b/>
          <w:bCs/>
        </w:rPr>
        <w:t xml:space="preserve">omitted</w:t>
      </w:r>
      <w:r>
        <w:t xml:space="preserve"> </w:t>
      </w:r>
      <w:r>
        <w:t xml:space="preserve">here.</w:t>
      </w:r>
    </w:p>
    <w:bookmarkEnd w:id="137"/>
    <w:bookmarkStart w:id="138" w:name="X0442c9e285dfd5c01989cd71202ed9beca6ad98"/>
    <w:p>
      <w:pPr>
        <w:pStyle w:val="Heading2"/>
      </w:pPr>
      <w:r>
        <w:t xml:space="preserve">Health information systems most defensibly “in-scope / critical”</w:t>
      </w:r>
    </w:p>
    <w:p>
      <w:pPr>
        <w:pStyle w:val="FirstParagraph"/>
      </w:pPr>
      <w:r>
        <w:t xml:space="preserve">Based strictly on</w:t>
      </w:r>
      <w:r>
        <w:t xml:space="preserve"> </w:t>
      </w:r>
      <w:r>
        <w:rPr>
          <w:b/>
          <w:bCs/>
        </w:rPr>
        <w:t xml:space="preserve">ANNEX 1 examples for “medical services”</w:t>
      </w:r>
      <w:r>
        <w:t xml:space="preserve"> </w:t>
      </w:r>
      <w:r>
        <w:t xml:space="preserve">in the CIP policy:</w:t>
      </w:r>
    </w:p>
    <w:p>
      <w:pPr>
        <w:pStyle w:val="Compact"/>
        <w:numPr>
          <w:ilvl w:val="0"/>
          <w:numId w:val="1097"/>
        </w:numPr>
      </w:pPr>
      <w:r>
        <w:t xml:space="preserve">Medical examination record management systems</w:t>
      </w:r>
    </w:p>
    <w:p>
      <w:pPr>
        <w:pStyle w:val="Compact"/>
        <w:numPr>
          <w:ilvl w:val="0"/>
          <w:numId w:val="1097"/>
        </w:numPr>
      </w:pPr>
      <w:r>
        <w:t xml:space="preserve">Medical examination support systems</w:t>
      </w:r>
    </w:p>
    <w:p>
      <w:pPr>
        <w:pStyle w:val="Compact"/>
        <w:numPr>
          <w:ilvl w:val="0"/>
          <w:numId w:val="1097"/>
        </w:numPr>
      </w:pPr>
      <w:r>
        <w:t xml:space="preserve">Community medical care support systems</w:t>
      </w:r>
    </w:p>
    <w:bookmarkEnd w:id="138"/>
    <w:bookmarkStart w:id="139" w:name="references-japan"/>
    <w:p>
      <w:pPr>
        <w:pStyle w:val="Heading2"/>
      </w:pPr>
      <w:r>
        <w:t xml:space="preserve">References (Japan)</w:t>
      </w:r>
    </w:p>
    <w:p>
      <w:pPr>
        <w:pStyle w:val="Compact"/>
        <w:numPr>
          <w:ilvl w:val="0"/>
          <w:numId w:val="1098"/>
        </w:numPr>
      </w:pPr>
      <w:r>
        <w:rPr>
          <w:b/>
          <w:bCs/>
        </w:rPr>
        <w:t xml:space="preserve">Japanese Law Translation (Ministry of Justice).</w:t>
      </w:r>
      <w:r>
        <w:t xml:space="preserve"> </w:t>
      </w:r>
      <w:r>
        <w:rPr>
          <w:b/>
          <w:bCs/>
        </w:rPr>
        <w:t xml:space="preserve">The Basic Act on Cybersecurity (Act No. 104 of 2014)</w:t>
      </w:r>
      <w:r>
        <w:t xml:space="preserve">. (</w:t>
      </w:r>
      <w:hyperlink r:id="rId48">
        <w:r>
          <w:rPr>
            <w:rStyle w:val="Hyperlink"/>
          </w:rPr>
          <w:t xml:space="preserve">link</w:t>
        </w:r>
      </w:hyperlink>
      <w:r>
        <w:t xml:space="preserve">)</w:t>
      </w:r>
    </w:p>
    <w:p>
      <w:pPr>
        <w:pStyle w:val="Compact"/>
        <w:numPr>
          <w:ilvl w:val="0"/>
          <w:numId w:val="1098"/>
        </w:numPr>
      </w:pPr>
      <w:r>
        <w:rPr>
          <w:b/>
          <w:bCs/>
        </w:rPr>
        <w:t xml:space="preserve">Cybersecurity Strategic Headquarters (Japan).</w:t>
      </w:r>
      <w:r>
        <w:t xml:space="preserve"> </w:t>
      </w:r>
      <w:r>
        <w:rPr>
          <w:b/>
          <w:bCs/>
        </w:rPr>
        <w:t xml:space="preserve">The Cybersecurity Policy for Critical Infrastructure Protection</w:t>
      </w:r>
      <w:r>
        <w:t xml:space="preserve"> </w:t>
      </w:r>
      <w:r>
        <w:t xml:space="preserve">(revised March 8, 2024). (</w:t>
      </w:r>
      <w:hyperlink r:id="rId49">
        <w:r>
          <w:rPr>
            <w:rStyle w:val="Hyperlink"/>
          </w:rPr>
          <w:t xml:space="preserve">pdf</w:t>
        </w:r>
      </w:hyperlink>
      <w:r>
        <w:t xml:space="preserve">)</w:t>
      </w:r>
    </w:p>
    <w:p>
      <w:pPr>
        <w:pStyle w:val="Compact"/>
        <w:numPr>
          <w:ilvl w:val="0"/>
          <w:numId w:val="1098"/>
        </w:numPr>
      </w:pPr>
      <w:r>
        <w:rPr>
          <w:b/>
          <w:bCs/>
        </w:rPr>
        <w:t xml:space="preserve">National Cybersecurity Office (Japan).</w:t>
      </w:r>
      <w:r>
        <w:t xml:space="preserve"> </w:t>
      </w:r>
      <w:r>
        <w:rPr>
          <w:b/>
          <w:bCs/>
        </w:rPr>
        <w:t xml:space="preserve">Critical Infrastructure Protection Overview</w:t>
      </w:r>
      <w:r>
        <w:t xml:space="preserve">. (</w:t>
      </w:r>
      <w:hyperlink r:id="rId50">
        <w:r>
          <w:rPr>
            <w:rStyle w:val="Hyperlink"/>
          </w:rPr>
          <w:t xml:space="preserve">pdf</w:t>
        </w:r>
      </w:hyperlink>
      <w:r>
        <w:t xml:space="preserve">)</w:t>
      </w:r>
    </w:p>
    <w:p>
      <w:pPr>
        <w:pStyle w:val="Compact"/>
        <w:numPr>
          <w:ilvl w:val="0"/>
          <w:numId w:val="1098"/>
        </w:numPr>
      </w:pPr>
      <w:r>
        <w:rPr>
          <w:b/>
          <w:bCs/>
        </w:rPr>
        <w:t xml:space="preserve">MHLW (Japan).</w:t>
      </w:r>
      <w:r>
        <w:t xml:space="preserve"> </w:t>
      </w:r>
      <w:r>
        <w:rPr>
          <w:b/>
          <w:bCs/>
        </w:rPr>
        <w:t xml:space="preserve">Basic Policy for Cyber-security Measures at Medical Facilities</w:t>
      </w:r>
      <w:r>
        <w:t xml:space="preserve">. (</w:t>
      </w:r>
      <w:hyperlink r:id="rId51">
        <w:r>
          <w:rPr>
            <w:rStyle w:val="Hyperlink"/>
          </w:rPr>
          <w:t xml:space="preserve">pdf</w:t>
        </w:r>
      </w:hyperlink>
      <w:r>
        <w:t xml:space="preserve">)</w:t>
      </w:r>
    </w:p>
    <w:p>
      <w:pPr>
        <w:pStyle w:val="Compact"/>
        <w:numPr>
          <w:ilvl w:val="0"/>
          <w:numId w:val="1098"/>
        </w:numPr>
      </w:pPr>
      <w:r>
        <w:rPr>
          <w:b/>
          <w:bCs/>
        </w:rPr>
        <w:t xml:space="preserve">MHLW (Japan).</w:t>
      </w:r>
      <w:r>
        <w:t xml:space="preserve"> </w:t>
      </w:r>
      <w:r>
        <w:rPr>
          <w:b/>
          <w:bCs/>
        </w:rPr>
        <w:t xml:space="preserve">Guidelines on Safety Management of Healthcare Information Systems Ver. 6.0</w:t>
      </w:r>
      <w:r>
        <w:t xml:space="preserve">. (</w:t>
      </w:r>
      <w:hyperlink r:id="rId52">
        <w:r>
          <w:rPr>
            <w:rStyle w:val="Hyperlink"/>
          </w:rPr>
          <w:t xml:space="preserve">link</w:t>
        </w:r>
      </w:hyperlink>
      <w:r>
        <w:t xml:space="preserve">)</w:t>
      </w:r>
    </w:p>
    <w:p>
      <w:pPr>
        <w:pStyle w:val="Compact"/>
        <w:numPr>
          <w:ilvl w:val="0"/>
          <w:numId w:val="1098"/>
        </w:numPr>
      </w:pPr>
      <w:r>
        <w:rPr>
          <w:b/>
          <w:bCs/>
        </w:rPr>
        <w:t xml:space="preserve">PMDA/MHLW (Japan).</w:t>
      </w:r>
      <w:r>
        <w:t xml:space="preserve"> </w:t>
      </w:r>
      <w:r>
        <w:rPr>
          <w:b/>
          <w:bCs/>
        </w:rPr>
        <w:t xml:space="preserve">Cybersecurity-related medical device safety / reporting material</w:t>
      </w:r>
      <w:r>
        <w:t xml:space="preserve">. (</w:t>
      </w:r>
      <w:hyperlink r:id="rId53">
        <w:r>
          <w:rPr>
            <w:rStyle w:val="Hyperlink"/>
          </w:rPr>
          <w:t xml:space="preserve">pdf</w:t>
        </w:r>
      </w:hyperlink>
      <w:r>
        <w:t xml:space="preserve">)</w:t>
      </w:r>
    </w:p>
    <w:p>
      <w:pPr>
        <w:sectPr>
          <w:footerReference w:type="first" r:id="rId13"/>
          <w:footerReference w:type="default" r:id="rId11"/>
          <w:footerReference w:type="even" r:id="rId10"/>
          <w:type w:val="nextPage"/>
        </w:sectPr>
      </w:pPr>
    </w:p>
    <w:bookmarkEnd w:id="139"/>
    <w:bookmarkEnd w:id="140"/>
    <w:bookmarkStart w:id="154" w:name="china-peoples-republic-of-china"/>
    <w:p>
      <w:pPr>
        <w:pStyle w:val="Heading1"/>
      </w:pPr>
      <w:r>
        <w:t xml:space="preserve">CHINA (PEOPLE’S REPUBLIC OF CHINA)</w:t>
      </w:r>
    </w:p>
    <w:bookmarkStart w:id="141" w:name="X1963e95183f0425714ef2a697316a948e3b6b5b"/>
    <w:p>
      <w:pPr>
        <w:pStyle w:val="Heading2"/>
      </w:pPr>
      <w:r>
        <w:t xml:space="preserve">Final categories (what is “highest critical / protected”)</w:t>
      </w:r>
    </w:p>
    <w:p>
      <w:pPr>
        <w:pStyle w:val="Compact"/>
        <w:numPr>
          <w:ilvl w:val="0"/>
          <w:numId w:val="1099"/>
        </w:numPr>
      </w:pPr>
      <w:r>
        <w:rPr>
          <w:rFonts w:hint="eastAsia"/>
          <w:b/>
          <w:bCs/>
        </w:rPr>
        <w:t xml:space="preserve">关键信息基础设施</w:t>
      </w:r>
      <w:r>
        <w:rPr>
          <w:b/>
          <w:bCs/>
        </w:rPr>
        <w:t xml:space="preserve"> (Critical Information Infrastructure, “CII”) </w:t>
      </w:r>
      <w:r>
        <w:rPr>
          <w:rFonts w:hint="eastAsia"/>
          <w:b/>
          <w:bCs/>
        </w:rPr>
        <w:t xml:space="preserve">—重点保护</w:t>
      </w:r>
      <w:r>
        <w:rPr>
          <w:b/>
          <w:bCs/>
        </w:rPr>
        <w:t xml:space="preserve"> / key protection</w:t>
      </w:r>
    </w:p>
    <w:p>
      <w:pPr>
        <w:pStyle w:val="Compact"/>
        <w:numPr>
          <w:ilvl w:val="1"/>
          <w:numId w:val="1100"/>
        </w:numPr>
      </w:pPr>
      <w:r>
        <w:t xml:space="preserve">The Cybersecurity Law provides that the State applies</w:t>
      </w:r>
      <w:r>
        <w:t xml:space="preserve"> </w:t>
      </w:r>
      <w:r>
        <w:rPr>
          <w:rFonts w:hint="eastAsia"/>
          <w:b/>
          <w:bCs/>
        </w:rPr>
        <w:t xml:space="preserve">重点保护</w:t>
      </w:r>
      <w:r>
        <w:rPr>
          <w:b/>
          <w:bCs/>
        </w:rPr>
        <w:t xml:space="preserve"> (“key protection”)</w:t>
      </w:r>
      <w:r>
        <w:t xml:space="preserve"> </w:t>
      </w:r>
      <w:r>
        <w:t xml:space="preserve">to CII in listed sectors,</w:t>
      </w:r>
      <w:r>
        <w:t xml:space="preserve"> </w:t>
      </w:r>
      <w:r>
        <w:rPr>
          <w:b/>
          <w:bCs/>
        </w:rPr>
        <w:t xml:space="preserve">on the basis of the network security graded protection system </w:t>
      </w:r>
      <w:r>
        <w:rPr>
          <w:rFonts w:hint="eastAsia"/>
          <w:b/>
          <w:bCs/>
        </w:rPr>
        <w:t xml:space="preserve">(网络安全等级保护制度)</w:t>
      </w:r>
      <w:r>
        <w:t xml:space="preserve">, and delegates the</w:t>
      </w:r>
      <w:r>
        <w:t xml:space="preserve"> </w:t>
      </w:r>
      <w:r>
        <w:rPr>
          <w:b/>
          <w:bCs/>
        </w:rPr>
        <w:t xml:space="preserve">specific scope and protection measures</w:t>
      </w:r>
      <w:r>
        <w:t xml:space="preserve"> </w:t>
      </w:r>
      <w:r>
        <w:t xml:space="preserve">to the State Council. (</w:t>
      </w:r>
      <w:hyperlink r:id="rId48">
        <w:r>
          <w:rPr>
            <w:rStyle w:val="Hyperlink"/>
          </w:rPr>
          <w:t xml:space="preserve">CAC</w:t>
        </w:r>
      </w:hyperlink>
      <w:r>
        <w:t xml:space="preserve">)</w:t>
      </w:r>
    </w:p>
    <w:p>
      <w:pPr>
        <w:pStyle w:val="Compact"/>
        <w:numPr>
          <w:ilvl w:val="0"/>
          <w:numId w:val="1099"/>
        </w:numPr>
      </w:pPr>
      <w:r>
        <w:rPr>
          <w:rFonts w:hint="eastAsia"/>
          <w:b/>
          <w:bCs/>
        </w:rPr>
        <w:t xml:space="preserve">关键信息基础设施的运营者</w:t>
      </w:r>
      <w:r>
        <w:rPr>
          <w:b/>
          <w:bCs/>
        </w:rPr>
        <w:t xml:space="preserve"> (Operators of CII / “CIIOs”)</w:t>
      </w:r>
    </w:p>
    <w:p>
      <w:pPr>
        <w:pStyle w:val="Compact"/>
        <w:numPr>
          <w:ilvl w:val="1"/>
          <w:numId w:val="1101"/>
        </w:numPr>
      </w:pPr>
      <w:r>
        <w:t xml:space="preserve">The Cybersecurity Law contains a dedicated section on</w:t>
      </w:r>
      <w:r>
        <w:t xml:space="preserve"> </w:t>
      </w:r>
      <w:r>
        <w:rPr>
          <w:b/>
          <w:bCs/>
        </w:rPr>
        <w:t xml:space="preserve">CII operational security</w:t>
      </w:r>
      <w:r>
        <w:t xml:space="preserve"> </w:t>
      </w:r>
      <w:r>
        <w:t xml:space="preserve">and sets additional obligations for</w:t>
      </w:r>
      <w:r>
        <w:t xml:space="preserve"> </w:t>
      </w:r>
      <w:r>
        <w:rPr>
          <w:b/>
          <w:bCs/>
        </w:rPr>
        <w:t xml:space="preserve">CII operators</w:t>
      </w:r>
      <w:r>
        <w:t xml:space="preserve"> </w:t>
      </w:r>
      <w:r>
        <w:t xml:space="preserve">in that section. (</w:t>
      </w:r>
      <w:hyperlink r:id="rId48">
        <w:r>
          <w:rPr>
            <w:rStyle w:val="Hyperlink"/>
          </w:rPr>
          <w:t xml:space="preserve">CAC</w:t>
        </w:r>
      </w:hyperlink>
      <w:r>
        <w:t xml:space="preserve">)</w:t>
      </w:r>
    </w:p>
    <w:p>
      <w:pPr>
        <w:pStyle w:val="Compact"/>
        <w:numPr>
          <w:ilvl w:val="0"/>
          <w:numId w:val="1099"/>
        </w:numPr>
      </w:pPr>
      <w:r>
        <w:rPr>
          <w:rFonts w:hint="eastAsia"/>
          <w:b/>
          <w:bCs/>
        </w:rPr>
        <w:t xml:space="preserve">《关键信息基础设施安全保护条例》</w:t>
      </w:r>
      <w:r>
        <w:rPr>
          <w:b/>
          <w:bCs/>
        </w:rPr>
        <w:t xml:space="preserve"> (State Council Decree No. 745; effective 1 Sept 2021)</w:t>
      </w:r>
    </w:p>
    <w:p>
      <w:pPr>
        <w:pStyle w:val="Compact"/>
        <w:numPr>
          <w:ilvl w:val="1"/>
          <w:numId w:val="1102"/>
        </w:numPr>
      </w:pPr>
      <w:r>
        <w:t xml:space="preserve">These Regulations define CII, establish the supervisory structure, and set out the</w:t>
      </w:r>
      <w:r>
        <w:t xml:space="preserve"> </w:t>
      </w:r>
      <w:r>
        <w:rPr>
          <w:b/>
          <w:bCs/>
        </w:rPr>
        <w:t xml:space="preserve">industry-regulator “determination / designation” mechanism</w:t>
      </w:r>
      <w:r>
        <w:t xml:space="preserve"> </w:t>
      </w:r>
      <w:r>
        <w:t xml:space="preserve">(Protection Work Departments drafting designation rules; organizing determinations; notifying operators). (</w:t>
      </w:r>
      <w:hyperlink r:id="rId49">
        <w:r>
          <w:rPr>
            <w:rStyle w:val="Hyperlink"/>
          </w:rPr>
          <w:t xml:space="preserve">China Law Translate</w:t>
        </w:r>
      </w:hyperlink>
      <w:r>
        <w:t xml:space="preserve">)</w:t>
      </w:r>
    </w:p>
    <w:p>
      <w:pPr>
        <w:pStyle w:val="Compact"/>
        <w:numPr>
          <w:ilvl w:val="0"/>
          <w:numId w:val="1099"/>
        </w:numPr>
      </w:pPr>
      <w:r>
        <w:rPr>
          <w:b/>
          <w:bCs/>
        </w:rPr>
        <w:t xml:space="preserve">Health-sector “highest protected” systems under MLPS (graded protection) — explicit health guidance</w:t>
      </w:r>
    </w:p>
    <w:p>
      <w:pPr>
        <w:pStyle w:val="Compact"/>
        <w:numPr>
          <w:ilvl w:val="1"/>
          <w:numId w:val="1103"/>
        </w:numPr>
      </w:pPr>
      <w:r>
        <w:t xml:space="preserve">The National Health Commission (then Ministry of Health) guidance (2011) states that the</w:t>
      </w:r>
      <w:r>
        <w:t xml:space="preserve"> </w:t>
      </w:r>
      <w:r>
        <w:rPr>
          <w:b/>
          <w:bCs/>
        </w:rPr>
        <w:t xml:space="preserve">graded protection system has five levels</w:t>
      </w:r>
      <w:r>
        <w:t xml:space="preserve"> </w:t>
      </w:r>
      <w:r>
        <w:t xml:space="preserve">and lists multiple</w:t>
      </w:r>
      <w:r>
        <w:t xml:space="preserve"> </w:t>
      </w:r>
      <w:r>
        <w:rPr>
          <w:b/>
          <w:bCs/>
        </w:rPr>
        <w:t xml:space="preserve">health information systems that should be “principally not lower than Level 3.”</w:t>
      </w:r>
      <w:r>
        <w:t xml:space="preserve"> </w:t>
      </w:r>
      <w:r>
        <w:t xml:space="preserve">(</w:t>
      </w:r>
      <w:hyperlink r:id="rId50">
        <w:r>
          <w:rPr>
            <w:rStyle w:val="Hyperlink"/>
          </w:rPr>
          <w:t xml:space="preserve">National Health Commission</w:t>
        </w:r>
      </w:hyperlink>
      <w:r>
        <w:t xml:space="preserve">)</w:t>
      </w:r>
    </w:p>
    <w:p>
      <w:pPr>
        <w:pStyle w:val="Compact"/>
        <w:numPr>
          <w:ilvl w:val="1"/>
          <w:numId w:val="1103"/>
        </w:numPr>
      </w:pPr>
      <w:r>
        <w:t xml:space="preserve">The NHC/NATCM/NCDC measures (2022) state a principle focusing on protection of</w:t>
      </w:r>
      <w:r>
        <w:t xml:space="preserve"> </w:t>
      </w:r>
      <w:r>
        <w:rPr>
          <w:b/>
          <w:bCs/>
        </w:rPr>
        <w:t xml:space="preserve">CII</w:t>
      </w:r>
      <w:r>
        <w:t xml:space="preserve">,</w:t>
      </w:r>
      <w:r>
        <w:t xml:space="preserve"> </w:t>
      </w:r>
      <w:r>
        <w:rPr>
          <w:b/>
          <w:bCs/>
        </w:rPr>
        <w:t xml:space="preserve">MLPS Level 3+ networks</w:t>
      </w:r>
      <w:r>
        <w:t xml:space="preserve">, and</w:t>
      </w:r>
      <w:r>
        <w:t xml:space="preserve"> </w:t>
      </w:r>
      <w:r>
        <w:rPr>
          <w:b/>
          <w:bCs/>
        </w:rPr>
        <w:t xml:space="preserve">important data/personal information</w:t>
      </w:r>
      <w:r>
        <w:t xml:space="preserve"> </w:t>
      </w:r>
      <w:r>
        <w:t xml:space="preserve">in healthcare institutions. (</w:t>
      </w:r>
      <w:hyperlink r:id="rId51">
        <w:r>
          <w:rPr>
            <w:rStyle w:val="Hyperlink"/>
          </w:rPr>
          <w:t xml:space="preserve">National Health Commission</w:t>
        </w:r>
      </w:hyperlink>
      <w:r>
        <w:t xml:space="preserve">)</w:t>
      </w:r>
    </w:p>
    <w:bookmarkEnd w:id="141"/>
    <w:bookmarkStart w:id="142" w:name="X68335b8f8a518333e1f205190897023d9241813"/>
    <w:p>
      <w:pPr>
        <w:pStyle w:val="Heading2"/>
      </w:pPr>
      <w:r>
        <w:t xml:space="preserve">Exact legal / regulatory criteria (what triggers inclusion)</w:t>
      </w:r>
    </w:p>
    <w:bookmarkEnd w:id="142"/>
    <w:bookmarkStart w:id="143" w:name="a-the-definition-scope-text"/>
    <w:p>
      <w:pPr>
        <w:pStyle w:val="Heading2"/>
      </w:pPr>
      <w:r>
        <w:t xml:space="preserve">A) The Definition (scope text)</w:t>
      </w:r>
    </w:p>
    <w:p>
      <w:pPr>
        <w:pStyle w:val="FirstParagraph"/>
      </w:pPr>
      <w:r>
        <w:rPr>
          <w:b/>
          <w:bCs/>
        </w:rPr>
        <w:t xml:space="preserve">Cybersecurity Law — CII (Article 33 on CAC text)</w:t>
      </w:r>
    </w:p>
    <w:p>
      <w:pPr>
        <w:pStyle w:val="Compact"/>
        <w:numPr>
          <w:ilvl w:val="0"/>
          <w:numId w:val="1104"/>
        </w:numPr>
      </w:pPr>
      <w:r>
        <w:t xml:space="preserve">CII sectors explicitly listed include:</w:t>
      </w:r>
      <w:r>
        <w:t xml:space="preserve"> </w:t>
      </w:r>
      <w:r>
        <w:rPr>
          <w:b/>
          <w:bCs/>
        </w:rPr>
        <w:t xml:space="preserve">public communications and information services, energy, transportation, water conservancy, finance, public services, e-government</w:t>
      </w:r>
      <w:r>
        <w:t xml:space="preserve">, and “other” CII whose destruction/loss of function/data leakage may seriously endanger national security / people’s livelihood / public interest.</w:t>
      </w:r>
    </w:p>
    <w:p>
      <w:pPr>
        <w:pStyle w:val="Compact"/>
        <w:numPr>
          <w:ilvl w:val="0"/>
          <w:numId w:val="1104"/>
        </w:numPr>
      </w:pPr>
      <w:r>
        <w:t xml:space="preserve">The provision states this protection is</w:t>
      </w:r>
      <w:r>
        <w:t xml:space="preserve"> </w:t>
      </w:r>
      <w:r>
        <w:rPr>
          <w:b/>
          <w:bCs/>
        </w:rPr>
        <w:t xml:space="preserve">“on the basis of” the graded protection system</w:t>
      </w:r>
      <w:r>
        <w:t xml:space="preserve">, and that the</w:t>
      </w:r>
      <w:r>
        <w:t xml:space="preserve"> </w:t>
      </w:r>
      <w:r>
        <w:rPr>
          <w:b/>
          <w:bCs/>
        </w:rPr>
        <w:t xml:space="preserve">specific scope and protection measures are to be formulated by the State Council</w:t>
      </w:r>
      <w:r>
        <w:t xml:space="preserve">. (</w:t>
      </w:r>
      <w:hyperlink r:id="rId48">
        <w:r>
          <w:rPr>
            <w:rStyle w:val="Hyperlink"/>
          </w:rPr>
          <w:t xml:space="preserve">CAC</w:t>
        </w:r>
      </w:hyperlink>
      <w:r>
        <w:t xml:space="preserve">)</w:t>
      </w:r>
    </w:p>
    <w:p>
      <w:pPr>
        <w:pStyle w:val="FirstParagraph"/>
      </w:pPr>
      <w:r>
        <w:rPr>
          <w:b/>
          <w:bCs/>
        </w:rPr>
        <w:t xml:space="preserve">CII Security Protection Regulations (Decree No. 745) — CII definition (Article 2)</w:t>
      </w:r>
    </w:p>
    <w:p>
      <w:pPr>
        <w:pStyle w:val="Compact"/>
        <w:numPr>
          <w:ilvl w:val="0"/>
          <w:numId w:val="1105"/>
        </w:numPr>
      </w:pPr>
      <w:r>
        <w:t xml:space="preserve">Defines CII by (i) listed sectors (includes</w:t>
      </w:r>
      <w:r>
        <w:t xml:space="preserve"> </w:t>
      </w:r>
      <w:r>
        <w:rPr>
          <w:b/>
          <w:bCs/>
        </w:rPr>
        <w:t xml:space="preserve">public services, e-government</w:t>
      </w:r>
      <w:r>
        <w:t xml:space="preserve">, etc., and also</w:t>
      </w:r>
      <w:r>
        <w:t xml:space="preserve"> </w:t>
      </w:r>
      <w:r>
        <w:rPr>
          <w:b/>
          <w:bCs/>
        </w:rPr>
        <w:t xml:space="preserve">national defense technology industry</w:t>
      </w:r>
      <w:r>
        <w:t xml:space="preserve">) and (ii) a harm test (destruction/loss of function/data leakage may seriously endanger national security / people’s livelihood / public interest). (</w:t>
      </w:r>
      <w:hyperlink r:id="rId49">
        <w:r>
          <w:rPr>
            <w:rStyle w:val="Hyperlink"/>
          </w:rPr>
          <w:t xml:space="preserve">China Law Translate</w:t>
        </w:r>
      </w:hyperlink>
      <w:r>
        <w:t xml:space="preserve">)</w:t>
      </w:r>
    </w:p>
    <w:bookmarkEnd w:id="143"/>
    <w:bookmarkStart w:id="144" w:name="Xc28e0aa7f8676c660d6976d8eb47d16353ec47c"/>
    <w:p>
      <w:pPr>
        <w:pStyle w:val="Heading2"/>
      </w:pPr>
      <w:r>
        <w:t xml:space="preserve">B) The Thresholds (tests stated in the instruments)</w:t>
      </w:r>
    </w:p>
    <w:p>
      <w:pPr>
        <w:pStyle w:val="FirstParagraph"/>
      </w:pPr>
      <w:r>
        <w:rPr>
          <w:b/>
          <w:bCs/>
        </w:rPr>
        <w:t xml:space="preserve">Cybersecurity Law (graded protection baseline)</w:t>
      </w:r>
    </w:p>
    <w:p>
      <w:pPr>
        <w:pStyle w:val="Compact"/>
        <w:numPr>
          <w:ilvl w:val="0"/>
          <w:numId w:val="1106"/>
        </w:numPr>
      </w:pPr>
      <w:r>
        <w:t xml:space="preserve">The Cybersecurity Law states the State implements the</w:t>
      </w:r>
      <w:r>
        <w:t xml:space="preserve"> </w:t>
      </w:r>
      <w:r>
        <w:rPr>
          <w:b/>
          <w:bCs/>
        </w:rPr>
        <w:t xml:space="preserve">network security graded protection system</w:t>
      </w:r>
      <w:r>
        <w:t xml:space="preserve"> </w:t>
      </w:r>
      <w:r>
        <w:t xml:space="preserve">and requires network operators to fulfill specified security protection obligations under that system. (</w:t>
      </w:r>
      <w:hyperlink r:id="rId48">
        <w:r>
          <w:rPr>
            <w:rStyle w:val="Hyperlink"/>
          </w:rPr>
          <w:t xml:space="preserve">CAC</w:t>
        </w:r>
      </w:hyperlink>
      <w:r>
        <w:t xml:space="preserve">)</w:t>
      </w:r>
    </w:p>
    <w:p>
      <w:pPr>
        <w:pStyle w:val="FirstParagraph"/>
      </w:pPr>
      <w:r>
        <w:rPr>
          <w:b/>
          <w:bCs/>
        </w:rPr>
        <w:t xml:space="preserve">Decree No. 745 designation mechanism — criteria for designation rules (Article 9)</w:t>
      </w:r>
    </w:p>
    <w:p>
      <w:pPr>
        <w:pStyle w:val="Compact"/>
        <w:numPr>
          <w:ilvl w:val="0"/>
          <w:numId w:val="1107"/>
        </w:numPr>
      </w:pPr>
      <w:r>
        <w:t xml:space="preserve">Protection Work Departments must draft</w:t>
      </w:r>
      <w:r>
        <w:t xml:space="preserve"> </w:t>
      </w:r>
      <w:r>
        <w:rPr>
          <w:b/>
          <w:bCs/>
        </w:rPr>
        <w:t xml:space="preserve">designation rules</w:t>
      </w:r>
      <w:r>
        <w:t xml:space="preserve"> </w:t>
      </w:r>
      <w:r>
        <w:t xml:space="preserve">and file them with the State Council public security department.</w:t>
      </w:r>
    </w:p>
    <w:p>
      <w:pPr>
        <w:pStyle w:val="Compact"/>
        <w:numPr>
          <w:ilvl w:val="0"/>
          <w:numId w:val="1107"/>
        </w:numPr>
      </w:pPr>
      <w:r>
        <w:t xml:space="preserve">In drafting designation standards, Article 9 lists three factors:</w:t>
      </w:r>
    </w:p>
    <w:p>
      <w:pPr>
        <w:pStyle w:val="Compact"/>
        <w:numPr>
          <w:ilvl w:val="1"/>
          <w:numId w:val="1108"/>
        </w:numPr>
      </w:pPr>
      <w:r>
        <w:t xml:space="preserve">importance of the network facilities/information systems to core operations in the sector;</w:t>
      </w:r>
    </w:p>
    <w:p>
      <w:pPr>
        <w:pStyle w:val="Compact"/>
        <w:numPr>
          <w:ilvl w:val="1"/>
          <w:numId w:val="1108"/>
        </w:numPr>
      </w:pPr>
      <w:r>
        <w:t xml:space="preserve">degree of harm if destroyed / loses function / data leakage;</w:t>
      </w:r>
    </w:p>
    <w:p>
      <w:pPr>
        <w:pStyle w:val="Compact"/>
        <w:numPr>
          <w:ilvl w:val="1"/>
          <w:numId w:val="1108"/>
        </w:numPr>
      </w:pPr>
      <w:r>
        <w:t xml:space="preserve">impact on other industries/sectors. (</w:t>
      </w:r>
      <w:hyperlink r:id="rId49">
        <w:r>
          <w:rPr>
            <w:rStyle w:val="Hyperlink"/>
          </w:rPr>
          <w:t xml:space="preserve">China Law Translate</w:t>
        </w:r>
      </w:hyperlink>
      <w:r>
        <w:t xml:space="preserve">)</w:t>
      </w:r>
    </w:p>
    <w:p>
      <w:pPr>
        <w:pStyle w:val="FirstParagraph"/>
      </w:pPr>
      <w:r>
        <w:rPr>
          <w:b/>
          <w:bCs/>
        </w:rPr>
        <w:t xml:space="preserve">No numeric thresholds in the designation factors</w:t>
      </w:r>
      <w:r>
        <w:t xml:space="preserve"> </w:t>
      </w:r>
      <w:r>
        <w:t xml:space="preserve">* Article 9 provides factors (importance/harm/impact) and does</w:t>
      </w:r>
      <w:r>
        <w:t xml:space="preserve"> </w:t>
      </w:r>
      <w:r>
        <w:rPr>
          <w:b/>
          <w:bCs/>
        </w:rPr>
        <w:t xml:space="preserve">not</w:t>
      </w:r>
      <w:r>
        <w:t xml:space="preserve"> </w:t>
      </w:r>
      <w:r>
        <w:t xml:space="preserve">state numeric thresholds. (</w:t>
      </w:r>
      <w:hyperlink r:id="rId49">
        <w:r>
          <w:rPr>
            <w:rStyle w:val="Hyperlink"/>
          </w:rPr>
          <w:t xml:space="preserve">China Law Translate</w:t>
        </w:r>
      </w:hyperlink>
      <w:r>
        <w:t xml:space="preserve">)</w:t>
      </w:r>
    </w:p>
    <w:bookmarkEnd w:id="144"/>
    <w:bookmarkStart w:id="145" w:name="grading-tiering-scheme-1"/>
    <w:p>
      <w:pPr>
        <w:pStyle w:val="Heading2"/>
      </w:pPr>
      <w:r>
        <w:t xml:space="preserve">Grading / tiering scheme</w:t>
      </w:r>
    </w:p>
    <w:p>
      <w:pPr>
        <w:pStyle w:val="Compact"/>
        <w:numPr>
          <w:ilvl w:val="0"/>
          <w:numId w:val="1109"/>
        </w:numPr>
      </w:pPr>
      <w:r>
        <w:rPr>
          <w:b/>
          <w:bCs/>
        </w:rPr>
        <w:t xml:space="preserve">Network security graded protection system </w:t>
      </w:r>
      <w:r>
        <w:rPr>
          <w:rFonts w:hint="eastAsia"/>
          <w:b/>
          <w:bCs/>
        </w:rPr>
        <w:t xml:space="preserve">(网络安全等级保护制度)</w:t>
      </w:r>
    </w:p>
    <w:p>
      <w:pPr>
        <w:pStyle w:val="Compact"/>
        <w:numPr>
          <w:ilvl w:val="1"/>
          <w:numId w:val="1110"/>
        </w:numPr>
      </w:pPr>
      <w:r>
        <w:t xml:space="preserve">The Cybersecurity Law states that China implements the graded protection system and lists operator obligations under that system. (</w:t>
      </w:r>
      <w:hyperlink r:id="rId48">
        <w:r>
          <w:rPr>
            <w:rStyle w:val="Hyperlink"/>
          </w:rPr>
          <w:t xml:space="preserve">CAC</w:t>
        </w:r>
      </w:hyperlink>
      <w:r>
        <w:t xml:space="preserve">)</w:t>
      </w:r>
    </w:p>
    <w:p>
      <w:pPr>
        <w:pStyle w:val="Compact"/>
        <w:numPr>
          <w:ilvl w:val="0"/>
          <w:numId w:val="1109"/>
        </w:numPr>
      </w:pPr>
      <w:r>
        <w:rPr>
          <w:b/>
          <w:bCs/>
        </w:rPr>
        <w:t xml:space="preserve">CII protection is explicitly stated as being “on the basis of” graded protection</w:t>
      </w:r>
    </w:p>
    <w:p>
      <w:pPr>
        <w:pStyle w:val="Compact"/>
        <w:numPr>
          <w:ilvl w:val="1"/>
          <w:numId w:val="1111"/>
        </w:numPr>
      </w:pPr>
      <w:r>
        <w:t xml:space="preserve">The Cybersecurity Law provision on CII states</w:t>
      </w:r>
      <w:r>
        <w:t xml:space="preserve"> </w:t>
      </w:r>
      <w:r>
        <w:rPr>
          <w:rFonts w:hint="eastAsia"/>
          <w:b/>
          <w:bCs/>
        </w:rPr>
        <w:t xml:space="preserve">重点保护</w:t>
      </w:r>
      <w:r>
        <w:t xml:space="preserve"> </w:t>
      </w:r>
      <w:r>
        <w:t xml:space="preserve">for CII</w:t>
      </w:r>
      <w:r>
        <w:t xml:space="preserve"> </w:t>
      </w:r>
      <w:r>
        <w:rPr>
          <w:b/>
          <w:bCs/>
        </w:rPr>
        <w:t xml:space="preserve">on the basis of</w:t>
      </w:r>
      <w:r>
        <w:t xml:space="preserve"> </w:t>
      </w:r>
      <w:r>
        <w:t xml:space="preserve">graded protection. (</w:t>
      </w:r>
      <w:hyperlink r:id="rId48">
        <w:r>
          <w:rPr>
            <w:rStyle w:val="Hyperlink"/>
          </w:rPr>
          <w:t xml:space="preserve">CAC</w:t>
        </w:r>
      </w:hyperlink>
      <w:r>
        <w:t xml:space="preserve">)</w:t>
      </w:r>
    </w:p>
    <w:p>
      <w:pPr>
        <w:pStyle w:val="Compact"/>
        <w:numPr>
          <w:ilvl w:val="0"/>
          <w:numId w:val="1109"/>
        </w:numPr>
      </w:pPr>
      <w:r>
        <w:rPr>
          <w:b/>
          <w:bCs/>
        </w:rPr>
        <w:t xml:space="preserve">Five levels (explicitly stated in the 2011 health-sector guidance)</w:t>
      </w:r>
    </w:p>
    <w:p>
      <w:pPr>
        <w:pStyle w:val="Compact"/>
        <w:numPr>
          <w:ilvl w:val="1"/>
          <w:numId w:val="1112"/>
        </w:numPr>
      </w:pPr>
      <w:r>
        <w:t xml:space="preserve">The 2011 health-sector guidance states: </w:t>
      </w:r>
      <w:r>
        <w:rPr>
          <w:rFonts w:hint="eastAsia"/>
        </w:rPr>
        <w:t xml:space="preserve">“等级…分为五级”</w:t>
      </w:r>
      <w:r>
        <w:t xml:space="preserve"> and names each level from Level 1 to Level 5. (</w:t>
      </w:r>
      <w:hyperlink r:id="rId50">
        <w:r>
          <w:rPr>
            <w:rStyle w:val="Hyperlink"/>
          </w:rPr>
          <w:t xml:space="preserve">National Health Commission</w:t>
        </w:r>
      </w:hyperlink>
      <w:r>
        <w:t xml:space="preserve">)</w:t>
      </w:r>
    </w:p>
    <w:bookmarkEnd w:id="145"/>
    <w:bookmarkStart w:id="146" w:name="incident-reporting-tests-and-thresholds"/>
    <w:p>
      <w:pPr>
        <w:pStyle w:val="Heading2"/>
      </w:pPr>
      <w:r>
        <w:t xml:space="preserve">Incident reporting tests and thresholds</w:t>
      </w:r>
    </w:p>
    <w:p>
      <w:pPr>
        <w:pStyle w:val="FirstParagraph"/>
      </w:pPr>
      <w:r>
        <w:rPr>
          <w:b/>
          <w:bCs/>
        </w:rPr>
        <w:t xml:space="preserve">Cybersecurity Law (general incident reporting duty)</w:t>
      </w:r>
    </w:p>
    <w:p>
      <w:pPr>
        <w:pStyle w:val="Compact"/>
        <w:numPr>
          <w:ilvl w:val="0"/>
          <w:numId w:val="1113"/>
        </w:numPr>
      </w:pPr>
      <w:r>
        <w:t xml:space="preserve">The Cybersecurity Law requires network operators to have incident response plans and to report incidents to competent authorities “according to provisions”. (</w:t>
      </w:r>
      <w:hyperlink r:id="rId48">
        <w:r>
          <w:rPr>
            <w:rStyle w:val="Hyperlink"/>
          </w:rPr>
          <w:t xml:space="preserve">CAC</w:t>
        </w:r>
      </w:hyperlink>
      <w:r>
        <w:t xml:space="preserve">)</w:t>
      </w:r>
    </w:p>
    <w:p>
      <w:pPr>
        <w:pStyle w:val="FirstParagraph"/>
      </w:pPr>
      <w:r>
        <w:rPr>
          <w:b/>
          <w:bCs/>
        </w:rPr>
        <w:t xml:space="preserve">Decree No. 745 (Article 18) — CIIO reporting trigger</w:t>
      </w:r>
    </w:p>
    <w:p>
      <w:pPr>
        <w:pStyle w:val="Compact"/>
        <w:numPr>
          <w:ilvl w:val="0"/>
          <w:numId w:val="1114"/>
        </w:numPr>
      </w:pPr>
      <w:r>
        <w:t xml:space="preserve">CIIOs must report when</w:t>
      </w:r>
      <w:r>
        <w:t xml:space="preserve"> </w:t>
      </w:r>
      <w:r>
        <w:rPr>
          <w:b/>
          <w:bCs/>
        </w:rPr>
        <w:t xml:space="preserve">major cybersecurity incidents occur</w:t>
      </w:r>
      <w:r>
        <w:t xml:space="preserve"> </w:t>
      </w:r>
      <w:r>
        <w:t xml:space="preserve">in CII or</w:t>
      </w:r>
      <w:r>
        <w:t xml:space="preserve"> </w:t>
      </w:r>
      <w:r>
        <w:rPr>
          <w:b/>
          <w:bCs/>
        </w:rPr>
        <w:t xml:space="preserve">major cybersecurity threats are discovered</w:t>
      </w:r>
      <w:r>
        <w:t xml:space="preserve">, to Protection Work Departments and public security organs. (</w:t>
      </w:r>
      <w:hyperlink r:id="rId49">
        <w:r>
          <w:rPr>
            <w:rStyle w:val="Hyperlink"/>
          </w:rPr>
          <w:t xml:space="preserve">China Law Translate</w:t>
        </w:r>
      </w:hyperlink>
      <w:r>
        <w:t xml:space="preserve">)</w:t>
      </w:r>
    </w:p>
    <w:p>
      <w:pPr>
        <w:pStyle w:val="FirstParagraph"/>
      </w:pPr>
      <w:r>
        <w:rPr>
          <w:b/>
          <w:bCs/>
        </w:rPr>
        <w:t xml:space="preserve">Examples of “especially serious” incidents/threats (Decree No. 745, Article 18)</w:t>
      </w:r>
    </w:p>
    <w:p>
      <w:pPr>
        <w:pStyle w:val="Compact"/>
        <w:numPr>
          <w:ilvl w:val="0"/>
          <w:numId w:val="1115"/>
        </w:numPr>
      </w:pPr>
      <w:r>
        <w:t xml:space="preserve">Article 18 gives examples such as</w:t>
      </w:r>
      <w:r>
        <w:t xml:space="preserve"> </w:t>
      </w:r>
      <w:r>
        <w:rPr>
          <w:b/>
          <w:bCs/>
        </w:rPr>
        <w:t xml:space="preserve">overall interruption of operations / primary function failures</w:t>
      </w:r>
      <w:r>
        <w:t xml:space="preserve">,</w:t>
      </w:r>
      <w:r>
        <w:t xml:space="preserve"> </w:t>
      </w:r>
      <w:r>
        <w:rPr>
          <w:b/>
          <w:bCs/>
        </w:rPr>
        <w:t xml:space="preserve">leaks of basic state information and other important data</w:t>
      </w:r>
      <w:r>
        <w:t xml:space="preserve">,</w:t>
      </w:r>
      <w:r>
        <w:t xml:space="preserve"> </w:t>
      </w:r>
      <w:r>
        <w:rPr>
          <w:b/>
          <w:bCs/>
        </w:rPr>
        <w:t xml:space="preserve">large-scale personal information leaks</w:t>
      </w:r>
      <w:r>
        <w:t xml:space="preserve">,</w:t>
      </w:r>
      <w:r>
        <w:t xml:space="preserve"> </w:t>
      </w:r>
      <w:r>
        <w:rPr>
          <w:b/>
          <w:bCs/>
        </w:rPr>
        <w:t xml:space="preserve">large economic losses</w:t>
      </w:r>
      <w:r>
        <w:t xml:space="preserve">, or</w:t>
      </w:r>
      <w:r>
        <w:t xml:space="preserve"> </w:t>
      </w:r>
      <w:r>
        <w:rPr>
          <w:b/>
          <w:bCs/>
        </w:rPr>
        <w:t xml:space="preserve">illegal transmission of a larger scope of information</w:t>
      </w:r>
      <w:r>
        <w:t xml:space="preserve">, triggering onward reporting by Protection Work Departments after receipt. (</w:t>
      </w:r>
      <w:hyperlink r:id="rId49">
        <w:r>
          <w:rPr>
            <w:rStyle w:val="Hyperlink"/>
          </w:rPr>
          <w:t xml:space="preserve">China Law Translate</w:t>
        </w:r>
      </w:hyperlink>
      <w:r>
        <w:t xml:space="preserve">)</w:t>
      </w:r>
    </w:p>
    <w:p>
      <w:pPr>
        <w:pStyle w:val="FirstParagraph"/>
      </w:pPr>
      <w:r>
        <w:rPr>
          <w:b/>
          <w:bCs/>
        </w:rPr>
        <w:t xml:space="preserve">Deadlines</w:t>
      </w:r>
    </w:p>
    <w:p>
      <w:pPr>
        <w:pStyle w:val="Compact"/>
        <w:numPr>
          <w:ilvl w:val="0"/>
          <w:numId w:val="1116"/>
        </w:numPr>
      </w:pPr>
      <w:r>
        <w:t xml:space="preserve">Article 18 uses “promptly” for onward reporting by Protection Work Departments after receiving a report; no hour/day deadline is specified in the cited Article 18 text. (</w:t>
      </w:r>
      <w:hyperlink r:id="rId49">
        <w:r>
          <w:rPr>
            <w:rStyle w:val="Hyperlink"/>
          </w:rPr>
          <w:t xml:space="preserve">China Law Translate</w:t>
        </w:r>
      </w:hyperlink>
      <w:r>
        <w:t xml:space="preserve">)</w:t>
      </w:r>
    </w:p>
    <w:bookmarkEnd w:id="146"/>
    <w:bookmarkStart w:id="147" w:name="X08ded0f79fe13c53dc04519be5da00f9c5bcf69"/>
    <w:p>
      <w:pPr>
        <w:pStyle w:val="Heading2"/>
      </w:pPr>
      <w:r>
        <w:t xml:space="preserve">Health-sector clauses / guidance (primary, health-specific)</w:t>
      </w:r>
    </w:p>
    <w:bookmarkEnd w:id="147"/>
    <w:bookmarkStart w:id="148" w:name="X27798d028af48bf2e8fa6834208409a199ada5c"/>
    <w:p>
      <w:pPr>
        <w:pStyle w:val="Heading2"/>
      </w:pPr>
      <w:r>
        <w:t xml:space="preserve">A) Health systems explicitly “≥ Level 3” in 2011 guidance (NHC/Ministry of Health)</w:t>
      </w:r>
    </w:p>
    <w:p>
      <w:pPr>
        <w:pStyle w:val="FirstParagraph"/>
      </w:pPr>
      <w:r>
        <w:t xml:space="preserve">The 2011 guidance states the graded protection system has five levels and then states the following “important health information systems” are</w:t>
      </w:r>
      <w:r>
        <w:t xml:space="preserve"> </w:t>
      </w:r>
      <w:r>
        <w:rPr>
          <w:b/>
          <w:bCs/>
        </w:rPr>
        <w:t xml:space="preserve">principally not lower than Level 3</w:t>
      </w:r>
      <w:r>
        <w:t xml:space="preserve">:</w:t>
      </w:r>
    </w:p>
    <w:p>
      <w:pPr>
        <w:pStyle w:val="Compact"/>
        <w:numPr>
          <w:ilvl w:val="0"/>
          <w:numId w:val="1117"/>
        </w:numPr>
      </w:pPr>
      <w:r>
        <w:rPr>
          <w:b/>
          <w:bCs/>
        </w:rPr>
        <w:t xml:space="preserve">Cross-province national networked systems</w:t>
      </w:r>
      <w:r>
        <w:t xml:space="preserve">:</w:t>
      </w:r>
    </w:p>
    <w:p>
      <w:pPr>
        <w:pStyle w:val="Compact"/>
        <w:numPr>
          <w:ilvl w:val="1"/>
          <w:numId w:val="1118"/>
        </w:numPr>
      </w:pPr>
      <w:r>
        <w:t xml:space="preserve">health statistics network direct reporting, infectious disease reporting, health supervision reporting, public health emergency command information systems, etc. (</w:t>
      </w:r>
      <w:hyperlink r:id="rId50">
        <w:r>
          <w:rPr>
            <w:rStyle w:val="Hyperlink"/>
          </w:rPr>
          <w:t xml:space="preserve">National Health Commission</w:t>
        </w:r>
      </w:hyperlink>
      <w:r>
        <w:t xml:space="preserve">)</w:t>
      </w:r>
    </w:p>
    <w:p>
      <w:pPr>
        <w:pStyle w:val="Compact"/>
        <w:numPr>
          <w:ilvl w:val="0"/>
          <w:numId w:val="1117"/>
        </w:numPr>
      </w:pPr>
      <w:r>
        <w:rPr>
          <w:b/>
          <w:bCs/>
        </w:rPr>
        <w:t xml:space="preserve">National/provincial/municipal health information platforms</w:t>
      </w:r>
      <w:r>
        <w:t xml:space="preserve">, and national-level data centers including (examples listed): new rural cooperative medical scheme, health supervision, maternal &amp; child health, etc. (</w:t>
      </w:r>
      <w:hyperlink r:id="rId50">
        <w:r>
          <w:rPr>
            <w:rStyle w:val="Hyperlink"/>
          </w:rPr>
          <w:t xml:space="preserve">National Health Commission</w:t>
        </w:r>
      </w:hyperlink>
      <w:r>
        <w:t xml:space="preserve">)</w:t>
      </w:r>
    </w:p>
    <w:p>
      <w:pPr>
        <w:pStyle w:val="Compact"/>
        <w:numPr>
          <w:ilvl w:val="0"/>
          <w:numId w:val="1117"/>
        </w:numPr>
      </w:pPr>
      <w:r>
        <w:rPr>
          <w:b/>
          <w:bCs/>
        </w:rPr>
        <w:t xml:space="preserve">Core business information systems of Class III Grade A hospitals </w:t>
      </w:r>
      <w:r>
        <w:rPr>
          <w:rFonts w:hint="eastAsia"/>
          <w:b/>
          <w:bCs/>
        </w:rPr>
        <w:t xml:space="preserve">(三级甲等医院核心业务信息系统).</w:t>
      </w:r>
      <w:r>
        <w:t xml:space="preserve"> </w:t>
      </w:r>
      <w:r>
        <w:t xml:space="preserve">(</w:t>
      </w:r>
      <w:hyperlink r:id="rId50">
        <w:r>
          <w:rPr>
            <w:rStyle w:val="Hyperlink"/>
          </w:rPr>
          <w:t xml:space="preserve">National Health Commission</w:t>
        </w:r>
      </w:hyperlink>
      <w:r>
        <w:t xml:space="preserve">)</w:t>
      </w:r>
    </w:p>
    <w:p>
      <w:pPr>
        <w:pStyle w:val="Compact"/>
        <w:numPr>
          <w:ilvl w:val="0"/>
          <w:numId w:val="1117"/>
        </w:numPr>
      </w:pPr>
      <w:r>
        <w:rPr>
          <w:b/>
          <w:bCs/>
        </w:rPr>
        <w:t xml:space="preserve">Ministry of Health website system.</w:t>
      </w:r>
      <w:r>
        <w:t xml:space="preserve"> </w:t>
      </w:r>
      <w:r>
        <w:t xml:space="preserve">(</w:t>
      </w:r>
      <w:hyperlink r:id="rId50">
        <w:r>
          <w:rPr>
            <w:rStyle w:val="Hyperlink"/>
          </w:rPr>
          <w:t xml:space="preserve">National Health Commission</w:t>
        </w:r>
      </w:hyperlink>
      <w:r>
        <w:t xml:space="preserve">)</w:t>
      </w:r>
    </w:p>
    <w:p>
      <w:pPr>
        <w:pStyle w:val="Compact"/>
        <w:numPr>
          <w:ilvl w:val="0"/>
          <w:numId w:val="1117"/>
        </w:numPr>
      </w:pPr>
      <w:r>
        <w:t xml:space="preserve">“Other” systems assessed by the technical expert committee as Level 3+. (</w:t>
      </w:r>
      <w:hyperlink r:id="rId50">
        <w:r>
          <w:rPr>
            <w:rStyle w:val="Hyperlink"/>
          </w:rPr>
          <w:t xml:space="preserve">National Health Commission</w:t>
        </w:r>
      </w:hyperlink>
      <w:r>
        <w:t xml:space="preserve">)</w:t>
      </w:r>
    </w:p>
    <w:p>
      <w:pPr>
        <w:pStyle w:val="FirstParagraph"/>
      </w:pPr>
      <w:r>
        <w:t xml:space="preserve">It also states:</w:t>
      </w:r>
    </w:p>
    <w:p>
      <w:pPr>
        <w:pStyle w:val="Compact"/>
        <w:numPr>
          <w:ilvl w:val="0"/>
          <w:numId w:val="1119"/>
        </w:numPr>
      </w:pPr>
      <w:r>
        <w:rPr>
          <w:b/>
          <w:bCs/>
        </w:rPr>
        <w:t xml:space="preserve">Annual level evaluation </w:t>
      </w:r>
      <w:r>
        <w:rPr>
          <w:rFonts w:hint="eastAsia"/>
          <w:b/>
          <w:bCs/>
        </w:rPr>
        <w:t xml:space="preserve">(等级测评)</w:t>
      </w:r>
      <w:r>
        <w:t xml:space="preserve"> </w:t>
      </w:r>
      <w:r>
        <w:t xml:space="preserve">for Level 3+ health information systems. (</w:t>
      </w:r>
      <w:hyperlink r:id="rId50">
        <w:r>
          <w:rPr>
            <w:rStyle w:val="Hyperlink"/>
          </w:rPr>
          <w:t xml:space="preserve">National Health Commission</w:t>
        </w:r>
      </w:hyperlink>
      <w:r>
        <w:t xml:space="preserve">)</w:t>
      </w:r>
    </w:p>
    <w:bookmarkEnd w:id="148"/>
    <w:bookmarkStart w:id="149" w:name="X8d73afba635e0630cd378cf19a82ef5683fac58"/>
    <w:p>
      <w:pPr>
        <w:pStyle w:val="Heading2"/>
      </w:pPr>
      <w:r>
        <w:t xml:space="preserve">B) Healthcare institution cybersecurity measures (2022)</w:t>
      </w:r>
    </w:p>
    <w:p>
      <w:pPr>
        <w:pStyle w:val="FirstParagraph"/>
      </w:pPr>
      <w:r>
        <w:t xml:space="preserve">The 2022 measures state they are made with reference to multiple laws/regulations including the Cybersecurity Law and the</w:t>
      </w:r>
      <w:r>
        <w:t xml:space="preserve"> </w:t>
      </w:r>
      <w:r>
        <w:rPr>
          <w:b/>
          <w:bCs/>
        </w:rPr>
        <w:t xml:space="preserve">CII Security Protection Regulations</w:t>
      </w:r>
      <w:r>
        <w:t xml:space="preserve">, and include a principle:</w:t>
      </w:r>
      <w:r>
        <w:t xml:space="preserve"> </w:t>
      </w:r>
      <w:r>
        <w:t xml:space="preserve">* </w:t>
      </w:r>
      <w:r>
        <w:rPr>
          <w:rFonts w:hint="eastAsia"/>
        </w:rPr>
        <w:t xml:space="preserve">“重点保障关键信息基础设施、网络安全等级保护第三级及以上网络以及重要数据和个人信息安全”</w:t>
      </w:r>
      <w:r>
        <w:t xml:space="preserve"> (focus protection on CII, MLPS Level 3+ networks, important data and personal information). (</w:t>
      </w:r>
      <w:hyperlink r:id="rId51">
        <w:r>
          <w:rPr>
            <w:rStyle w:val="Hyperlink"/>
          </w:rPr>
          <w:t xml:space="preserve">National Health Commission</w:t>
        </w:r>
      </w:hyperlink>
      <w:r>
        <w:t xml:space="preserve">)</w:t>
      </w:r>
    </w:p>
    <w:bookmarkEnd w:id="149"/>
    <w:bookmarkStart w:id="150" w:name="X0f468b07546083873295428e3ffecf84f6e9891"/>
    <w:p>
      <w:pPr>
        <w:pStyle w:val="Heading2"/>
      </w:pPr>
      <w:r>
        <w:t xml:space="preserve">Health information systems “most likely” designated</w:t>
      </w:r>
    </w:p>
    <w:p>
      <w:pPr>
        <w:pStyle w:val="FirstParagraph"/>
      </w:pPr>
      <w:r>
        <w:rPr>
          <w:b/>
          <w:bCs/>
        </w:rPr>
        <w:t xml:space="preserve">Not determinable from the cited CII national instruments alone.</w:t>
      </w:r>
      <w:r>
        <w:t xml:space="preserve"> </w:t>
      </w:r>
      <w:r>
        <w:t xml:space="preserve">* The CII Security Protection Regulations assign designation to sector Protection Work Departments and require sector designation rules (Articles 9–11). The Regulations do not, in the cited text, list healthcare systems by name as “CII.” (</w:t>
      </w:r>
      <w:hyperlink r:id="rId49">
        <w:r>
          <w:rPr>
            <w:rStyle w:val="Hyperlink"/>
          </w:rPr>
          <w:t xml:space="preserve">China Law Translate</w:t>
        </w:r>
      </w:hyperlink>
      <w:r>
        <w:t xml:space="preserve">)</w:t>
      </w:r>
    </w:p>
    <w:p>
      <w:pPr>
        <w:pStyle w:val="BodyText"/>
      </w:pPr>
      <w:r>
        <w:rPr>
          <w:b/>
          <w:bCs/>
        </w:rPr>
        <w:t xml:space="preserve">What is explicitly stated for health (separate from CII designation)</w:t>
      </w:r>
      <w:r>
        <w:t xml:space="preserve"> </w:t>
      </w:r>
      <w:r>
        <w:t xml:space="preserve">* The 2011 and 2022 health-sector instruments explicitly identify multiple health systems as</w:t>
      </w:r>
      <w:r>
        <w:t xml:space="preserve"> </w:t>
      </w:r>
      <w:r>
        <w:rPr>
          <w:b/>
          <w:bCs/>
        </w:rPr>
        <w:t xml:space="preserve">MLPS Level 3+ targets</w:t>
      </w:r>
      <w:r>
        <w:t xml:space="preserve"> </w:t>
      </w:r>
      <w:r>
        <w:t xml:space="preserve">and identify protection of</w:t>
      </w:r>
      <w:r>
        <w:t xml:space="preserve"> </w:t>
      </w:r>
      <w:r>
        <w:rPr>
          <w:b/>
          <w:bCs/>
        </w:rPr>
        <w:t xml:space="preserve">CII</w:t>
      </w:r>
      <w:r>
        <w:t xml:space="preserve"> </w:t>
      </w:r>
      <w:r>
        <w:t xml:space="preserve">and</w:t>
      </w:r>
      <w:r>
        <w:t xml:space="preserve"> </w:t>
      </w:r>
      <w:r>
        <w:rPr>
          <w:b/>
          <w:bCs/>
        </w:rPr>
        <w:t xml:space="preserve">MLPS Level 3+ networks</w:t>
      </w:r>
      <w:r>
        <w:t xml:space="preserve"> </w:t>
      </w:r>
      <w:r>
        <w:t xml:space="preserve">as priorities in healthcare institutions. (</w:t>
      </w:r>
      <w:hyperlink r:id="rId50">
        <w:r>
          <w:rPr>
            <w:rStyle w:val="Hyperlink"/>
          </w:rPr>
          <w:t xml:space="preserve">National Health Commission</w:t>
        </w:r>
      </w:hyperlink>
      <w:r>
        <w:t xml:space="preserve">)</w:t>
      </w:r>
    </w:p>
    <w:bookmarkEnd w:id="150"/>
    <w:bookmarkStart w:id="151" w:name="public-vs-confidential-3"/>
    <w:p>
      <w:pPr>
        <w:pStyle w:val="Heading2"/>
      </w:pPr>
      <w:r>
        <w:t xml:space="preserve">Public vs confidential</w:t>
      </w:r>
    </w:p>
    <w:p>
      <w:pPr>
        <w:pStyle w:val="Compact"/>
        <w:numPr>
          <w:ilvl w:val="0"/>
          <w:numId w:val="1120"/>
        </w:numPr>
      </w:pPr>
      <w:r>
        <w:rPr>
          <w:b/>
          <w:bCs/>
        </w:rPr>
        <w:t xml:space="preserve">Public (instruments):</w:t>
      </w:r>
      <w:r>
        <w:t xml:space="preserve"> </w:t>
      </w:r>
      <w:r>
        <w:t xml:space="preserve">the Cybersecurity Law text (including the CII chapter) and Decree No. 745 text are publicly available (official Chinese; translations exist). (</w:t>
      </w:r>
      <w:hyperlink r:id="rId48">
        <w:r>
          <w:rPr>
            <w:rStyle w:val="Hyperlink"/>
          </w:rPr>
          <w:t xml:space="preserve">CAC</w:t>
        </w:r>
      </w:hyperlink>
      <w:r>
        <w:t xml:space="preserve">)</w:t>
      </w:r>
    </w:p>
    <w:p>
      <w:pPr>
        <w:pStyle w:val="Compact"/>
        <w:numPr>
          <w:ilvl w:val="0"/>
          <w:numId w:val="1120"/>
        </w:numPr>
      </w:pPr>
      <w:r>
        <w:rPr>
          <w:b/>
          <w:bCs/>
        </w:rPr>
        <w:t xml:space="preserve">Designation outcomes:</w:t>
      </w:r>
      <w:r>
        <w:t xml:space="preserve"> </w:t>
      </w:r>
      <w:r>
        <w:t xml:space="preserve">Decree No. 745 states operators are</w:t>
      </w:r>
      <w:r>
        <w:t xml:space="preserve"> </w:t>
      </w:r>
      <w:r>
        <w:rPr>
          <w:b/>
          <w:bCs/>
        </w:rPr>
        <w:t xml:space="preserve">notified</w:t>
      </w:r>
      <w:r>
        <w:t xml:space="preserve"> </w:t>
      </w:r>
      <w:r>
        <w:t xml:space="preserve">of designation results and that determinations are</w:t>
      </w:r>
      <w:r>
        <w:t xml:space="preserve"> </w:t>
      </w:r>
      <w:r>
        <w:rPr>
          <w:b/>
          <w:bCs/>
        </w:rPr>
        <w:t xml:space="preserve">reported</w:t>
      </w:r>
      <w:r>
        <w:t xml:space="preserve"> </w:t>
      </w:r>
      <w:r>
        <w:t xml:space="preserve">to the State Council public security department. (</w:t>
      </w:r>
      <w:hyperlink r:id="rId49">
        <w:r>
          <w:rPr>
            <w:rStyle w:val="Hyperlink"/>
          </w:rPr>
          <w:t xml:space="preserve">China Law Translate</w:t>
        </w:r>
      </w:hyperlink>
      <w:r>
        <w:t xml:space="preserve">)</w:t>
      </w:r>
    </w:p>
    <w:p>
      <w:pPr>
        <w:pStyle w:val="Compact"/>
        <w:numPr>
          <w:ilvl w:val="0"/>
          <w:numId w:val="1120"/>
        </w:numPr>
      </w:pPr>
      <w:r>
        <w:rPr>
          <w:b/>
          <w:bCs/>
        </w:rPr>
        <w:t xml:space="preserve">A public national list of CIIOs is not present in these instruments’ text</w:t>
      </w:r>
      <w:r>
        <w:t xml:space="preserve"> </w:t>
      </w:r>
      <w:r>
        <w:t xml:space="preserve">(i.e., the cited law/regulation text does not contain a list). (</w:t>
      </w:r>
      <w:hyperlink r:id="rId48">
        <w:r>
          <w:rPr>
            <w:rStyle w:val="Hyperlink"/>
          </w:rPr>
          <w:t xml:space="preserve">CAC</w:t>
        </w:r>
      </w:hyperlink>
      <w:r>
        <w:t xml:space="preserve">)</w:t>
      </w:r>
    </w:p>
    <w:bookmarkEnd w:id="151"/>
    <w:bookmarkStart w:id="152" w:name="X74314c2a08c6d370a05f80eca89155b60ec0ec5"/>
    <w:p>
      <w:pPr>
        <w:pStyle w:val="Heading2"/>
      </w:pPr>
      <w:r>
        <w:t xml:space="preserve">Latest updates (2025–2026) — primary confirmation</w:t>
      </w:r>
    </w:p>
    <w:p>
      <w:pPr>
        <w:pStyle w:val="Compact"/>
        <w:numPr>
          <w:ilvl w:val="0"/>
          <w:numId w:val="1121"/>
        </w:numPr>
      </w:pPr>
      <w:r>
        <w:t xml:space="preserve">Xinhua reports the NPCSC passed the decision amending the Cybersecurity Law on</w:t>
      </w:r>
      <w:r>
        <w:t xml:space="preserve"> </w:t>
      </w:r>
      <w:r>
        <w:rPr>
          <w:b/>
          <w:bCs/>
        </w:rPr>
        <w:t xml:space="preserve">28 Oct 2025</w:t>
      </w:r>
      <w:r>
        <w:t xml:space="preserve"> </w:t>
      </w:r>
      <w:r>
        <w:t xml:space="preserve">and that it</w:t>
      </w:r>
      <w:r>
        <w:t xml:space="preserve"> </w:t>
      </w:r>
      <w:r>
        <w:rPr>
          <w:b/>
          <w:bCs/>
        </w:rPr>
        <w:t xml:space="preserve">takes effect 1 Jan 2026</w:t>
      </w:r>
      <w:r>
        <w:t xml:space="preserve">. (</w:t>
      </w:r>
      <w:hyperlink r:id="rId52">
        <w:r>
          <w:rPr>
            <w:rStyle w:val="Hyperlink"/>
          </w:rPr>
          <w:t xml:space="preserve">Xinhua News</w:t>
        </w:r>
      </w:hyperlink>
      <w:r>
        <w:t xml:space="preserve">)</w:t>
      </w:r>
    </w:p>
    <w:p>
      <w:pPr>
        <w:pStyle w:val="Compact"/>
        <w:numPr>
          <w:ilvl w:val="0"/>
          <w:numId w:val="1121"/>
        </w:numPr>
      </w:pPr>
      <w:r>
        <w:t xml:space="preserve">The CAC page for the Cybersecurity Law states the law is</w:t>
      </w:r>
      <w:r>
        <w:t xml:space="preserve"> </w:t>
      </w:r>
      <w:r>
        <w:rPr>
          <w:b/>
          <w:bCs/>
        </w:rPr>
        <w:t xml:space="preserve">revised according to the 2025-10-28 NPCSC decision</w:t>
      </w:r>
      <w:r>
        <w:t xml:space="preserve"> </w:t>
      </w:r>
      <w:r>
        <w:t xml:space="preserve">(as shown in the header). (</w:t>
      </w:r>
      <w:hyperlink r:id="rId48">
        <w:r>
          <w:rPr>
            <w:rStyle w:val="Hyperlink"/>
          </w:rPr>
          <w:t xml:space="preserve">CAC</w:t>
        </w:r>
      </w:hyperlink>
      <w:r>
        <w:t xml:space="preserve">)</w:t>
      </w:r>
    </w:p>
    <w:bookmarkEnd w:id="152"/>
    <w:bookmarkStart w:id="153" w:name="references-china"/>
    <w:p>
      <w:pPr>
        <w:pStyle w:val="Heading2"/>
      </w:pPr>
      <w:r>
        <w:t xml:space="preserve">References (China)</w:t>
      </w:r>
    </w:p>
    <w:p>
      <w:pPr>
        <w:pStyle w:val="Compact"/>
        <w:numPr>
          <w:ilvl w:val="0"/>
          <w:numId w:val="1122"/>
        </w:numPr>
      </w:pPr>
      <w:r>
        <w:rPr>
          <w:b/>
          <w:bCs/>
        </w:rPr>
        <w:t xml:space="preserve">Cyberspace Administration of China (CAC)</w:t>
      </w:r>
      <w:r>
        <w:t xml:space="preserve"> </w:t>
      </w:r>
      <w:r>
        <w:t xml:space="preserve">— </w:t>
      </w:r>
      <w:r>
        <w:rPr>
          <w:rFonts w:hint="eastAsia"/>
        </w:rPr>
        <w:t xml:space="preserve">“中华人民共和国网络安全法”</w:t>
      </w:r>
      <w:r>
        <w:t xml:space="preserve"> (official Chinese text; header shows 2025 revision basis; includes CII chapter). (</w:t>
      </w:r>
      <w:hyperlink r:id="rId48">
        <w:r>
          <w:rPr>
            <w:rStyle w:val="Hyperlink"/>
          </w:rPr>
          <w:t xml:space="preserve">CAC</w:t>
        </w:r>
      </w:hyperlink>
      <w:r>
        <w:t xml:space="preserve">)</w:t>
      </w:r>
    </w:p>
    <w:p>
      <w:pPr>
        <w:pStyle w:val="Compact"/>
        <w:numPr>
          <w:ilvl w:val="0"/>
          <w:numId w:val="1122"/>
        </w:numPr>
      </w:pPr>
      <w:r>
        <w:rPr>
          <w:b/>
          <w:bCs/>
        </w:rPr>
        <w:t xml:space="preserve">China Law Translate</w:t>
      </w:r>
      <w:r>
        <w:t xml:space="preserve"> </w:t>
      </w:r>
      <w:r>
        <w:t xml:space="preserve">— “Regulations on Critical Information Infrastructure Security Protections” (State Council Decree No. 745) (translation; Articles 2, 9–11, 18 etc used). (</w:t>
      </w:r>
      <w:hyperlink r:id="rId49">
        <w:r>
          <w:rPr>
            <w:rStyle w:val="Hyperlink"/>
          </w:rPr>
          <w:t xml:space="preserve">China Law Translate</w:t>
        </w:r>
      </w:hyperlink>
      <w:r>
        <w:t xml:space="preserve">)</w:t>
      </w:r>
    </w:p>
    <w:p>
      <w:pPr>
        <w:pStyle w:val="Compact"/>
        <w:numPr>
          <w:ilvl w:val="0"/>
          <w:numId w:val="1122"/>
        </w:numPr>
      </w:pPr>
      <w:r>
        <w:rPr>
          <w:b/>
          <w:bCs/>
        </w:rPr>
        <w:t xml:space="preserve">National Health Commission (NHC)</w:t>
      </w:r>
      <w:r>
        <w:t xml:space="preserve"> </w:t>
      </w:r>
      <w:r>
        <w:t xml:space="preserve">— 2011 </w:t>
      </w:r>
      <w:r>
        <w:rPr>
          <w:rFonts w:hint="eastAsia"/>
        </w:rPr>
        <w:t xml:space="preserve">“卫生行业信息安全等级保护工作的指导意见”</w:t>
      </w:r>
      <w:r>
        <w:t xml:space="preserve"> </w:t>
      </w:r>
      <w:r>
        <w:rPr>
          <w:rFonts w:hint="eastAsia"/>
        </w:rPr>
        <w:t xml:space="preserve">(卫办发〔2011〕85号)</w:t>
      </w:r>
      <w:r>
        <w:t xml:space="preserve"> (five levels; ≥ Level 3 system list; annual evaluation). (</w:t>
      </w:r>
      <w:hyperlink r:id="rId50">
        <w:r>
          <w:rPr>
            <w:rStyle w:val="Hyperlink"/>
          </w:rPr>
          <w:t xml:space="preserve">National Health Commission</w:t>
        </w:r>
      </w:hyperlink>
      <w:r>
        <w:t xml:space="preserve">)</w:t>
      </w:r>
    </w:p>
    <w:p>
      <w:pPr>
        <w:pStyle w:val="Compact"/>
        <w:numPr>
          <w:ilvl w:val="0"/>
          <w:numId w:val="1122"/>
        </w:numPr>
      </w:pPr>
      <w:r>
        <w:rPr>
          <w:b/>
          <w:bCs/>
        </w:rPr>
        <w:t xml:space="preserve">NHC / NATCM / NCDC</w:t>
      </w:r>
      <w:r>
        <w:t xml:space="preserve"> </w:t>
      </w:r>
      <w:r>
        <w:t xml:space="preserve">— 2022 </w:t>
      </w:r>
      <w:r>
        <w:rPr>
          <w:rFonts w:hint="eastAsia"/>
        </w:rPr>
        <w:t xml:space="preserve">“医疗卫生机构网络安全管理办法”</w:t>
      </w:r>
      <w:r>
        <w:t xml:space="preserve"> </w:t>
      </w:r>
      <w:r>
        <w:rPr>
          <w:rFonts w:hint="eastAsia"/>
        </w:rPr>
        <w:t xml:space="preserve">(国卫规划发〔2022〕29号)</w:t>
      </w:r>
      <w:r>
        <w:t xml:space="preserve"> (focus on CII and MLPS Level 3+ networks, etc.). (</w:t>
      </w:r>
      <w:hyperlink r:id="rId51">
        <w:r>
          <w:rPr>
            <w:rStyle w:val="Hyperlink"/>
          </w:rPr>
          <w:t xml:space="preserve">National Health Commission</w:t>
        </w:r>
      </w:hyperlink>
      <w:r>
        <w:t xml:space="preserve">)</w:t>
      </w:r>
    </w:p>
    <w:p>
      <w:pPr>
        <w:pStyle w:val="Compact"/>
        <w:numPr>
          <w:ilvl w:val="0"/>
          <w:numId w:val="1122"/>
        </w:numPr>
      </w:pPr>
      <w:r>
        <w:rPr>
          <w:b/>
          <w:bCs/>
        </w:rPr>
        <w:t xml:space="preserve">Xinhua </w:t>
      </w:r>
      <w:r>
        <w:rPr>
          <w:rFonts w:hint="eastAsia"/>
          <w:b/>
          <w:bCs/>
        </w:rPr>
        <w:t xml:space="preserve">(新华网)</w:t>
      </w:r>
      <w:r>
        <w:t xml:space="preserve"> </w:t>
      </w:r>
      <w:r>
        <w:t xml:space="preserve">— report that amendments were passed 2025-10-28 and effective 2026-01-01. (</w:t>
      </w:r>
      <w:hyperlink r:id="rId52">
        <w:r>
          <w:rPr>
            <w:rStyle w:val="Hyperlink"/>
          </w:rPr>
          <w:t xml:space="preserve">Xinhua News</w:t>
        </w:r>
      </w:hyperlink>
      <w:r>
        <w:t xml:space="preserve">)</w:t>
      </w:r>
    </w:p>
    <w:p>
      <w:pPr>
        <w:pStyle w:val="Compact"/>
        <w:numPr>
          <w:ilvl w:val="0"/>
          <w:numId w:val="1122"/>
        </w:numPr>
      </w:pPr>
      <w:r>
        <w:rPr>
          <w:b/>
          <w:bCs/>
        </w:rPr>
        <w:t xml:space="preserve">English.gov.cn</w:t>
      </w:r>
      <w:r>
        <w:t xml:space="preserve"> </w:t>
      </w:r>
      <w:r>
        <w:t xml:space="preserve">— State Council release summarizing Decree No. 745 effective date (Sept 1, 2021). (</w:t>
      </w:r>
      <w:hyperlink r:id="rId53">
        <w:r>
          <w:rPr>
            <w:rStyle w:val="Hyperlink"/>
          </w:rPr>
          <w:t xml:space="preserve">State Council of China</w:t>
        </w:r>
      </w:hyperlink>
      <w:r>
        <w:t xml:space="preserve">)</w:t>
      </w:r>
    </w:p>
    <w:p>
      <w:pPr>
        <w:sectPr>
          <w:footerReference w:type="first" r:id="rId13"/>
          <w:footerReference w:type="default" r:id="rId11"/>
          <w:footerReference w:type="even" r:id="rId10"/>
          <w:type w:val="nextPage"/>
        </w:sectPr>
      </w:pPr>
    </w:p>
    <w:bookmarkEnd w:id="153"/>
    <w:bookmarkEnd w:id="154"/>
    <w:bookmarkStart w:id="169" w:name="south-korea"/>
    <w:p>
      <w:pPr>
        <w:pStyle w:val="Heading1"/>
      </w:pPr>
      <w:r>
        <w:t xml:space="preserve">SOUTH KOREA</w:t>
      </w:r>
    </w:p>
    <w:bookmarkStart w:id="155" w:name="final-categories-2"/>
    <w:p>
      <w:pPr>
        <w:pStyle w:val="Heading2"/>
      </w:pPr>
      <w:r>
        <w:t xml:space="preserve">Final categories</w:t>
      </w:r>
    </w:p>
    <w:p>
      <w:pPr>
        <w:pStyle w:val="FirstParagraph"/>
      </w:pPr>
      <w:r>
        <w:rPr>
          <w:b/>
          <w:bCs/>
        </w:rPr>
        <w:t xml:space="preserve">Act on the Protection of Information and Communications Infrastructure</w:t>
      </w:r>
      <w:r>
        <w:t xml:space="preserve"> </w:t>
      </w:r>
      <w:r>
        <w:t xml:space="preserve">(정보통신기반 보호법) establishes a</w:t>
      </w:r>
      <w:r>
        <w:t xml:space="preserve"> </w:t>
      </w:r>
      <w:r>
        <w:rPr>
          <w:b/>
          <w:bCs/>
        </w:rPr>
        <w:t xml:space="preserve">designation-based “critical infrastructure” regime</w:t>
      </w:r>
      <w:r>
        <w:t xml:space="preserve"> </w:t>
      </w:r>
      <w:r>
        <w:t xml:space="preserve">for</w:t>
      </w:r>
      <w:r>
        <w:t xml:space="preserve"> </w:t>
      </w:r>
      <w:r>
        <w:rPr>
          <w:b/>
          <w:bCs/>
        </w:rPr>
        <w:t xml:space="preserve">information and communications infrastructure</w:t>
      </w:r>
      <w:r>
        <w:t xml:space="preserve">:</w:t>
      </w:r>
    </w:p>
    <w:p>
      <w:pPr>
        <w:pStyle w:val="Compact"/>
        <w:numPr>
          <w:ilvl w:val="0"/>
          <w:numId w:val="1123"/>
        </w:numPr>
      </w:pPr>
      <w:r>
        <w:rPr>
          <w:b/>
          <w:bCs/>
        </w:rPr>
        <w:t xml:space="preserve">Information and Communications Infrastructure</w:t>
      </w:r>
      <w:r>
        <w:t xml:space="preserve"> </w:t>
      </w:r>
      <w:r>
        <w:t xml:space="preserve">(정보통신기반) — defined term. (</w:t>
      </w:r>
      <w:hyperlink r:id="rId48">
        <w:r>
          <w:rPr>
            <w:rStyle w:val="Hyperlink"/>
          </w:rPr>
          <w:t xml:space="preserve">E-Law</w:t>
        </w:r>
      </w:hyperlink>
      <w:r>
        <w:t xml:space="preserve">)</w:t>
      </w:r>
    </w:p>
    <w:p>
      <w:pPr>
        <w:pStyle w:val="Compact"/>
        <w:numPr>
          <w:ilvl w:val="0"/>
          <w:numId w:val="1123"/>
        </w:numPr>
      </w:pPr>
      <w:r>
        <w:rPr>
          <w:b/>
          <w:bCs/>
        </w:rPr>
        <w:t xml:space="preserve">Critical Information and Communications Infrastructure</w:t>
      </w:r>
      <w:r>
        <w:t xml:space="preserve"> </w:t>
      </w:r>
      <w:r>
        <w:t xml:space="preserve">(주요정보통신기반시설) —</w:t>
      </w:r>
      <w:r>
        <w:t xml:space="preserve"> </w:t>
      </w:r>
      <w:r>
        <w:rPr>
          <w:b/>
          <w:bCs/>
        </w:rPr>
        <w:t xml:space="preserve">information and communications infrastructure designated</w:t>
      </w:r>
      <w:r>
        <w:t xml:space="preserve"> </w:t>
      </w:r>
      <w:r>
        <w:t xml:space="preserve">as “critical” by the head of a central administrative agency (or, for certain local-government-supervised organizations, by the competent Minister in consultation). (</w:t>
      </w:r>
      <w:hyperlink r:id="rId48">
        <w:r>
          <w:rPr>
            <w:rStyle w:val="Hyperlink"/>
          </w:rPr>
          <w:t xml:space="preserve">E-Law</w:t>
        </w:r>
      </w:hyperlink>
      <w:r>
        <w:t xml:space="preserve">)</w:t>
      </w:r>
    </w:p>
    <w:p>
      <w:pPr>
        <w:pStyle w:val="Compact"/>
        <w:numPr>
          <w:ilvl w:val="0"/>
          <w:numId w:val="1123"/>
        </w:numPr>
      </w:pPr>
      <w:r>
        <w:rPr>
          <w:b/>
          <w:bCs/>
        </w:rPr>
        <w:t xml:space="preserve">Management Organization</w:t>
      </w:r>
      <w:r>
        <w:t xml:space="preserve"> </w:t>
      </w:r>
      <w:r>
        <w:t xml:space="preserve">— an organization that manages critical information and communications infrastructure, with statutory duties to formulate and implement protection measures and related submissions/roles. (</w:t>
      </w:r>
      <w:hyperlink r:id="rId48">
        <w:r>
          <w:rPr>
            <w:rStyle w:val="Hyperlink"/>
          </w:rPr>
          <w:t xml:space="preserve">E-Law</w:t>
        </w:r>
      </w:hyperlink>
      <w:r>
        <w:t xml:space="preserve">)</w:t>
      </w:r>
    </w:p>
    <w:p>
      <w:pPr>
        <w:pStyle w:val="FirstParagraph"/>
      </w:pPr>
      <w:r>
        <w:t xml:space="preserve">The</w:t>
      </w:r>
      <w:r>
        <w:t xml:space="preserve"> </w:t>
      </w:r>
      <w:r>
        <w:rPr>
          <w:b/>
          <w:bCs/>
        </w:rPr>
        <w:t xml:space="preserve">Enforcement Decree</w:t>
      </w:r>
      <w:r>
        <w:t xml:space="preserve"> </w:t>
      </w:r>
      <w:r>
        <w:t xml:space="preserve">prescribes</w:t>
      </w:r>
      <w:r>
        <w:t xml:space="preserve"> </w:t>
      </w:r>
      <w:r>
        <w:rPr>
          <w:b/>
          <w:bCs/>
        </w:rPr>
        <w:t xml:space="preserve">procedures and required contents</w:t>
      </w:r>
      <w:r>
        <w:t xml:space="preserve"> </w:t>
      </w:r>
      <w:r>
        <w:t xml:space="preserve">for designation, publication/notification, vulnerability analysis timing, protection-measures submission, and incident notification contents. (</w:t>
      </w:r>
      <w:hyperlink r:id="rId49">
        <w:r>
          <w:rPr>
            <w:rStyle w:val="Hyperlink"/>
          </w:rPr>
          <w:t xml:space="preserve">E-Law</w:t>
        </w:r>
      </w:hyperlink>
      <w:r>
        <w:t xml:space="preserve">)</w:t>
      </w:r>
    </w:p>
    <w:bookmarkEnd w:id="155"/>
    <w:bookmarkStart w:id="156" w:name="Xe91e85dc453e85499f0894eb6d55bf8f40e4be4"/>
    <w:p>
      <w:pPr>
        <w:pStyle w:val="Heading2"/>
      </w:pPr>
      <w:r>
        <w:t xml:space="preserve">Exact legal / regulatory criteria (primary texts)</w:t>
      </w:r>
    </w:p>
    <w:bookmarkEnd w:id="156"/>
    <w:bookmarkStart w:id="157" w:name="a-what-may-be-designated-as-critical"/>
    <w:p>
      <w:pPr>
        <w:pStyle w:val="Heading2"/>
      </w:pPr>
      <w:r>
        <w:t xml:space="preserve">A) What may be designated as “critical”</w:t>
      </w:r>
    </w:p>
    <w:p>
      <w:pPr>
        <w:pStyle w:val="FirstParagraph"/>
      </w:pPr>
      <w:r>
        <w:t xml:space="preserve">A central administrative agency head may designate infrastructure under their jurisdiction as</w:t>
      </w:r>
      <w:r>
        <w:t xml:space="preserve"> </w:t>
      </w:r>
      <w:r>
        <w:rPr>
          <w:b/>
          <w:bCs/>
        </w:rPr>
        <w:t xml:space="preserve">critical information and communications infrastructure</w:t>
      </w:r>
      <w:r>
        <w:t xml:space="preserve"> </w:t>
      </w:r>
      <w:r>
        <w:t xml:space="preserve">by taking into account the</w:t>
      </w:r>
      <w:r>
        <w:t xml:space="preserve"> </w:t>
      </w:r>
      <w:r>
        <w:rPr>
          <w:b/>
          <w:bCs/>
        </w:rPr>
        <w:t xml:space="preserve">five factors</w:t>
      </w:r>
      <w:r>
        <w:t xml:space="preserve"> </w:t>
      </w:r>
      <w:r>
        <w:t xml:space="preserve">below:</w:t>
      </w:r>
    </w:p>
    <w:p>
      <w:pPr>
        <w:pStyle w:val="Compact"/>
        <w:numPr>
          <w:ilvl w:val="0"/>
          <w:numId w:val="1124"/>
        </w:numPr>
      </w:pPr>
      <w:r>
        <w:t xml:space="preserve">national/social importance of duties performed by the managing organization</w:t>
      </w:r>
    </w:p>
    <w:p>
      <w:pPr>
        <w:pStyle w:val="Compact"/>
        <w:numPr>
          <w:ilvl w:val="0"/>
          <w:numId w:val="1124"/>
        </w:numPr>
      </w:pPr>
      <w:r>
        <w:t xml:space="preserve">dependence of those duties on the infrastructure</w:t>
      </w:r>
    </w:p>
    <w:p>
      <w:pPr>
        <w:pStyle w:val="Compact"/>
        <w:numPr>
          <w:ilvl w:val="0"/>
          <w:numId w:val="1124"/>
        </w:numPr>
      </w:pPr>
      <w:r>
        <w:t xml:space="preserve">inter-connection with other infrastructure</w:t>
      </w:r>
    </w:p>
    <w:p>
      <w:pPr>
        <w:pStyle w:val="Compact"/>
        <w:numPr>
          <w:ilvl w:val="0"/>
          <w:numId w:val="1124"/>
        </w:numPr>
      </w:pPr>
      <w:r>
        <w:t xml:space="preserve">areas/extent of damage to national security, economy, society if an intrusion incident occurs</w:t>
      </w:r>
    </w:p>
    <w:p>
      <w:pPr>
        <w:pStyle w:val="Compact"/>
        <w:numPr>
          <w:ilvl w:val="0"/>
          <w:numId w:val="1124"/>
        </w:numPr>
      </w:pPr>
      <w:r>
        <w:t xml:space="preserve">probability of intrusion incidents and ease of restoration (</w:t>
      </w:r>
      <w:hyperlink r:id="rId48">
        <w:r>
          <w:rPr>
            <w:rStyle w:val="Hyperlink"/>
          </w:rPr>
          <w:t xml:space="preserve">E-Law</w:t>
        </w:r>
      </w:hyperlink>
      <w:r>
        <w:t xml:space="preserve">)</w:t>
      </w:r>
    </w:p>
    <w:p>
      <w:pPr>
        <w:pStyle w:val="FirstParagraph"/>
      </w:pPr>
      <w:r>
        <w:t xml:space="preserve">Additional legal points in the Act on designation:</w:t>
      </w:r>
    </w:p>
    <w:p>
      <w:pPr>
        <w:pStyle w:val="Compact"/>
        <w:numPr>
          <w:ilvl w:val="0"/>
          <w:numId w:val="1125"/>
        </w:numPr>
      </w:pPr>
      <w:r>
        <w:t xml:space="preserve">The agency head</w:t>
      </w:r>
      <w:r>
        <w:t xml:space="preserve"> </w:t>
      </w:r>
      <w:r>
        <w:rPr>
          <w:b/>
          <w:bCs/>
        </w:rPr>
        <w:t xml:space="preserve">may request data</w:t>
      </w:r>
      <w:r>
        <w:t xml:space="preserve"> </w:t>
      </w:r>
      <w:r>
        <w:t xml:space="preserve">necessary to decide designation. (</w:t>
      </w:r>
      <w:hyperlink r:id="rId48">
        <w:r>
          <w:rPr>
            <w:rStyle w:val="Hyperlink"/>
          </w:rPr>
          <w:t xml:space="preserve">E-Law</w:t>
        </w:r>
      </w:hyperlink>
      <w:r>
        <w:t xml:space="preserve">)</w:t>
      </w:r>
    </w:p>
    <w:p>
      <w:pPr>
        <w:pStyle w:val="Compact"/>
        <w:numPr>
          <w:ilvl w:val="0"/>
          <w:numId w:val="1125"/>
        </w:numPr>
      </w:pPr>
      <w:r>
        <w:t xml:space="preserve">The agency head</w:t>
      </w:r>
      <w:r>
        <w:t xml:space="preserve"> </w:t>
      </w:r>
      <w:r>
        <w:rPr>
          <w:b/>
          <w:bCs/>
        </w:rPr>
        <w:t xml:space="preserve">may revoke</w:t>
      </w:r>
      <w:r>
        <w:t xml:space="preserve"> </w:t>
      </w:r>
      <w:r>
        <w:t xml:space="preserve">designation when the relevant affairs are abolished/suspended/changed. (</w:t>
      </w:r>
      <w:hyperlink r:id="rId48">
        <w:r>
          <w:rPr>
            <w:rStyle w:val="Hyperlink"/>
          </w:rPr>
          <w:t xml:space="preserve">E-Law</w:t>
        </w:r>
      </w:hyperlink>
      <w:r>
        <w:t xml:space="preserve">)</w:t>
      </w:r>
    </w:p>
    <w:p>
      <w:pPr>
        <w:pStyle w:val="Compact"/>
        <w:numPr>
          <w:ilvl w:val="0"/>
          <w:numId w:val="1125"/>
        </w:numPr>
      </w:pPr>
      <w:r>
        <w:t xml:space="preserve">The agency head must</w:t>
      </w:r>
      <w:r>
        <w:t xml:space="preserve"> </w:t>
      </w:r>
      <w:r>
        <w:rPr>
          <w:b/>
          <w:bCs/>
        </w:rPr>
        <w:t xml:space="preserve">submit designation/revocation for deliberation</w:t>
      </w:r>
      <w:r>
        <w:t xml:space="preserve"> </w:t>
      </w:r>
      <w:r>
        <w:t xml:space="preserve">by the Committee (with authority for the Committee to hear opinions). (</w:t>
      </w:r>
      <w:hyperlink r:id="rId48">
        <w:r>
          <w:rPr>
            <w:rStyle w:val="Hyperlink"/>
          </w:rPr>
          <w:t xml:space="preserve">E-Law</w:t>
        </w:r>
      </w:hyperlink>
      <w:r>
        <w:t xml:space="preserve">)</w:t>
      </w:r>
    </w:p>
    <w:p>
      <w:pPr>
        <w:pStyle w:val="Compact"/>
        <w:numPr>
          <w:ilvl w:val="0"/>
          <w:numId w:val="1125"/>
        </w:numPr>
      </w:pPr>
      <w:r>
        <w:t xml:space="preserve">The agency head must</w:t>
      </w:r>
      <w:r>
        <w:t xml:space="preserve"> </w:t>
      </w:r>
      <w:r>
        <w:rPr>
          <w:b/>
          <w:bCs/>
        </w:rPr>
        <w:t xml:space="preserve">publicly announce</w:t>
      </w:r>
      <w:r>
        <w:t xml:space="preserve"> </w:t>
      </w:r>
      <w:r>
        <w:t xml:space="preserve">designation/revocation</w:t>
      </w:r>
      <w:r>
        <w:t xml:space="preserve"> </w:t>
      </w:r>
      <w:r>
        <w:rPr>
          <w:b/>
          <w:bCs/>
        </w:rPr>
        <w:t xml:space="preserve">unless</w:t>
      </w:r>
      <w:r>
        <w:t xml:space="preserve"> </w:t>
      </w:r>
      <w:r>
        <w:t xml:space="preserve">the Committee deliberates that non-announcement is necessary for national security. (</w:t>
      </w:r>
      <w:hyperlink r:id="rId48">
        <w:r>
          <w:rPr>
            <w:rStyle w:val="Hyperlink"/>
          </w:rPr>
          <w:t xml:space="preserve">E-Law</w:t>
        </w:r>
      </w:hyperlink>
      <w:r>
        <w:t xml:space="preserve">)</w:t>
      </w:r>
    </w:p>
    <w:bookmarkEnd w:id="157"/>
    <w:bookmarkStart w:id="158" w:name="X71d35e1270a64cb01d003fde503b9941a792d12"/>
    <w:p>
      <w:pPr>
        <w:pStyle w:val="Heading2"/>
      </w:pPr>
      <w:r>
        <w:t xml:space="preserve">B) Decree: how “designation” is operationalized</w:t>
      </w:r>
    </w:p>
    <w:p>
      <w:pPr>
        <w:pStyle w:val="FirstParagraph"/>
      </w:pPr>
      <w:r>
        <w:t xml:space="preserve">The Decree specifies a stepwise process around a</w:t>
      </w:r>
      <w:r>
        <w:t xml:space="preserve"> </w:t>
      </w:r>
      <w:r>
        <w:rPr>
          <w:b/>
          <w:bCs/>
        </w:rPr>
        <w:t xml:space="preserve">“designation unit”</w:t>
      </w:r>
      <w:r>
        <w:t xml:space="preserve"> </w:t>
      </w:r>
      <w:r>
        <w:t xml:space="preserve">and evaluation:</w:t>
      </w:r>
    </w:p>
    <w:p>
      <w:pPr>
        <w:pStyle w:val="Compact"/>
        <w:numPr>
          <w:ilvl w:val="0"/>
          <w:numId w:val="1126"/>
        </w:numPr>
      </w:pPr>
      <w:r>
        <w:rPr>
          <w:b/>
          <w:bCs/>
        </w:rPr>
        <w:t xml:space="preserve">Selection of designation units</w:t>
      </w:r>
      <w:r>
        <w:t xml:space="preserve"> </w:t>
      </w:r>
      <w:r>
        <w:t xml:space="preserve">(Decree Art. 13): central administrative agency head requires the organization to select a “designation unit,” and may examine/adjust reasonableness. (</w:t>
      </w:r>
      <w:hyperlink r:id="rId49">
        <w:r>
          <w:rPr>
            <w:rStyle w:val="Hyperlink"/>
          </w:rPr>
          <w:t xml:space="preserve">E-Law</w:t>
        </w:r>
      </w:hyperlink>
      <w:r>
        <w:t xml:space="preserve">)</w:t>
      </w:r>
    </w:p>
    <w:p>
      <w:pPr>
        <w:pStyle w:val="Compact"/>
        <w:numPr>
          <w:ilvl w:val="0"/>
          <w:numId w:val="1126"/>
        </w:numPr>
      </w:pPr>
      <w:r>
        <w:rPr>
          <w:b/>
          <w:bCs/>
        </w:rPr>
        <w:t xml:space="preserve">Self-evaluation for designation</w:t>
      </w:r>
      <w:r>
        <w:t xml:space="preserve"> </w:t>
      </w:r>
      <w:r>
        <w:t xml:space="preserve">(Decree Art. 14): agency head may issue evaluation guidelines; organization evaluates and submits results. (</w:t>
      </w:r>
      <w:hyperlink r:id="rId49">
        <w:r>
          <w:rPr>
            <w:rStyle w:val="Hyperlink"/>
          </w:rPr>
          <w:t xml:space="preserve">E-Law</w:t>
        </w:r>
      </w:hyperlink>
      <w:r>
        <w:t xml:space="preserve">)</w:t>
      </w:r>
    </w:p>
    <w:p>
      <w:pPr>
        <w:pStyle w:val="Compact"/>
        <w:numPr>
          <w:ilvl w:val="0"/>
          <w:numId w:val="1126"/>
        </w:numPr>
      </w:pPr>
      <w:r>
        <w:rPr>
          <w:b/>
          <w:bCs/>
        </w:rPr>
        <w:t xml:space="preserve">Review of evaluation</w:t>
      </w:r>
      <w:r>
        <w:t xml:space="preserve"> </w:t>
      </w:r>
      <w:r>
        <w:t xml:space="preserve">(Decree Art. 15): agency head reviews whether self-evaluation is objective/appropriate with reference to Act Art. 8(1) factors; may require re-evaluation in specified circumstances. (</w:t>
      </w:r>
      <w:hyperlink r:id="rId49">
        <w:r>
          <w:rPr>
            <w:rStyle w:val="Hyperlink"/>
          </w:rPr>
          <w:t xml:space="preserve">E-Law</w:t>
        </w:r>
      </w:hyperlink>
      <w:r>
        <w:t xml:space="preserve">)</w:t>
      </w:r>
    </w:p>
    <w:p>
      <w:pPr>
        <w:pStyle w:val="Compact"/>
        <w:numPr>
          <w:ilvl w:val="0"/>
          <w:numId w:val="1126"/>
        </w:numPr>
      </w:pPr>
      <w:r>
        <w:rPr>
          <w:b/>
          <w:bCs/>
        </w:rPr>
        <w:t xml:space="preserve">Recommended designation decision timeline</w:t>
      </w:r>
      <w:r>
        <w:t xml:space="preserve"> </w:t>
      </w:r>
      <w:r>
        <w:t xml:space="preserve">(Decree Art. 16-2(3)): where designation is recommended under Act Art. 8-2(1), the agency head must decide whether to designate after designation-unit selection, self-evaluation, and review</w:t>
      </w:r>
      <w:r>
        <w:t xml:space="preserve"> </w:t>
      </w:r>
      <w:r>
        <w:rPr>
          <w:b/>
          <w:bCs/>
        </w:rPr>
        <w:t xml:space="preserve">within 60 days</w:t>
      </w:r>
      <w:r>
        <w:t xml:space="preserve">. (</w:t>
      </w:r>
      <w:hyperlink r:id="rId49">
        <w:r>
          <w:rPr>
            <w:rStyle w:val="Hyperlink"/>
          </w:rPr>
          <w:t xml:space="preserve">E-Law</w:t>
        </w:r>
      </w:hyperlink>
      <w:r>
        <w:t xml:space="preserve">)</w:t>
      </w:r>
    </w:p>
    <w:bookmarkEnd w:id="158"/>
    <w:bookmarkStart w:id="159" w:name="X822c1b1870810f7b9930d14a88bb1dfe204fef7"/>
    <w:p>
      <w:pPr>
        <w:pStyle w:val="Heading2"/>
      </w:pPr>
      <w:r>
        <w:t xml:space="preserve">C) Public notice / publication requirements (Act + Decree)</w:t>
      </w:r>
    </w:p>
    <w:p>
      <w:pPr>
        <w:pStyle w:val="Compact"/>
        <w:numPr>
          <w:ilvl w:val="0"/>
          <w:numId w:val="1127"/>
        </w:numPr>
      </w:pPr>
      <w:r>
        <w:t xml:space="preserve">Act: designation/revocation must be</w:t>
      </w:r>
      <w:r>
        <w:t xml:space="preserve"> </w:t>
      </w:r>
      <w:r>
        <w:rPr>
          <w:b/>
          <w:bCs/>
        </w:rPr>
        <w:t xml:space="preserve">publicly announced</w:t>
      </w:r>
      <w:r>
        <w:t xml:space="preserve">, with a national-security exception after Committee deliberation. (</w:t>
      </w:r>
      <w:hyperlink r:id="rId48">
        <w:r>
          <w:rPr>
            <w:rStyle w:val="Hyperlink"/>
          </w:rPr>
          <w:t xml:space="preserve">E-Law</w:t>
        </w:r>
      </w:hyperlink>
      <w:r>
        <w:t xml:space="preserve">)</w:t>
      </w:r>
    </w:p>
    <w:p>
      <w:pPr>
        <w:pStyle w:val="Compact"/>
        <w:numPr>
          <w:ilvl w:val="0"/>
          <w:numId w:val="1127"/>
        </w:numPr>
      </w:pPr>
      <w:r>
        <w:t xml:space="preserve">Decree Art. 16: when designating or revoking designation, the agency head must notify the management organization “without delay” and publish specific fields in the</w:t>
      </w:r>
      <w:r>
        <w:t xml:space="preserve"> </w:t>
      </w:r>
      <w:r>
        <w:rPr>
          <w:b/>
          <w:bCs/>
        </w:rPr>
        <w:t xml:space="preserve">Official Gazette</w:t>
      </w:r>
      <w:r>
        <w:t xml:space="preserve">:</w:t>
      </w:r>
    </w:p>
    <w:p>
      <w:pPr>
        <w:pStyle w:val="Compact"/>
        <w:numPr>
          <w:ilvl w:val="1"/>
          <w:numId w:val="1128"/>
        </w:numPr>
      </w:pPr>
      <w:r>
        <w:t xml:space="preserve">designation number</w:t>
      </w:r>
    </w:p>
    <w:p>
      <w:pPr>
        <w:pStyle w:val="Compact"/>
        <w:numPr>
          <w:ilvl w:val="1"/>
          <w:numId w:val="1128"/>
        </w:numPr>
      </w:pPr>
      <w:r>
        <w:t xml:space="preserve">name of critical information and communications infrastructure</w:t>
      </w:r>
    </w:p>
    <w:p>
      <w:pPr>
        <w:pStyle w:val="Compact"/>
        <w:numPr>
          <w:ilvl w:val="1"/>
          <w:numId w:val="1128"/>
        </w:numPr>
      </w:pPr>
      <w:r>
        <w:t xml:space="preserve">name of management organization</w:t>
      </w:r>
    </w:p>
    <w:p>
      <w:pPr>
        <w:pStyle w:val="Compact"/>
        <w:numPr>
          <w:ilvl w:val="1"/>
          <w:numId w:val="1128"/>
        </w:numPr>
      </w:pPr>
      <w:r>
        <w:t xml:space="preserve">performing duties</w:t>
      </w:r>
    </w:p>
    <w:p>
      <w:pPr>
        <w:pStyle w:val="Compact"/>
        <w:numPr>
          <w:ilvl w:val="1"/>
          <w:numId w:val="1128"/>
        </w:numPr>
      </w:pPr>
      <w:r>
        <w:t xml:space="preserve">grounds for designation/revocation (</w:t>
      </w:r>
      <w:hyperlink r:id="rId49">
        <w:r>
          <w:rPr>
            <w:rStyle w:val="Hyperlink"/>
          </w:rPr>
          <w:t xml:space="preserve">E-Law</w:t>
        </w:r>
      </w:hyperlink>
      <w:r>
        <w:t xml:space="preserve">)</w:t>
      </w:r>
    </w:p>
    <w:bookmarkEnd w:id="159"/>
    <w:bookmarkStart w:id="160" w:name="X1be6a8d9fac595233633fd65953977269d264fa"/>
    <w:p>
      <w:pPr>
        <w:pStyle w:val="Heading2"/>
      </w:pPr>
      <w:r>
        <w:t xml:space="preserve">Obligations tied to “critical” designation (Act + Decree)</w:t>
      </w:r>
    </w:p>
    <w:bookmarkEnd w:id="160"/>
    <w:bookmarkStart w:id="161" w:name="a-protection-measures-and-submission"/>
    <w:p>
      <w:pPr>
        <w:pStyle w:val="Heading2"/>
      </w:pPr>
      <w:r>
        <w:t xml:space="preserve">A) Protection measures and submission</w:t>
      </w:r>
    </w:p>
    <w:p>
      <w:pPr>
        <w:pStyle w:val="Compact"/>
        <w:numPr>
          <w:ilvl w:val="0"/>
          <w:numId w:val="1129"/>
        </w:numPr>
      </w:pPr>
      <w:r>
        <w:t xml:space="preserve">Act Art. 5(1): management organization must formulate and implement</w:t>
      </w:r>
      <w:r>
        <w:t xml:space="preserve"> </w:t>
      </w:r>
      <w:r>
        <w:rPr>
          <w:b/>
          <w:bCs/>
        </w:rPr>
        <w:t xml:space="preserve">physical and technological</w:t>
      </w:r>
      <w:r>
        <w:t xml:space="preserve"> </w:t>
      </w:r>
      <w:r>
        <w:t xml:space="preserve">protection measures, linked to vulnerability analysis results. (</w:t>
      </w:r>
      <w:hyperlink r:id="rId48">
        <w:r>
          <w:rPr>
            <w:rStyle w:val="Hyperlink"/>
          </w:rPr>
          <w:t xml:space="preserve">E-Law</w:t>
        </w:r>
      </w:hyperlink>
      <w:r>
        <w:t xml:space="preserve">)</w:t>
      </w:r>
    </w:p>
    <w:p>
      <w:pPr>
        <w:pStyle w:val="Compact"/>
        <w:numPr>
          <w:ilvl w:val="0"/>
          <w:numId w:val="1129"/>
        </w:numPr>
      </w:pPr>
      <w:r>
        <w:t xml:space="preserve">Act Art. 5(2): management organization submits details of measures to the competent central administrative agency (with stated exception). (</w:t>
      </w:r>
      <w:hyperlink r:id="rId48">
        <w:r>
          <w:rPr>
            <w:rStyle w:val="Hyperlink"/>
          </w:rPr>
          <w:t xml:space="preserve">E-Law</w:t>
        </w:r>
      </w:hyperlink>
      <w:r>
        <w:t xml:space="preserve">)</w:t>
      </w:r>
    </w:p>
    <w:p>
      <w:pPr>
        <w:pStyle w:val="Compact"/>
        <w:numPr>
          <w:ilvl w:val="0"/>
          <w:numId w:val="1129"/>
        </w:numPr>
      </w:pPr>
      <w:r>
        <w:t xml:space="preserve">Decree Art. 8: measures for the following year must be submitted</w:t>
      </w:r>
      <w:r>
        <w:t xml:space="preserve"> </w:t>
      </w:r>
      <w:r>
        <w:rPr>
          <w:b/>
          <w:bCs/>
        </w:rPr>
        <w:t xml:space="preserve">by every August 31</w:t>
      </w:r>
      <w:r>
        <w:t xml:space="preserve">. (</w:t>
      </w:r>
      <w:hyperlink r:id="rId49">
        <w:r>
          <w:rPr>
            <w:rStyle w:val="Hyperlink"/>
          </w:rPr>
          <w:t xml:space="preserve">E-Law</w:t>
        </w:r>
      </w:hyperlink>
      <w:r>
        <w:t xml:space="preserve">)</w:t>
      </w:r>
    </w:p>
    <w:bookmarkEnd w:id="161"/>
    <w:bookmarkStart w:id="162" w:name="b-vulnerability-analysis-and-timing"/>
    <w:p>
      <w:pPr>
        <w:pStyle w:val="Heading2"/>
      </w:pPr>
      <w:r>
        <w:t xml:space="preserve">B) Vulnerability analysis and timing</w:t>
      </w:r>
    </w:p>
    <w:p>
      <w:pPr>
        <w:pStyle w:val="Compact"/>
        <w:numPr>
          <w:ilvl w:val="0"/>
          <w:numId w:val="1130"/>
        </w:numPr>
      </w:pPr>
      <w:r>
        <w:t xml:space="preserve">Act Art. 9(1): management organization analyzes and evaluates vulnerabilities “on a regular basis as prescribed by Presidential Decree.” (</w:t>
      </w:r>
      <w:hyperlink r:id="rId48">
        <w:r>
          <w:rPr>
            <w:rStyle w:val="Hyperlink"/>
          </w:rPr>
          <w:t xml:space="preserve">E-Law</w:t>
        </w:r>
      </w:hyperlink>
      <w:r>
        <w:t xml:space="preserve">)</w:t>
      </w:r>
    </w:p>
    <w:p>
      <w:pPr>
        <w:pStyle w:val="Compact"/>
        <w:numPr>
          <w:ilvl w:val="0"/>
          <w:numId w:val="1130"/>
        </w:numPr>
      </w:pPr>
      <w:r>
        <w:t xml:space="preserve">Decree Art. 17(1)–(3):</w:t>
      </w:r>
    </w:p>
    <w:p>
      <w:pPr>
        <w:pStyle w:val="Compact"/>
        <w:numPr>
          <w:ilvl w:val="1"/>
          <w:numId w:val="1131"/>
        </w:numPr>
      </w:pPr>
      <w:r>
        <w:t xml:space="preserve">first analysis within</w:t>
      </w:r>
      <w:r>
        <w:t xml:space="preserve"> </w:t>
      </w:r>
      <w:r>
        <w:rPr>
          <w:b/>
          <w:bCs/>
        </w:rPr>
        <w:t xml:space="preserve">6 months</w:t>
      </w:r>
      <w:r>
        <w:t xml:space="preserve"> </w:t>
      </w:r>
      <w:r>
        <w:t xml:space="preserve">of designation (extendable to</w:t>
      </w:r>
      <w:r>
        <w:t xml:space="preserve"> </w:t>
      </w:r>
      <w:r>
        <w:rPr>
          <w:b/>
          <w:bCs/>
        </w:rPr>
        <w:t xml:space="preserve">9 months</w:t>
      </w:r>
      <w:r>
        <w:t xml:space="preserve"> </w:t>
      </w:r>
      <w:r>
        <w:t xml:space="preserve">with approval, per stated condition)</w:t>
      </w:r>
    </w:p>
    <w:p>
      <w:pPr>
        <w:pStyle w:val="Compact"/>
        <w:numPr>
          <w:ilvl w:val="1"/>
          <w:numId w:val="1131"/>
        </w:numPr>
      </w:pPr>
      <w:r>
        <w:t xml:space="preserve">thereafter</w:t>
      </w:r>
      <w:r>
        <w:t xml:space="preserve"> </w:t>
      </w:r>
      <w:r>
        <w:rPr>
          <w:b/>
          <w:bCs/>
        </w:rPr>
        <w:t xml:space="preserve">each year</w:t>
      </w:r>
      <w:r>
        <w:t xml:space="preserve"> </w:t>
      </w:r>
      <w:r>
        <w:t xml:space="preserve">(with an exception allowing earlier analysis if serious changes occur or deemed necessary)</w:t>
      </w:r>
    </w:p>
    <w:p>
      <w:pPr>
        <w:pStyle w:val="Compact"/>
        <w:numPr>
          <w:ilvl w:val="1"/>
          <w:numId w:val="1131"/>
        </w:numPr>
      </w:pPr>
      <w:r>
        <w:t xml:space="preserve">if ordered under Act Art. 9(2), analysis within</w:t>
      </w:r>
      <w:r>
        <w:t xml:space="preserve"> </w:t>
      </w:r>
      <w:r>
        <w:rPr>
          <w:b/>
          <w:bCs/>
        </w:rPr>
        <w:t xml:space="preserve">6 months</w:t>
      </w:r>
      <w:r>
        <w:t xml:space="preserve"> </w:t>
      </w:r>
      <w:r>
        <w:t xml:space="preserve">of receiving the order (</w:t>
      </w:r>
      <w:hyperlink r:id="rId49">
        <w:r>
          <w:rPr>
            <w:rStyle w:val="Hyperlink"/>
          </w:rPr>
          <w:t xml:space="preserve">E-Law</w:t>
        </w:r>
      </w:hyperlink>
      <w:r>
        <w:t xml:space="preserve">)</w:t>
      </w:r>
    </w:p>
    <w:bookmarkEnd w:id="162"/>
    <w:bookmarkStart w:id="163" w:name="c-roles-ciso-concept"/>
    <w:p>
      <w:pPr>
        <w:pStyle w:val="Heading2"/>
      </w:pPr>
      <w:r>
        <w:t xml:space="preserve">C) Roles (CISO concept)</w:t>
      </w:r>
    </w:p>
    <w:p>
      <w:pPr>
        <w:pStyle w:val="Compact"/>
        <w:numPr>
          <w:ilvl w:val="0"/>
          <w:numId w:val="1132"/>
        </w:numPr>
      </w:pPr>
      <w:r>
        <w:t xml:space="preserve">Act Art. 5(4): management organization designates a</w:t>
      </w:r>
      <w:r>
        <w:t xml:space="preserve"> </w:t>
      </w:r>
      <w:r>
        <w:rPr>
          <w:b/>
          <w:bCs/>
        </w:rPr>
        <w:t xml:space="preserve">chief information security officer</w:t>
      </w:r>
      <w:r>
        <w:t xml:space="preserve"> </w:t>
      </w:r>
      <w:r>
        <w:t xml:space="preserve">(with stated exception). (</w:t>
      </w:r>
      <w:hyperlink r:id="rId48">
        <w:r>
          <w:rPr>
            <w:rStyle w:val="Hyperlink"/>
          </w:rPr>
          <w:t xml:space="preserve">E-Law</w:t>
        </w:r>
      </w:hyperlink>
      <w:r>
        <w:t xml:space="preserve">)</w:t>
      </w:r>
    </w:p>
    <w:p>
      <w:pPr>
        <w:pStyle w:val="Compact"/>
        <w:numPr>
          <w:ilvl w:val="0"/>
          <w:numId w:val="1132"/>
        </w:numPr>
      </w:pPr>
      <w:r>
        <w:t xml:space="preserve">Decree Art. 9: specifies who may be designated and enumerates supervisory responsibilities (including measures, technical support requests, vulnerability analysis, compliance with guideline/measure orders, incident notification, and recovery measures). (</w:t>
      </w:r>
      <w:hyperlink r:id="rId49">
        <w:r>
          <w:rPr>
            <w:rStyle w:val="Hyperlink"/>
          </w:rPr>
          <w:t xml:space="preserve">E-Law</w:t>
        </w:r>
      </w:hyperlink>
      <w:r>
        <w:t xml:space="preserve">)</w:t>
      </w:r>
    </w:p>
    <w:bookmarkEnd w:id="163"/>
    <w:bookmarkStart w:id="164" w:name="d-protection-guidelines"/>
    <w:p>
      <w:pPr>
        <w:pStyle w:val="Heading2"/>
      </w:pPr>
      <w:r>
        <w:t xml:space="preserve">D) Protection guidelines</w:t>
      </w:r>
    </w:p>
    <w:p>
      <w:pPr>
        <w:pStyle w:val="Compact"/>
        <w:numPr>
          <w:ilvl w:val="0"/>
          <w:numId w:val="1133"/>
        </w:numPr>
      </w:pPr>
      <w:r>
        <w:t xml:space="preserve">Act Art. 10: central administrative agencies may establish protection guidelines and recommend management organizations follow them; guidelines must be revised/supplemented regularly considering technological advancements. (</w:t>
      </w:r>
      <w:hyperlink r:id="rId48">
        <w:r>
          <w:rPr>
            <w:rStyle w:val="Hyperlink"/>
          </w:rPr>
          <w:t xml:space="preserve">E-Law</w:t>
        </w:r>
      </w:hyperlink>
      <w:r>
        <w:t xml:space="preserve">)</w:t>
      </w:r>
    </w:p>
    <w:p>
      <w:pPr>
        <w:pStyle w:val="Compact"/>
        <w:numPr>
          <w:ilvl w:val="0"/>
          <w:numId w:val="1133"/>
        </w:numPr>
      </w:pPr>
      <w:r>
        <w:t xml:space="preserve">Decree Art. 20(1)–(2): protection guidelines include (i) management/operation of an information protection system, (ii) vulnerability analysis &amp; incident prevention, (iii) incident response &amp; recovery; and must be notified to management organizations when formulated/revised/supplemented. (</w:t>
      </w:r>
      <w:hyperlink r:id="rId49">
        <w:r>
          <w:rPr>
            <w:rStyle w:val="Hyperlink"/>
          </w:rPr>
          <w:t xml:space="preserve">E-Law</w:t>
        </w:r>
      </w:hyperlink>
      <w:r>
        <w:t xml:space="preserve">)</w:t>
      </w:r>
    </w:p>
    <w:bookmarkEnd w:id="164"/>
    <w:bookmarkStart w:id="165" w:name="Xfff44ab347fff303558d3f24db749d626e9c23a"/>
    <w:p>
      <w:pPr>
        <w:pStyle w:val="Heading2"/>
      </w:pPr>
      <w:r>
        <w:t xml:space="preserve">E) Cyber security incident notification content (Decree)</w:t>
      </w:r>
    </w:p>
    <w:p>
      <w:pPr>
        <w:pStyle w:val="Compact"/>
        <w:numPr>
          <w:ilvl w:val="0"/>
          <w:numId w:val="1134"/>
        </w:numPr>
      </w:pPr>
      <w:r>
        <w:t xml:space="preserve">Decree Art. 21(1): notification includes (1) date/time and facility, (2) details of damage, (3) other matters necessary for swift response and recovery. (</w:t>
      </w:r>
      <w:hyperlink r:id="rId49">
        <w:r>
          <w:rPr>
            <w:rStyle w:val="Hyperlink"/>
          </w:rPr>
          <w:t xml:space="preserve">E-Law</w:t>
        </w:r>
      </w:hyperlink>
      <w:r>
        <w:t xml:space="preserve">)</w:t>
      </w:r>
    </w:p>
    <w:bookmarkEnd w:id="165"/>
    <w:bookmarkStart w:id="166" w:name="grading-tiering-scheme-2"/>
    <w:p>
      <w:pPr>
        <w:pStyle w:val="Heading2"/>
      </w:pPr>
      <w:r>
        <w:t xml:space="preserve">Grading / tiering scheme</w:t>
      </w:r>
    </w:p>
    <w:p>
      <w:pPr>
        <w:pStyle w:val="FirstParagraph"/>
      </w:pPr>
      <w:r>
        <w:t xml:space="preserve">In the Act + Enforcement Decree texts cited above,</w:t>
      </w:r>
      <w:r>
        <w:t xml:space="preserve"> </w:t>
      </w:r>
      <w:r>
        <w:rPr>
          <w:b/>
          <w:bCs/>
        </w:rPr>
        <w:t xml:space="preserve">designation is a binary status</w:t>
      </w:r>
      <w:r>
        <w:t xml:space="preserve"> </w:t>
      </w:r>
      <w:r>
        <w:t xml:space="preserve">(designated or not designated as “critical information and communications infrastructure”);</w:t>
      </w:r>
      <w:r>
        <w:t xml:space="preserve"> </w:t>
      </w:r>
      <w:r>
        <w:rPr>
          <w:b/>
          <w:bCs/>
        </w:rPr>
        <w:t xml:space="preserve">no numeric or multi-tier classification scale</w:t>
      </w:r>
      <w:r>
        <w:t xml:space="preserve"> </w:t>
      </w:r>
      <w:r>
        <w:t xml:space="preserve">appears in these provisions. (</w:t>
      </w:r>
      <w:hyperlink r:id="rId48">
        <w:r>
          <w:rPr>
            <w:rStyle w:val="Hyperlink"/>
          </w:rPr>
          <w:t xml:space="preserve">E-Law</w:t>
        </w:r>
      </w:hyperlink>
      <w:r>
        <w:t xml:space="preserve">)</w:t>
      </w:r>
    </w:p>
    <w:bookmarkEnd w:id="166"/>
    <w:bookmarkStart w:id="167" w:name="what-is-public-vs-confidential-1"/>
    <w:p>
      <w:pPr>
        <w:pStyle w:val="Heading2"/>
      </w:pPr>
      <w:r>
        <w:t xml:space="preserve">What is public vs confidential</w:t>
      </w:r>
    </w:p>
    <w:p>
      <w:pPr>
        <w:pStyle w:val="Compact"/>
        <w:numPr>
          <w:ilvl w:val="0"/>
          <w:numId w:val="1135"/>
        </w:numPr>
      </w:pPr>
      <w:r>
        <w:rPr>
          <w:b/>
          <w:bCs/>
        </w:rPr>
        <w:t xml:space="preserve">Public:</w:t>
      </w:r>
      <w:r>
        <w:t xml:space="preserve"> </w:t>
      </w:r>
      <w:r>
        <w:t xml:space="preserve">the Act requires public announcement of designation/revocation (subject to the national-security exception). (</w:t>
      </w:r>
      <w:hyperlink r:id="rId48">
        <w:r>
          <w:rPr>
            <w:rStyle w:val="Hyperlink"/>
          </w:rPr>
          <w:t xml:space="preserve">E-Law</w:t>
        </w:r>
      </w:hyperlink>
      <w:r>
        <w:t xml:space="preserve">)</w:t>
      </w:r>
    </w:p>
    <w:p>
      <w:pPr>
        <w:pStyle w:val="Compact"/>
        <w:numPr>
          <w:ilvl w:val="0"/>
          <w:numId w:val="1135"/>
        </w:numPr>
      </w:pPr>
      <w:r>
        <w:rPr>
          <w:b/>
          <w:bCs/>
        </w:rPr>
        <w:t xml:space="preserve">Public:</w:t>
      </w:r>
      <w:r>
        <w:t xml:space="preserve"> </w:t>
      </w:r>
      <w:r>
        <w:t xml:space="preserve">the Decree requires Official Gazette publication of specific designation fields. (</w:t>
      </w:r>
      <w:hyperlink r:id="rId49">
        <w:r>
          <w:rPr>
            <w:rStyle w:val="Hyperlink"/>
          </w:rPr>
          <w:t xml:space="preserve">E-Law</w:t>
        </w:r>
      </w:hyperlink>
      <w:r>
        <w:t xml:space="preserve">)</w:t>
      </w:r>
    </w:p>
    <w:p>
      <w:pPr>
        <w:pStyle w:val="Compact"/>
        <w:numPr>
          <w:ilvl w:val="0"/>
          <w:numId w:val="1135"/>
        </w:numPr>
      </w:pPr>
      <w:r>
        <w:rPr>
          <w:b/>
          <w:bCs/>
        </w:rPr>
        <w:t xml:space="preserve">May be withheld (national security):</w:t>
      </w:r>
      <w:r>
        <w:t xml:space="preserve"> </w:t>
      </w:r>
      <w:r>
        <w:t xml:space="preserve">the Act permits non-public announcement after Committee deliberation when necessary for guaranteeing national security. (</w:t>
      </w:r>
      <w:hyperlink r:id="rId48">
        <w:r>
          <w:rPr>
            <w:rStyle w:val="Hyperlink"/>
          </w:rPr>
          <w:t xml:space="preserve">E-Law</w:t>
        </w:r>
      </w:hyperlink>
      <w:r>
        <w:t xml:space="preserve">)</w:t>
      </w:r>
    </w:p>
    <w:bookmarkEnd w:id="167"/>
    <w:bookmarkStart w:id="168" w:name="references-south-korea"/>
    <w:p>
      <w:pPr>
        <w:pStyle w:val="Heading2"/>
      </w:pPr>
      <w:r>
        <w:t xml:space="preserve">References (South Korea)</w:t>
      </w:r>
    </w:p>
    <w:p>
      <w:pPr>
        <w:pStyle w:val="Compact"/>
        <w:numPr>
          <w:ilvl w:val="0"/>
          <w:numId w:val="1136"/>
        </w:numPr>
      </w:pPr>
      <w:r>
        <w:rPr>
          <w:b/>
          <w:bCs/>
        </w:rPr>
        <w:t xml:space="preserve">Korea Legislation Research Institute (KLRI).</w:t>
      </w:r>
      <w:r>
        <w:t xml:space="preserve"> </w:t>
      </w:r>
      <w:r>
        <w:rPr>
          <w:b/>
          <w:bCs/>
        </w:rPr>
        <w:t xml:space="preserve">Act on the Protection of Information and Communications Infrastructure</w:t>
      </w:r>
      <w:r>
        <w:t xml:space="preserve"> </w:t>
      </w:r>
      <w:r>
        <w:t xml:space="preserve">(English translation page; includes Arts. 2, 5–13, etc.). (</w:t>
      </w:r>
      <w:hyperlink r:id="rId48">
        <w:r>
          <w:rPr>
            <w:rStyle w:val="Hyperlink"/>
          </w:rPr>
          <w:t xml:space="preserve">E-Law</w:t>
        </w:r>
      </w:hyperlink>
      <w:r>
        <w:t xml:space="preserve">)</w:t>
      </w:r>
    </w:p>
    <w:p>
      <w:pPr>
        <w:pStyle w:val="Compact"/>
        <w:numPr>
          <w:ilvl w:val="0"/>
          <w:numId w:val="1136"/>
        </w:numPr>
      </w:pPr>
      <w:r>
        <w:rPr>
          <w:b/>
          <w:bCs/>
        </w:rPr>
        <w:t xml:space="preserve">Korea Legislation Research Institute (KLRI).</w:t>
      </w:r>
      <w:r>
        <w:t xml:space="preserve"> </w:t>
      </w:r>
      <w:r>
        <w:rPr>
          <w:b/>
          <w:bCs/>
        </w:rPr>
        <w:t xml:space="preserve">Enforcement Decree of the Act on the Protection of Information and Communications Infrastructure</w:t>
      </w:r>
      <w:r>
        <w:t xml:space="preserve"> </w:t>
      </w:r>
      <w:r>
        <w:t xml:space="preserve">(English translation page; includes Arts. 8–9, 13–18, 20–22, etc.). (</w:t>
      </w:r>
      <w:hyperlink r:id="rId49">
        <w:r>
          <w:rPr>
            <w:rStyle w:val="Hyperlink"/>
          </w:rPr>
          <w:t xml:space="preserve">E-Law</w:t>
        </w:r>
      </w:hyperlink>
      <w:r>
        <w:t xml:space="preserve">)</w:t>
      </w:r>
    </w:p>
    <w:p>
      <w:pPr>
        <w:pStyle w:val="Compact"/>
        <w:numPr>
          <w:ilvl w:val="0"/>
          <w:numId w:val="1136"/>
        </w:numPr>
      </w:pPr>
      <w:r>
        <w:rPr>
          <w:b/>
          <w:bCs/>
        </w:rPr>
        <w:t xml:space="preserve">Korea Law Information Center (law.go.kr).</w:t>
      </w:r>
      <w:r>
        <w:t xml:space="preserve"> </w:t>
      </w:r>
      <w:r>
        <w:rPr>
          <w:b/>
          <w:bCs/>
        </w:rPr>
        <w:t xml:space="preserve">Act on the Protection of Information and Communications Infrastructure</w:t>
      </w:r>
      <w:r>
        <w:t xml:space="preserve"> </w:t>
      </w:r>
      <w:r>
        <w:t xml:space="preserve">(English statute page). (</w:t>
      </w:r>
      <w:hyperlink r:id="rId50">
        <w:r>
          <w:rPr>
            <w:rStyle w:val="Hyperlink"/>
          </w:rPr>
          <w:t xml:space="preserve">Korea Law Information Center</w:t>
        </w:r>
      </w:hyperlink>
      <w:r>
        <w:t xml:space="preserve">)</w:t>
      </w:r>
    </w:p>
    <w:p>
      <w:pPr>
        <w:sectPr>
          <w:footerReference w:type="first" r:id="rId13"/>
          <w:footerReference w:type="default" r:id="rId11"/>
          <w:footerReference w:type="even" r:id="rId10"/>
          <w:type w:val="nextPage"/>
        </w:sectPr>
      </w:pPr>
    </w:p>
    <w:bookmarkEnd w:id="168"/>
    <w:bookmarkEnd w:id="169"/>
    <w:bookmarkStart w:id="180" w:name="france"/>
    <w:p>
      <w:pPr>
        <w:pStyle w:val="Heading1"/>
      </w:pPr>
      <w:r>
        <w:t xml:space="preserve">FRANCE</w:t>
      </w:r>
    </w:p>
    <w:p>
      <w:pPr>
        <w:pStyle w:val="FirstParagraph"/>
      </w:pPr>
      <w:r>
        <w:rPr>
          <w:b/>
          <w:bCs/>
        </w:rPr>
        <w:t xml:space="preserve">Translation note:</w:t>
      </w:r>
      <w:r>
        <w:t xml:space="preserve"> </w:t>
      </w:r>
      <w:r>
        <w:t xml:space="preserve">English translations below are</w:t>
      </w:r>
      <w:r>
        <w:t xml:space="preserve"> </w:t>
      </w:r>
      <w:r>
        <w:rPr>
          <w:b/>
          <w:bCs/>
        </w:rPr>
        <w:t xml:space="preserve">unofficial</w:t>
      </w:r>
      <w:r>
        <w:t xml:space="preserve"> </w:t>
      </w:r>
      <w:r>
        <w:t xml:space="preserve">glosses of the cited French legal terms/phrases, provided for readability. All legal terms remain as defined in the cited French primary texts.</w:t>
      </w:r>
    </w:p>
    <w:bookmarkStart w:id="170" w:name="X0ee42c03c450570cf8a5474f0b9734fae820ae8"/>
    <w:p>
      <w:pPr>
        <w:pStyle w:val="Heading2"/>
      </w:pPr>
      <w:r>
        <w:t xml:space="preserve">Final categories (what is “highest critical / protected”)</w:t>
      </w:r>
    </w:p>
    <w:p>
      <w:pPr>
        <w:pStyle w:val="Compact"/>
        <w:numPr>
          <w:ilvl w:val="0"/>
          <w:numId w:val="1137"/>
        </w:numPr>
      </w:pPr>
      <w:r>
        <w:rPr>
          <w:b/>
          <w:bCs/>
        </w:rPr>
        <w:t xml:space="preserve">Opérateur d’importance vitale (OIV)</w:t>
      </w:r>
      <w:r>
        <w:t xml:space="preserve"> </w:t>
      </w:r>
      <w:r>
        <w:t xml:space="preserve">—</w:t>
      </w:r>
      <w:r>
        <w:t xml:space="preserve"> </w:t>
      </w:r>
      <w:r>
        <w:rPr>
          <w:i/>
          <w:iCs/>
        </w:rPr>
        <w:t xml:space="preserve">(English: “Operator of Vital Importance”)</w:t>
      </w:r>
      <w:r>
        <w:t xml:space="preserve"> </w:t>
      </w:r>
      <w:r>
        <w:t xml:space="preserve">— category defined in</w:t>
      </w:r>
      <w:r>
        <w:t xml:space="preserve"> </w:t>
      </w:r>
      <w:r>
        <w:rPr>
          <w:b/>
          <w:bCs/>
        </w:rPr>
        <w:t xml:space="preserve">Code de la défense, Article R.1332-1</w:t>
      </w:r>
      <w:r>
        <w:t xml:space="preserve">.</w:t>
      </w:r>
    </w:p>
    <w:p>
      <w:pPr>
        <w:pStyle w:val="Compact"/>
        <w:numPr>
          <w:ilvl w:val="0"/>
          <w:numId w:val="1137"/>
        </w:numPr>
      </w:pPr>
      <w:r>
        <w:rPr>
          <w:b/>
          <w:bCs/>
        </w:rPr>
        <w:t xml:space="preserve">Secteur d’activités d’importance vitale (SAIV)</w:t>
      </w:r>
      <w:r>
        <w:t xml:space="preserve"> </w:t>
      </w:r>
      <w:r>
        <w:t xml:space="preserve">—</w:t>
      </w:r>
      <w:r>
        <w:t xml:space="preserve"> </w:t>
      </w:r>
      <w:r>
        <w:rPr>
          <w:i/>
          <w:iCs/>
        </w:rPr>
        <w:t xml:space="preserve">(English: “Sector of Vital-Importance Activities”)</w:t>
      </w:r>
      <w:r>
        <w:t xml:space="preserve"> </w:t>
      </w:r>
      <w:r>
        <w:t xml:space="preserve">— criteria in</w:t>
      </w:r>
      <w:r>
        <w:t xml:space="preserve"> </w:t>
      </w:r>
      <w:r>
        <w:rPr>
          <w:b/>
          <w:bCs/>
        </w:rPr>
        <w:t xml:space="preserve">Code de la défense, Article R.1332-2</w:t>
      </w:r>
      <w:r>
        <w:t xml:space="preserve">; SAIV list fixed by</w:t>
      </w:r>
      <w:r>
        <w:t xml:space="preserve"> </w:t>
      </w:r>
      <w:r>
        <w:rPr>
          <w:b/>
          <w:bCs/>
        </w:rPr>
        <w:t xml:space="preserve">Arrêté du 2 juin 2006 modifié</w:t>
      </w:r>
      <w:r>
        <w:t xml:space="preserve">.</w:t>
      </w:r>
    </w:p>
    <w:p>
      <w:pPr>
        <w:pStyle w:val="Compact"/>
        <w:numPr>
          <w:ilvl w:val="0"/>
          <w:numId w:val="1137"/>
        </w:numPr>
      </w:pPr>
      <w:r>
        <w:rPr>
          <w:b/>
          <w:bCs/>
        </w:rPr>
        <w:t xml:space="preserve">Systèmes d’information d’importance vitale (SIIV)</w:t>
      </w:r>
      <w:r>
        <w:t xml:space="preserve"> </w:t>
      </w:r>
      <w:r>
        <w:t xml:space="preserve">—</w:t>
      </w:r>
      <w:r>
        <w:t xml:space="preserve"> </w:t>
      </w:r>
      <w:r>
        <w:rPr>
          <w:i/>
          <w:iCs/>
        </w:rPr>
        <w:t xml:space="preserve">(English: “Vital-Importance Information Systems”)</w:t>
      </w:r>
      <w:r>
        <w:t xml:space="preserve"> </w:t>
      </w:r>
      <w:r>
        <w:t xml:space="preserve">— definition + secrecy of the SIIV list in</w:t>
      </w:r>
      <w:r>
        <w:t xml:space="preserve"> </w:t>
      </w:r>
      <w:r>
        <w:rPr>
          <w:b/>
          <w:bCs/>
        </w:rPr>
        <w:t xml:space="preserve">Code de la défense, Article R.1332-41-2</w:t>
      </w:r>
      <w:r>
        <w:t xml:space="preserve">.</w:t>
      </w:r>
    </w:p>
    <w:p>
      <w:pPr>
        <w:pStyle w:val="Compact"/>
        <w:numPr>
          <w:ilvl w:val="0"/>
          <w:numId w:val="1137"/>
        </w:numPr>
      </w:pPr>
      <w:r>
        <w:rPr>
          <w:b/>
          <w:bCs/>
        </w:rPr>
        <w:t xml:space="preserve">Health SAIV sub-sectors with SIIV rules + incident modalities fixed by ministerial orders</w:t>
      </w:r>
      <w:r>
        <w:t xml:space="preserve"> </w:t>
      </w:r>
      <w:r>
        <w:t xml:space="preserve">(examples from 17 April 2023 JORF texts):</w:t>
      </w:r>
    </w:p>
    <w:p>
      <w:pPr>
        <w:pStyle w:val="Compact"/>
        <w:numPr>
          <w:ilvl w:val="1"/>
          <w:numId w:val="1138"/>
        </w:numPr>
      </w:pPr>
      <w:r>
        <w:rPr>
          <w:b/>
          <w:bCs/>
        </w:rPr>
        <w:t xml:space="preserve">« Établissements de santé »</w:t>
      </w:r>
      <w:r>
        <w:t xml:space="preserve"> </w:t>
      </w:r>
      <w:r>
        <w:t xml:space="preserve">—</w:t>
      </w:r>
      <w:r>
        <w:t xml:space="preserve"> </w:t>
      </w:r>
      <w:r>
        <w:rPr>
          <w:i/>
          <w:iCs/>
        </w:rPr>
        <w:t xml:space="preserve">(English: “Health establishments / healthcare facilities”)</w:t>
      </w:r>
      <w:r>
        <w:t xml:space="preserve"> </w:t>
      </w:r>
      <w:r>
        <w:t xml:space="preserve">(Arrêté du 17 avril 2023).</w:t>
      </w:r>
    </w:p>
    <w:p>
      <w:pPr>
        <w:pStyle w:val="Compact"/>
        <w:numPr>
          <w:ilvl w:val="1"/>
          <w:numId w:val="1138"/>
        </w:numPr>
      </w:pPr>
      <w:r>
        <w:rPr>
          <w:b/>
          <w:bCs/>
        </w:rPr>
        <w:t xml:space="preserve">« Veille et alerte sanitaires »</w:t>
      </w:r>
      <w:r>
        <w:t xml:space="preserve"> </w:t>
      </w:r>
      <w:r>
        <w:t xml:space="preserve">—</w:t>
      </w:r>
      <w:r>
        <w:t xml:space="preserve"> </w:t>
      </w:r>
      <w:r>
        <w:rPr>
          <w:i/>
          <w:iCs/>
        </w:rPr>
        <w:t xml:space="preserve">(English: “Health surveillance and health alerts”)</w:t>
      </w:r>
      <w:r>
        <w:t xml:space="preserve"> </w:t>
      </w:r>
      <w:r>
        <w:t xml:space="preserve">(Arrêté du 17 avril 2023).</w:t>
      </w:r>
    </w:p>
    <w:bookmarkEnd w:id="170"/>
    <w:bookmarkStart w:id="173" w:name="X330aafc9b2a6471c0a884d61fa307c8080b3a3c"/>
    <w:p>
      <w:pPr>
        <w:pStyle w:val="Heading2"/>
      </w:pPr>
      <w:r>
        <w:t xml:space="preserve">Exact legal / regulatory criteria (what triggers inclusion)</w:t>
      </w:r>
    </w:p>
    <w:bookmarkStart w:id="171" w:name="a-the-definition"/>
    <w:p>
      <w:pPr>
        <w:pStyle w:val="Heading3"/>
      </w:pPr>
      <w:r>
        <w:t xml:space="preserve">A) The Definition</w:t>
      </w:r>
    </w:p>
    <w:p>
      <w:pPr>
        <w:pStyle w:val="FirstParagraph"/>
      </w:pPr>
      <w:r>
        <w:rPr>
          <w:b/>
          <w:bCs/>
        </w:rPr>
        <w:t xml:space="preserve">A1. OIV (operator-level designation test) — Code de la défense, Article R.1332-1 (II)</w:t>
      </w:r>
    </w:p>
    <w:p>
      <w:pPr>
        <w:pStyle w:val="BodyText"/>
      </w:pPr>
      <w:r>
        <w:t xml:space="preserve">Key French legal phrases → English gloss:</w:t>
      </w:r>
    </w:p>
    <w:p>
      <w:pPr>
        <w:pStyle w:val="Compact"/>
        <w:numPr>
          <w:ilvl w:val="0"/>
          <w:numId w:val="1139"/>
        </w:numPr>
      </w:pPr>
      <w:r>
        <w:rPr>
          <w:b/>
          <w:bCs/>
        </w:rPr>
        <w:t xml:space="preserve">« obérer gravement »</w:t>
      </w:r>
      <w:r>
        <w:t xml:space="preserve"> </w:t>
      </w:r>
      <w:r>
        <w:t xml:space="preserve">→ “seriously impair / severely undermine”</w:t>
      </w:r>
    </w:p>
    <w:p>
      <w:pPr>
        <w:pStyle w:val="Compact"/>
        <w:numPr>
          <w:ilvl w:val="0"/>
          <w:numId w:val="1139"/>
        </w:numPr>
      </w:pPr>
      <w:r>
        <w:rPr>
          <w:b/>
          <w:bCs/>
        </w:rPr>
        <w:t xml:space="preserve">« mettre gravement en cause la santé ou la vie de la population »</w:t>
      </w:r>
      <w:r>
        <w:t xml:space="preserve"> </w:t>
      </w:r>
      <w:r>
        <w:t xml:space="preserve">→ “seriously jeopardise the health or life of the population”</w:t>
      </w:r>
    </w:p>
    <w:p>
      <w:pPr>
        <w:pStyle w:val="Compact"/>
        <w:numPr>
          <w:ilvl w:val="0"/>
          <w:numId w:val="1139"/>
        </w:numPr>
      </w:pPr>
      <w:r>
        <w:rPr>
          <w:b/>
          <w:bCs/>
        </w:rPr>
        <w:t xml:space="preserve">« malveillance, sabotage, terrorisme »</w:t>
      </w:r>
      <w:r>
        <w:t xml:space="preserve"> </w:t>
      </w:r>
      <w:r>
        <w:t xml:space="preserve">→ “malicious acts, sabotage, terrorism”</w:t>
      </w:r>
    </w:p>
    <w:p>
      <w:pPr>
        <w:pStyle w:val="FirstParagraph"/>
      </w:pPr>
      <w:r>
        <w:rPr>
          <w:b/>
          <w:bCs/>
        </w:rPr>
        <w:t xml:space="preserve">A2. SAIV (sector-level criteria) — Code de la défense, Article R.1332-2</w:t>
      </w:r>
    </w:p>
    <w:p>
      <w:pPr>
        <w:pStyle w:val="BodyText"/>
      </w:pPr>
      <w:r>
        <w:t xml:space="preserve">Key French legal phrases → English gloss:</w:t>
      </w:r>
    </w:p>
    <w:p>
      <w:pPr>
        <w:pStyle w:val="Compact"/>
        <w:numPr>
          <w:ilvl w:val="0"/>
          <w:numId w:val="1140"/>
        </w:numPr>
      </w:pPr>
      <w:r>
        <w:rPr>
          <w:b/>
          <w:bCs/>
        </w:rPr>
        <w:t xml:space="preserve">« besoins essentiels pour la vie des populations »</w:t>
      </w:r>
      <w:r>
        <w:t xml:space="preserve"> </w:t>
      </w:r>
      <w:r>
        <w:t xml:space="preserve">→ “essential needs for the life of the population(s)”</w:t>
      </w:r>
    </w:p>
    <w:p>
      <w:pPr>
        <w:pStyle w:val="Compact"/>
        <w:numPr>
          <w:ilvl w:val="0"/>
          <w:numId w:val="1140"/>
        </w:numPr>
      </w:pPr>
      <w:r>
        <w:rPr>
          <w:b/>
          <w:bCs/>
        </w:rPr>
        <w:t xml:space="preserve">« difficilement substituables ou remplaçables »</w:t>
      </w:r>
      <w:r>
        <w:t xml:space="preserve"> </w:t>
      </w:r>
      <w:r>
        <w:t xml:space="preserve">→ “difficult to substitute or replace”</w:t>
      </w:r>
    </w:p>
    <w:p>
      <w:pPr>
        <w:pStyle w:val="Compact"/>
        <w:numPr>
          <w:ilvl w:val="0"/>
          <w:numId w:val="1140"/>
        </w:numPr>
      </w:pPr>
      <w:r>
        <w:rPr>
          <w:b/>
          <w:bCs/>
        </w:rPr>
        <w:t xml:space="preserve">« danger grave pour la population »</w:t>
      </w:r>
      <w:r>
        <w:t xml:space="preserve"> </w:t>
      </w:r>
      <w:r>
        <w:t xml:space="preserve">→ “serious danger for the population”</w:t>
      </w:r>
    </w:p>
    <w:p>
      <w:pPr>
        <w:pStyle w:val="FirstParagraph"/>
      </w:pPr>
      <w:r>
        <w:rPr>
          <w:b/>
          <w:bCs/>
        </w:rPr>
        <w:t xml:space="preserve">A3. SIIV (system-level definition) — Code de la défense, Article R.1332-41-2</w:t>
      </w:r>
    </w:p>
    <w:p>
      <w:pPr>
        <w:pStyle w:val="BodyText"/>
      </w:pPr>
      <w:r>
        <w:t xml:space="preserve">Key French legal phrase → English gloss:</w:t>
      </w:r>
    </w:p>
    <w:p>
      <w:pPr>
        <w:pStyle w:val="Compact"/>
        <w:numPr>
          <w:ilvl w:val="0"/>
          <w:numId w:val="1141"/>
        </w:numPr>
      </w:pPr>
      <w:r>
        <w:rPr>
          <w:b/>
          <w:bCs/>
        </w:rPr>
        <w:t xml:space="preserve">« couverte par le secret de la défense nationale »</w:t>
      </w:r>
      <w:r>
        <w:t xml:space="preserve"> </w:t>
      </w:r>
      <w:r>
        <w:t xml:space="preserve">→ “covered by national defence secrecy”</w:t>
      </w:r>
    </w:p>
    <w:bookmarkEnd w:id="171"/>
    <w:bookmarkStart w:id="172" w:name="b-the-thresholds"/>
    <w:p>
      <w:pPr>
        <w:pStyle w:val="Heading3"/>
      </w:pPr>
      <w:r>
        <w:t xml:space="preserve">B) The Thresholds</w:t>
      </w:r>
    </w:p>
    <w:p>
      <w:pPr>
        <w:pStyle w:val="FirstParagraph"/>
      </w:pPr>
      <w:r>
        <w:rPr>
          <w:b/>
          <w:bCs/>
        </w:rPr>
        <w:t xml:space="preserve">B1. OIV impact threshold language (qualitative test)</w:t>
      </w:r>
      <w:r>
        <w:t xml:space="preserve"> </w:t>
      </w:r>
      <w:r>
        <w:t xml:space="preserve">— uses the French qualitative terms above (e.g.,</w:t>
      </w:r>
      <w:r>
        <w:t xml:space="preserve"> </w:t>
      </w:r>
      <w:r>
        <w:rPr>
          <w:b/>
          <w:bCs/>
        </w:rPr>
        <w:t xml:space="preserve">« obérer gravement »</w:t>
      </w:r>
      <w:r>
        <w:t xml:space="preserve">,</w:t>
      </w:r>
      <w:r>
        <w:t xml:space="preserve"> </w:t>
      </w:r>
      <w:r>
        <w:rPr>
          <w:b/>
          <w:bCs/>
        </w:rPr>
        <w:t xml:space="preserve">« mettre gravement en cause… »</w:t>
      </w:r>
      <w:r>
        <w:t xml:space="preserve">).</w:t>
      </w:r>
      <w:r>
        <w:t xml:space="preserve"> </w:t>
      </w:r>
      <w:r>
        <w:rPr>
          <w:b/>
          <w:bCs/>
        </w:rPr>
        <w:t xml:space="preserve">B2. SAIV substitutability + serious danger tests (qualitative tests)</w:t>
      </w:r>
      <w:r>
        <w:t xml:space="preserve"> </w:t>
      </w:r>
      <w:r>
        <w:t xml:space="preserve">— uses</w:t>
      </w:r>
      <w:r>
        <w:t xml:space="preserve"> </w:t>
      </w:r>
      <w:r>
        <w:rPr>
          <w:b/>
          <w:bCs/>
        </w:rPr>
        <w:t xml:space="preserve">« difficilement substituables ou remplaçables »</w:t>
      </w:r>
      <w:r>
        <w:t xml:space="preserve"> </w:t>
      </w:r>
      <w:r>
        <w:t xml:space="preserve">and</w:t>
      </w:r>
      <w:r>
        <w:t xml:space="preserve"> </w:t>
      </w:r>
      <w:r>
        <w:rPr>
          <w:b/>
          <w:bCs/>
        </w:rPr>
        <w:t xml:space="preserve">« danger grave pour la population »</w:t>
      </w:r>
      <w:r>
        <w:t xml:space="preserve">.</w:t>
      </w:r>
    </w:p>
    <w:bookmarkEnd w:id="172"/>
    <w:bookmarkEnd w:id="173"/>
    <w:bookmarkStart w:id="174" w:name="grading-tiering-scheme-3"/>
    <w:p>
      <w:pPr>
        <w:pStyle w:val="Heading2"/>
      </w:pPr>
      <w:r>
        <w:t xml:space="preserve">Grading / tiering scheme</w:t>
      </w:r>
    </w:p>
    <w:p>
      <w:pPr>
        <w:pStyle w:val="Compact"/>
        <w:numPr>
          <w:ilvl w:val="0"/>
          <w:numId w:val="1142"/>
        </w:numPr>
      </w:pPr>
      <w:r>
        <w:rPr>
          <w:b/>
          <w:bCs/>
        </w:rPr>
        <w:t xml:space="preserve">Binary designation</w:t>
      </w:r>
      <w:r>
        <w:t xml:space="preserve">: designated</w:t>
      </w:r>
      <w:r>
        <w:t xml:space="preserve"> </w:t>
      </w:r>
      <w:r>
        <w:rPr>
          <w:b/>
          <w:bCs/>
        </w:rPr>
        <w:t xml:space="preserve">OIV</w:t>
      </w:r>
      <w:r>
        <w:t xml:space="preserve"> </w:t>
      </w:r>
      <w:r>
        <w:t xml:space="preserve">vs non-designated.</w:t>
      </w:r>
    </w:p>
    <w:p>
      <w:pPr>
        <w:pStyle w:val="Compact"/>
        <w:numPr>
          <w:ilvl w:val="0"/>
          <w:numId w:val="1142"/>
        </w:numPr>
      </w:pPr>
      <w:r>
        <w:rPr>
          <w:b/>
          <w:bCs/>
        </w:rPr>
        <w:t xml:space="preserve">OIV designation orders</w:t>
      </w:r>
      <w:r>
        <w:t xml:space="preserve">:</w:t>
      </w:r>
      <w:r>
        <w:t xml:space="preserve"> </w:t>
      </w:r>
      <w:r>
        <w:rPr>
          <w:b/>
          <w:bCs/>
        </w:rPr>
        <w:t xml:space="preserve">« ne sont pas publiés »</w:t>
      </w:r>
      <w:r>
        <w:t xml:space="preserve"> </w:t>
      </w:r>
      <w:r>
        <w:t xml:space="preserve">→ “are not published”; and</w:t>
      </w:r>
      <w:r>
        <w:t xml:space="preserve"> </w:t>
      </w:r>
      <w:r>
        <w:rPr>
          <w:b/>
          <w:bCs/>
        </w:rPr>
        <w:t xml:space="preserve">not communicable</w:t>
      </w:r>
      <w:r>
        <w:t xml:space="preserve"> </w:t>
      </w:r>
      <w:r>
        <w:t xml:space="preserve">under the cited CRPA provisions.</w:t>
      </w:r>
    </w:p>
    <w:p>
      <w:pPr>
        <w:pStyle w:val="Compact"/>
        <w:numPr>
          <w:ilvl w:val="0"/>
          <w:numId w:val="1142"/>
        </w:numPr>
      </w:pPr>
      <w:r>
        <w:rPr>
          <w:b/>
          <w:bCs/>
        </w:rPr>
        <w:t xml:space="preserve">No public tiering scheme stated</w:t>
      </w:r>
      <w:r>
        <w:t xml:space="preserve"> </w:t>
      </w:r>
      <w:r>
        <w:t xml:space="preserve">in the cited SAIV/OIV/SIIV provisions.</w:t>
      </w:r>
    </w:p>
    <w:bookmarkEnd w:id="174"/>
    <w:bookmarkStart w:id="175" w:name="X24be4dbf0f24f7509cd4f2881a07bda4711ac1b"/>
    <w:p>
      <w:pPr>
        <w:pStyle w:val="Heading2"/>
      </w:pPr>
      <w:r>
        <w:t xml:space="preserve">Incident reporting tests and thresholds</w:t>
      </w:r>
    </w:p>
    <w:p>
      <w:pPr>
        <w:pStyle w:val="FirstParagraph"/>
      </w:pPr>
      <w:r>
        <w:rPr>
          <w:b/>
          <w:bCs/>
        </w:rPr>
        <w:t xml:space="preserve">General SIIV incident-information rule (no hour-based deadline stated here)</w:t>
      </w:r>
      <w:r>
        <w:t xml:space="preserve"> </w:t>
      </w:r>
      <w:r>
        <w:t xml:space="preserve">—</w:t>
      </w:r>
      <w:r>
        <w:t xml:space="preserve"> </w:t>
      </w:r>
      <w:r>
        <w:rPr>
          <w:b/>
          <w:bCs/>
        </w:rPr>
        <w:t xml:space="preserve">Code de la défense, Article R.1332-41-10</w:t>
      </w:r>
    </w:p>
    <w:p>
      <w:pPr>
        <w:pStyle w:val="BodyText"/>
      </w:pPr>
      <w:r>
        <w:t xml:space="preserve">Key French legal phrases → English gloss:</w:t>
      </w:r>
    </w:p>
    <w:p>
      <w:pPr>
        <w:pStyle w:val="Compact"/>
        <w:numPr>
          <w:ilvl w:val="0"/>
          <w:numId w:val="1143"/>
        </w:numPr>
      </w:pPr>
      <w:r>
        <w:rPr>
          <w:b/>
          <w:bCs/>
        </w:rPr>
        <w:t xml:space="preserve">« dès qu’ils ont connaissance »</w:t>
      </w:r>
      <w:r>
        <w:t xml:space="preserve"> </w:t>
      </w:r>
      <w:r>
        <w:t xml:space="preserve">→ “as soon as they become aware”</w:t>
      </w:r>
    </w:p>
    <w:p>
      <w:pPr>
        <w:pStyle w:val="Compact"/>
        <w:numPr>
          <w:ilvl w:val="0"/>
          <w:numId w:val="1143"/>
        </w:numPr>
      </w:pPr>
      <w:r>
        <w:rPr>
          <w:b/>
          <w:bCs/>
        </w:rPr>
        <w:t xml:space="preserve">« au fur et à mesure de l’avancement de l’analyse »</w:t>
      </w:r>
      <w:r>
        <w:t xml:space="preserve"> </w:t>
      </w:r>
      <w:r>
        <w:t xml:space="preserve">→ “as the analysis progresses”</w:t>
      </w:r>
    </w:p>
    <w:p>
      <w:pPr>
        <w:pStyle w:val="Compact"/>
        <w:numPr>
          <w:ilvl w:val="0"/>
          <w:numId w:val="1143"/>
        </w:numPr>
      </w:pPr>
      <w:r>
        <w:rPr>
          <w:b/>
          <w:bCs/>
        </w:rPr>
        <w:t xml:space="preserve">(Arrêté not published)</w:t>
      </w:r>
      <w:r>
        <w:t xml:space="preserve"> </w:t>
      </w:r>
      <w:r>
        <w:rPr>
          <w:b/>
          <w:bCs/>
        </w:rPr>
        <w:t xml:space="preserve">« n’est pas publié »</w:t>
      </w:r>
      <w:r>
        <w:t xml:space="preserve"> </w:t>
      </w:r>
      <w:r>
        <w:t xml:space="preserve">/</w:t>
      </w:r>
      <w:r>
        <w:t xml:space="preserve"> </w:t>
      </w:r>
      <w:r>
        <w:rPr>
          <w:b/>
          <w:bCs/>
        </w:rPr>
        <w:t xml:space="preserve">notification to persons with a need to know</w:t>
      </w:r>
      <w:r>
        <w:t xml:space="preserve"> </w:t>
      </w:r>
      <w:r>
        <w:t xml:space="preserve">→ “not published / notified to persons who need to know”</w:t>
      </w:r>
    </w:p>
    <w:p>
      <w:pPr>
        <w:pStyle w:val="FirstParagraph"/>
      </w:pPr>
      <w:r>
        <w:rPr>
          <w:b/>
          <w:bCs/>
        </w:rPr>
        <w:t xml:space="preserve">Health sub-sector orders (examples) — incident types specified by annexes (not published)</w:t>
      </w:r>
    </w:p>
    <w:p>
      <w:pPr>
        <w:pStyle w:val="BodyText"/>
      </w:pPr>
      <w:r>
        <w:t xml:space="preserve">Key French legal phrase → English gloss:</w:t>
      </w:r>
    </w:p>
    <w:p>
      <w:pPr>
        <w:pStyle w:val="Compact"/>
        <w:numPr>
          <w:ilvl w:val="0"/>
          <w:numId w:val="1144"/>
        </w:numPr>
      </w:pPr>
      <w:r>
        <w:rPr>
          <w:b/>
          <w:bCs/>
        </w:rPr>
        <w:t xml:space="preserve">« ne sont pas publiées »</w:t>
      </w:r>
      <w:r>
        <w:t xml:space="preserve"> </w:t>
      </w:r>
      <w:r>
        <w:t xml:space="preserve">(Annexes II–IV) → “are not published”</w:t>
      </w:r>
    </w:p>
    <w:bookmarkEnd w:id="175"/>
    <w:bookmarkStart w:id="176" w:name="Xd85c38b84372c09e867c88de3fd70b632e428f5"/>
    <w:p>
      <w:pPr>
        <w:pStyle w:val="Heading2"/>
      </w:pPr>
      <w:r>
        <w:t xml:space="preserve">Health information systems “most likely” designated</w:t>
      </w:r>
    </w:p>
    <w:p>
      <w:pPr>
        <w:pStyle w:val="Compact"/>
        <w:numPr>
          <w:ilvl w:val="0"/>
          <w:numId w:val="1145"/>
        </w:numPr>
      </w:pPr>
      <w:r>
        <w:rPr>
          <w:b/>
          <w:bCs/>
        </w:rPr>
        <w:t xml:space="preserve">OIV designation list</w:t>
      </w:r>
      <w:r>
        <w:t xml:space="preserve">: designation orders</w:t>
      </w:r>
      <w:r>
        <w:t xml:space="preserve"> </w:t>
      </w:r>
      <w:r>
        <w:rPr>
          <w:b/>
          <w:bCs/>
        </w:rPr>
        <w:t xml:space="preserve">not published</w:t>
      </w:r>
      <w:r>
        <w:t xml:space="preserve"> </w:t>
      </w:r>
      <w:r>
        <w:t xml:space="preserve">(</w:t>
      </w:r>
      <w:r>
        <w:rPr>
          <w:b/>
          <w:bCs/>
        </w:rPr>
        <w:t xml:space="preserve">« ne sont pas publiés »</w:t>
      </w:r>
      <w:r>
        <w:t xml:space="preserve">) and</w:t>
      </w:r>
      <w:r>
        <w:t xml:space="preserve"> </w:t>
      </w:r>
      <w:r>
        <w:rPr>
          <w:b/>
          <w:bCs/>
        </w:rPr>
        <w:t xml:space="preserve">not communicable</w:t>
      </w:r>
      <w:r>
        <w:t xml:space="preserve">.</w:t>
      </w:r>
    </w:p>
    <w:p>
      <w:pPr>
        <w:pStyle w:val="Compact"/>
        <w:numPr>
          <w:ilvl w:val="0"/>
          <w:numId w:val="1145"/>
        </w:numPr>
      </w:pPr>
      <w:r>
        <w:rPr>
          <w:b/>
          <w:bCs/>
        </w:rPr>
        <w:t xml:space="preserve">SIIV lists</w:t>
      </w:r>
      <w:r>
        <w:t xml:space="preserve">: covered by</w:t>
      </w:r>
      <w:r>
        <w:t xml:space="preserve"> </w:t>
      </w:r>
      <w:r>
        <w:rPr>
          <w:b/>
          <w:bCs/>
        </w:rPr>
        <w:t xml:space="preserve">national defence secrecy</w:t>
      </w:r>
      <w:r>
        <w:t xml:space="preserve"> </w:t>
      </w:r>
      <w:r>
        <w:t xml:space="preserve">(</w:t>
      </w:r>
      <w:r>
        <w:rPr>
          <w:b/>
          <w:bCs/>
        </w:rPr>
        <w:t xml:space="preserve">« secret de la défense nationale »</w:t>
      </w:r>
      <w:r>
        <w:t xml:space="preserve">).</w:t>
      </w:r>
    </w:p>
    <w:p>
      <w:pPr>
        <w:pStyle w:val="Compact"/>
        <w:numPr>
          <w:ilvl w:val="0"/>
          <w:numId w:val="1145"/>
        </w:numPr>
      </w:pPr>
      <w:r>
        <w:rPr>
          <w:b/>
          <w:bCs/>
        </w:rPr>
        <w:t xml:space="preserve">Health-related SAIV sub-sectors explicitly named</w:t>
      </w:r>
      <w:r>
        <w:t xml:space="preserve"> </w:t>
      </w:r>
      <w:r>
        <w:t xml:space="preserve">in cited JORF texts:</w:t>
      </w:r>
    </w:p>
    <w:p>
      <w:pPr>
        <w:pStyle w:val="Compact"/>
        <w:numPr>
          <w:ilvl w:val="1"/>
          <w:numId w:val="1146"/>
        </w:numPr>
      </w:pPr>
      <w:r>
        <w:rPr>
          <w:b/>
          <w:bCs/>
        </w:rPr>
        <w:t xml:space="preserve">« Établissements de santé »</w:t>
      </w:r>
      <w:r>
        <w:t xml:space="preserve"> </w:t>
      </w:r>
      <w:r>
        <w:rPr>
          <w:i/>
          <w:iCs/>
        </w:rPr>
        <w:t xml:space="preserve">(“Health establishments / healthcare facilities”)</w:t>
      </w:r>
    </w:p>
    <w:p>
      <w:pPr>
        <w:pStyle w:val="Compact"/>
        <w:numPr>
          <w:ilvl w:val="1"/>
          <w:numId w:val="1146"/>
        </w:numPr>
      </w:pPr>
      <w:r>
        <w:rPr>
          <w:b/>
          <w:bCs/>
        </w:rPr>
        <w:t xml:space="preserve">« Veille et alerte sanitaires »</w:t>
      </w:r>
      <w:r>
        <w:t xml:space="preserve"> </w:t>
      </w:r>
      <w:r>
        <w:rPr>
          <w:i/>
          <w:iCs/>
        </w:rPr>
        <w:t xml:space="preserve">(“Health surveillance and health alerts”)</w:t>
      </w:r>
    </w:p>
    <w:bookmarkEnd w:id="176"/>
    <w:bookmarkStart w:id="177" w:name="public-vs-confidential-4"/>
    <w:p>
      <w:pPr>
        <w:pStyle w:val="Heading2"/>
      </w:pPr>
      <w:r>
        <w:t xml:space="preserve">Public vs Confidential</w:t>
      </w:r>
    </w:p>
    <w:p>
      <w:pPr>
        <w:pStyle w:val="FirstParagraph"/>
      </w:pPr>
      <w:r>
        <w:rPr>
          <w:b/>
          <w:bCs/>
        </w:rPr>
        <w:t xml:space="preserve">Public</w:t>
      </w:r>
    </w:p>
    <w:p>
      <w:pPr>
        <w:pStyle w:val="Compact"/>
        <w:numPr>
          <w:ilvl w:val="0"/>
          <w:numId w:val="1147"/>
        </w:numPr>
      </w:pPr>
      <w:r>
        <w:t xml:space="preserve">Definitions and criteria in the</w:t>
      </w:r>
      <w:r>
        <w:t xml:space="preserve"> </w:t>
      </w:r>
      <w:r>
        <w:rPr>
          <w:b/>
          <w:bCs/>
        </w:rPr>
        <w:t xml:space="preserve">Code de la défense</w:t>
      </w:r>
      <w:r>
        <w:t xml:space="preserve"> </w:t>
      </w:r>
      <w:r>
        <w:t xml:space="preserve">(OIV/SAIV/SIIV; incident information rule).</w:t>
      </w:r>
    </w:p>
    <w:p>
      <w:pPr>
        <w:pStyle w:val="Compact"/>
        <w:numPr>
          <w:ilvl w:val="0"/>
          <w:numId w:val="1147"/>
        </w:numPr>
      </w:pPr>
      <w:r>
        <w:t xml:space="preserve">SAIV list in</w:t>
      </w:r>
      <w:r>
        <w:t xml:space="preserve"> </w:t>
      </w:r>
      <w:r>
        <w:rPr>
          <w:b/>
          <w:bCs/>
        </w:rPr>
        <w:t xml:space="preserve">Arrêté du 2 juin 2006 modifié</w:t>
      </w:r>
      <w:r>
        <w:t xml:space="preserve">, including</w:t>
      </w:r>
      <w:r>
        <w:t xml:space="preserve"> </w:t>
      </w:r>
      <w:r>
        <w:rPr>
          <w:b/>
          <w:bCs/>
        </w:rPr>
        <w:t xml:space="preserve">« Santé »</w:t>
      </w:r>
      <w:r>
        <w:t xml:space="preserve"> </w:t>
      </w:r>
      <w:r>
        <w:rPr>
          <w:i/>
          <w:iCs/>
        </w:rPr>
        <w:t xml:space="preserve">(“Health”)</w:t>
      </w:r>
      <w:r>
        <w:t xml:space="preserve">.</w:t>
      </w:r>
    </w:p>
    <w:p>
      <w:pPr>
        <w:pStyle w:val="Compact"/>
        <w:numPr>
          <w:ilvl w:val="0"/>
          <w:numId w:val="1147"/>
        </w:numPr>
      </w:pPr>
      <w:r>
        <w:t xml:space="preserve">Health sub-sector orders stating annex publication status and rule structure.</w:t>
      </w:r>
    </w:p>
    <w:p>
      <w:pPr>
        <w:pStyle w:val="FirstParagraph"/>
      </w:pPr>
      <w:r>
        <w:rPr>
          <w:b/>
          <w:bCs/>
        </w:rPr>
        <w:t xml:space="preserve">Confidential / not published</w:t>
      </w:r>
    </w:p>
    <w:p>
      <w:pPr>
        <w:pStyle w:val="Compact"/>
        <w:numPr>
          <w:ilvl w:val="0"/>
          <w:numId w:val="1148"/>
        </w:numPr>
      </w:pPr>
      <w:r>
        <w:rPr>
          <w:b/>
          <w:bCs/>
        </w:rPr>
        <w:t xml:space="preserve">OIV designation orders</w:t>
      </w:r>
      <w:r>
        <w:t xml:space="preserve">:</w:t>
      </w:r>
      <w:r>
        <w:t xml:space="preserve"> </w:t>
      </w:r>
      <w:r>
        <w:rPr>
          <w:b/>
          <w:bCs/>
        </w:rPr>
        <w:t xml:space="preserve">not published</w:t>
      </w:r>
      <w:r>
        <w:t xml:space="preserve"> </w:t>
      </w:r>
      <w:r>
        <w:t xml:space="preserve">/ not communicable.</w:t>
      </w:r>
    </w:p>
    <w:p>
      <w:pPr>
        <w:pStyle w:val="Compact"/>
        <w:numPr>
          <w:ilvl w:val="0"/>
          <w:numId w:val="1148"/>
        </w:numPr>
      </w:pPr>
      <w:r>
        <w:rPr>
          <w:b/>
          <w:bCs/>
        </w:rPr>
        <w:t xml:space="preserve">SIIV lists</w:t>
      </w:r>
      <w:r>
        <w:t xml:space="preserve">: covered by</w:t>
      </w:r>
      <w:r>
        <w:t xml:space="preserve"> </w:t>
      </w:r>
      <w:r>
        <w:rPr>
          <w:b/>
          <w:bCs/>
        </w:rPr>
        <w:t xml:space="preserve">national defence secrecy</w:t>
      </w:r>
      <w:r>
        <w:t xml:space="preserve">.</w:t>
      </w:r>
    </w:p>
    <w:p>
      <w:pPr>
        <w:pStyle w:val="Compact"/>
        <w:numPr>
          <w:ilvl w:val="0"/>
          <w:numId w:val="1148"/>
        </w:numPr>
      </w:pPr>
      <w:r>
        <w:rPr>
          <w:b/>
          <w:bCs/>
        </w:rPr>
        <w:t xml:space="preserve">Annexes II–IV</w:t>
      </w:r>
      <w:r>
        <w:t xml:space="preserve"> </w:t>
      </w:r>
      <w:r>
        <w:t xml:space="preserve">of cited 17 April 2023 health sub-sector orders:</w:t>
      </w:r>
      <w:r>
        <w:t xml:space="preserve"> </w:t>
      </w:r>
      <w:r>
        <w:rPr>
          <w:b/>
          <w:bCs/>
        </w:rPr>
        <w:t xml:space="preserve">not published</w:t>
      </w:r>
      <w:r>
        <w:t xml:space="preserve">.</w:t>
      </w:r>
    </w:p>
    <w:bookmarkEnd w:id="177"/>
    <w:bookmarkStart w:id="178" w:name="latest-updates-20252026"/>
    <w:p>
      <w:pPr>
        <w:pStyle w:val="Heading2"/>
      </w:pPr>
      <w:r>
        <w:t xml:space="preserve">Latest updates (2025–2026)</w:t>
      </w:r>
    </w:p>
    <w:p>
      <w:pPr>
        <w:pStyle w:val="Compact"/>
        <w:numPr>
          <w:ilvl w:val="0"/>
          <w:numId w:val="1149"/>
        </w:numPr>
      </w:pPr>
      <w:r>
        <w:rPr>
          <w:b/>
          <w:bCs/>
        </w:rPr>
        <w:t xml:space="preserve">EU NIS2 transposition status (France)</w:t>
      </w:r>
      <w:r>
        <w:t xml:space="preserve"> </w:t>
      </w:r>
      <w:r>
        <w:t xml:space="preserve">— Commission status page entries (dates shown on the cited page).</w:t>
      </w:r>
    </w:p>
    <w:p>
      <w:pPr>
        <w:pStyle w:val="Compact"/>
        <w:numPr>
          <w:ilvl w:val="0"/>
          <w:numId w:val="1149"/>
        </w:numPr>
      </w:pPr>
      <w:r>
        <w:rPr>
          <w:b/>
          <w:bCs/>
        </w:rPr>
        <w:t xml:space="preserve">Assemblée nationale dossier</w:t>
      </w:r>
      <w:r>
        <w:t xml:space="preserve"> </w:t>
      </w:r>
      <w:r>
        <w:t xml:space="preserve">— bill docket entries (dates shown on the cited page).</w:t>
      </w:r>
    </w:p>
    <w:bookmarkEnd w:id="178"/>
    <w:bookmarkStart w:id="179" w:name="references-france"/>
    <w:p>
      <w:pPr>
        <w:pStyle w:val="Heading2"/>
      </w:pPr>
      <w:r>
        <w:t xml:space="preserve">References (France)</w:t>
      </w:r>
    </w:p>
    <w:p>
      <w:pPr>
        <w:pStyle w:val="Compact"/>
        <w:numPr>
          <w:ilvl w:val="0"/>
          <w:numId w:val="1150"/>
        </w:numPr>
      </w:pPr>
      <w:r>
        <w:rPr>
          <w:b/>
          <w:bCs/>
        </w:rPr>
        <w:t xml:space="preserve">Code de la défense — Article R.1332-1</w:t>
      </w:r>
      <w:r>
        <w:t xml:space="preserve"> </w:t>
      </w:r>
      <w:r>
        <w:t xml:space="preserve">(OIV criteria). (</w:t>
      </w:r>
      <w:hyperlink r:id="rId48">
        <w:r>
          <w:rPr>
            <w:rStyle w:val="Hyperlink"/>
          </w:rPr>
          <w:t xml:space="preserve">Legifrance</w:t>
        </w:r>
      </w:hyperlink>
      <w:r>
        <w:t xml:space="preserve">)</w:t>
      </w:r>
    </w:p>
    <w:p>
      <w:pPr>
        <w:pStyle w:val="Compact"/>
        <w:numPr>
          <w:ilvl w:val="0"/>
          <w:numId w:val="1150"/>
        </w:numPr>
      </w:pPr>
      <w:r>
        <w:rPr>
          <w:b/>
          <w:bCs/>
        </w:rPr>
        <w:t xml:space="preserve">Code de la défense — Article R.1332-2</w:t>
      </w:r>
      <w:r>
        <w:t xml:space="preserve"> </w:t>
      </w:r>
      <w:r>
        <w:t xml:space="preserve">(SAIV criteria). (</w:t>
      </w:r>
      <w:hyperlink r:id="rId49">
        <w:r>
          <w:rPr>
            <w:rStyle w:val="Hyperlink"/>
          </w:rPr>
          <w:t xml:space="preserve">Legifrance</w:t>
        </w:r>
      </w:hyperlink>
      <w:r>
        <w:t xml:space="preserve">)</w:t>
      </w:r>
    </w:p>
    <w:p>
      <w:pPr>
        <w:pStyle w:val="Compact"/>
        <w:numPr>
          <w:ilvl w:val="0"/>
          <w:numId w:val="1150"/>
        </w:numPr>
      </w:pPr>
      <w:r>
        <w:rPr>
          <w:b/>
          <w:bCs/>
        </w:rPr>
        <w:t xml:space="preserve">Code de la défense — Article R.1332-3</w:t>
      </w:r>
      <w:r>
        <w:t xml:space="preserve"> </w:t>
      </w:r>
      <w:r>
        <w:t xml:space="preserve">(OIV designation secrecy). (</w:t>
      </w:r>
      <w:hyperlink r:id="rId50">
        <w:r>
          <w:rPr>
            <w:rStyle w:val="Hyperlink"/>
          </w:rPr>
          <w:t xml:space="preserve">Legifrance</w:t>
        </w:r>
      </w:hyperlink>
      <w:r>
        <w:t xml:space="preserve">)</w:t>
      </w:r>
    </w:p>
    <w:p>
      <w:pPr>
        <w:pStyle w:val="Compact"/>
        <w:numPr>
          <w:ilvl w:val="0"/>
          <w:numId w:val="1150"/>
        </w:numPr>
      </w:pPr>
      <w:r>
        <w:rPr>
          <w:b/>
          <w:bCs/>
        </w:rPr>
        <w:t xml:space="preserve">Arrêté du 2 juin 2006</w:t>
      </w:r>
      <w:r>
        <w:t xml:space="preserve"> </w:t>
      </w:r>
      <w:r>
        <w:t xml:space="preserve">(SAIV list includes « Santé »). (</w:t>
      </w:r>
      <w:hyperlink r:id="rId51">
        <w:r>
          <w:rPr>
            <w:rStyle w:val="Hyperlink"/>
          </w:rPr>
          <w:t xml:space="preserve">Legifrance</w:t>
        </w:r>
      </w:hyperlink>
      <w:r>
        <w:t xml:space="preserve">)</w:t>
      </w:r>
    </w:p>
    <w:p>
      <w:pPr>
        <w:pStyle w:val="Compact"/>
        <w:numPr>
          <w:ilvl w:val="0"/>
          <w:numId w:val="1150"/>
        </w:numPr>
      </w:pPr>
      <w:r>
        <w:rPr>
          <w:b/>
          <w:bCs/>
        </w:rPr>
        <w:t xml:space="preserve">Code de la défense — Article R.1332-41-2</w:t>
      </w:r>
      <w:r>
        <w:t xml:space="preserve"> </w:t>
      </w:r>
      <w:r>
        <w:t xml:space="preserve">(SIIV definition). (</w:t>
      </w:r>
      <w:hyperlink r:id="rId52">
        <w:r>
          <w:rPr>
            <w:rStyle w:val="Hyperlink"/>
          </w:rPr>
          <w:t xml:space="preserve">Legifrance</w:t>
        </w:r>
      </w:hyperlink>
      <w:r>
        <w:t xml:space="preserve">)</w:t>
      </w:r>
    </w:p>
    <w:p>
      <w:pPr>
        <w:pStyle w:val="Compact"/>
        <w:numPr>
          <w:ilvl w:val="0"/>
          <w:numId w:val="1150"/>
        </w:numPr>
      </w:pPr>
      <w:r>
        <w:rPr>
          <w:b/>
          <w:bCs/>
        </w:rPr>
        <w:t xml:space="preserve">Code de la défense — Article R.1332-41-10</w:t>
      </w:r>
      <w:r>
        <w:t xml:space="preserve"> </w:t>
      </w:r>
      <w:r>
        <w:t xml:space="preserve">(Incident notification). (</w:t>
      </w:r>
      <w:hyperlink r:id="rId53">
        <w:r>
          <w:rPr>
            <w:rStyle w:val="Hyperlink"/>
          </w:rPr>
          <w:t xml:space="preserve">Legifrance</w:t>
        </w:r>
      </w:hyperlink>
      <w:r>
        <w:t xml:space="preserve">)</w:t>
      </w:r>
    </w:p>
    <w:p>
      <w:pPr>
        <w:pStyle w:val="Compact"/>
        <w:numPr>
          <w:ilvl w:val="0"/>
          <w:numId w:val="1150"/>
        </w:numPr>
      </w:pPr>
      <w:r>
        <w:rPr>
          <w:b/>
          <w:bCs/>
        </w:rPr>
        <w:t xml:space="preserve">Arrêté du 17 avril 2023 — « Établissements de santé »</w:t>
      </w:r>
      <w:r>
        <w:t xml:space="preserve">. (</w:t>
      </w:r>
      <w:hyperlink r:id="rId93">
        <w:r>
          <w:rPr>
            <w:rStyle w:val="Hyperlink"/>
          </w:rPr>
          <w:t xml:space="preserve">Legifrance</w:t>
        </w:r>
      </w:hyperlink>
      <w:r>
        <w:t xml:space="preserve">)</w:t>
      </w:r>
    </w:p>
    <w:p>
      <w:pPr>
        <w:pStyle w:val="Compact"/>
        <w:numPr>
          <w:ilvl w:val="0"/>
          <w:numId w:val="1150"/>
        </w:numPr>
      </w:pPr>
      <w:r>
        <w:rPr>
          <w:b/>
          <w:bCs/>
        </w:rPr>
        <w:t xml:space="preserve">Arrêté du 17 avril 2023 — « Veille et alerte sanitaires »</w:t>
      </w:r>
      <w:r>
        <w:t xml:space="preserve">. (</w:t>
      </w:r>
      <w:hyperlink r:id="rId94">
        <w:r>
          <w:rPr>
            <w:rStyle w:val="Hyperlink"/>
          </w:rPr>
          <w:t xml:space="preserve">Legifrance</w:t>
        </w:r>
      </w:hyperlink>
      <w:r>
        <w:t xml:space="preserve">)</w:t>
      </w:r>
    </w:p>
    <w:p>
      <w:pPr>
        <w:pStyle w:val="Compact"/>
        <w:numPr>
          <w:ilvl w:val="0"/>
          <w:numId w:val="1150"/>
        </w:numPr>
      </w:pPr>
      <w:r>
        <w:rPr>
          <w:b/>
          <w:bCs/>
        </w:rPr>
        <w:t xml:space="preserve">Assemblée nationale — Dossier législatif (Cybersécurité)</w:t>
      </w:r>
      <w:r>
        <w:t xml:space="preserve">. (</w:t>
      </w:r>
      <w:hyperlink r:id="rId96">
        <w:r>
          <w:rPr>
            <w:rStyle w:val="Hyperlink"/>
          </w:rPr>
          <w:t xml:space="preserve">Link</w:t>
        </w:r>
      </w:hyperlink>
      <w:r>
        <w:t xml:space="preserve">)</w:t>
      </w:r>
    </w:p>
    <w:p>
      <w:pPr>
        <w:pStyle w:val="Compact"/>
        <w:numPr>
          <w:ilvl w:val="0"/>
          <w:numId w:val="1150"/>
        </w:numPr>
      </w:pPr>
      <w:r>
        <w:rPr>
          <w:b/>
          <w:bCs/>
        </w:rPr>
        <w:t xml:space="preserve">European Commission — NIS2 Implementation (France)</w:t>
      </w:r>
      <w:r>
        <w:t xml:space="preserve">. (</w:t>
      </w:r>
      <w:hyperlink r:id="rId116">
        <w:r>
          <w:rPr>
            <w:rStyle w:val="Hyperlink"/>
          </w:rPr>
          <w:t xml:space="preserve">Link</w:t>
        </w:r>
      </w:hyperlink>
      <w:r>
        <w:t xml:space="preserve">)</w:t>
      </w:r>
    </w:p>
    <w:p>
      <w:pPr>
        <w:sectPr>
          <w:footerReference w:type="first" r:id="rId13"/>
          <w:footerReference w:type="default" r:id="rId11"/>
          <w:footerReference w:type="even" r:id="rId10"/>
          <w:type w:val="nextPage"/>
        </w:sectPr>
      </w:pPr>
    </w:p>
    <w:bookmarkEnd w:id="179"/>
    <w:bookmarkEnd w:id="180"/>
    <w:bookmarkStart w:id="213" w:name="norway"/>
    <w:p>
      <w:pPr>
        <w:pStyle w:val="Heading1"/>
      </w:pPr>
      <w:r>
        <w:t xml:space="preserve">NORWAY</w:t>
      </w:r>
    </w:p>
    <w:p>
      <w:pPr>
        <w:pStyle w:val="BlockText"/>
      </w:pPr>
      <w:r>
        <w:rPr>
          <w:b/>
          <w:bCs/>
        </w:rPr>
        <w:t xml:space="preserve">Note:</w:t>
      </w:r>
      <w:r>
        <w:t xml:space="preserve"> </w:t>
      </w:r>
      <w:r>
        <w:t xml:space="preserve">Norway’s core legal framework for digital security is the</w:t>
      </w:r>
      <w:r>
        <w:t xml:space="preserve"> </w:t>
      </w:r>
      <w:r>
        <w:rPr>
          <w:b/>
          <w:bCs/>
        </w:rPr>
        <w:t xml:space="preserve">Digital Security Act (digitalsikkerhetsloven)</w:t>
      </w:r>
      <w:r>
        <w:t xml:space="preserve">, with implementing</w:t>
      </w:r>
      <w:r>
        <w:t xml:space="preserve"> </w:t>
      </w:r>
      <w:r>
        <w:rPr>
          <w:b/>
          <w:bCs/>
        </w:rPr>
        <w:t xml:space="preserve">Digital Security Regulations</w:t>
      </w:r>
      <w:r>
        <w:t xml:space="preserve"> </w:t>
      </w:r>
      <w:r>
        <w:t xml:space="preserve">that entered into force</w:t>
      </w:r>
      <w:r>
        <w:t xml:space="preserve"> </w:t>
      </w:r>
      <w:r>
        <w:rPr>
          <w:b/>
          <w:bCs/>
        </w:rPr>
        <w:t xml:space="preserve">1 October 2025</w:t>
      </w:r>
      <w:r>
        <w:t xml:space="preserve">.</w:t>
      </w:r>
    </w:p>
    <w:bookmarkStart w:id="181" w:name="final-categories-3"/>
    <w:p>
      <w:pPr>
        <w:pStyle w:val="Heading2"/>
      </w:pPr>
      <w:r>
        <w:t xml:space="preserve">Final Categories</w:t>
      </w:r>
    </w:p>
    <w:bookmarkEnd w:id="181"/>
    <w:bookmarkStart w:id="182" w:name="X745e3a450697f2be0cec8d2e5d2d23ca74c1895"/>
    <w:p>
      <w:pPr>
        <w:pStyle w:val="Heading2"/>
      </w:pPr>
      <w:r>
        <w:t xml:space="preserve">1)</w:t>
      </w:r>
      <w:r>
        <w:t xml:space="preserve"> </w:t>
      </w:r>
      <w:r>
        <w:rPr>
          <w:b/>
          <w:bCs/>
        </w:rPr>
        <w:t xml:space="preserve">Providers of socially important services</w:t>
      </w:r>
      <w:r>
        <w:t xml:space="preserve"> </w:t>
      </w:r>
      <w:r>
        <w:t xml:space="preserve">(tilbydere av samfunnsviktige tjenester)</w:t>
      </w:r>
    </w:p>
    <w:p>
      <w:pPr>
        <w:pStyle w:val="Compact"/>
        <w:numPr>
          <w:ilvl w:val="0"/>
          <w:numId w:val="1151"/>
        </w:numPr>
      </w:pPr>
      <w:r>
        <w:t xml:space="preserve">The Act applies to</w:t>
      </w:r>
      <w:r>
        <w:t xml:space="preserve"> </w:t>
      </w:r>
      <w:r>
        <w:rPr>
          <w:b/>
          <w:bCs/>
        </w:rPr>
        <w:t xml:space="preserve">providers of socially important services</w:t>
      </w:r>
      <w:r>
        <w:t xml:space="preserve"> </w:t>
      </w:r>
      <w:r>
        <w:t xml:space="preserve">under § 6</w:t>
      </w:r>
      <w:r>
        <w:t xml:space="preserve"> </w:t>
      </w:r>
      <w:r>
        <w:rPr>
          <w:b/>
          <w:bCs/>
        </w:rPr>
        <w:t xml:space="preserve">in the sectors</w:t>
      </w:r>
      <w:r>
        <w:t xml:space="preserve">: energy, transport,</w:t>
      </w:r>
      <w:r>
        <w:t xml:space="preserve"> </w:t>
      </w:r>
      <w:r>
        <w:rPr>
          <w:b/>
          <w:bCs/>
        </w:rPr>
        <w:t xml:space="preserve">health</w:t>
      </w:r>
      <w:r>
        <w:t xml:space="preserve">, water supply, bank, financial market infrastructure, and digital infrastructure.</w:t>
      </w:r>
    </w:p>
    <w:bookmarkEnd w:id="182"/>
    <w:bookmarkStart w:id="183" w:name="X0337d5d22ff07cbd378969f9b77dfc08a7b8070"/>
    <w:p>
      <w:pPr>
        <w:pStyle w:val="Heading2"/>
      </w:pPr>
      <w:r>
        <w:t xml:space="preserve">2)</w:t>
      </w:r>
      <w:r>
        <w:t xml:space="preserve"> </w:t>
      </w:r>
      <w:r>
        <w:rPr>
          <w:b/>
          <w:bCs/>
        </w:rPr>
        <w:t xml:space="preserve">Providers of digital services</w:t>
      </w:r>
      <w:r>
        <w:t xml:space="preserve"> </w:t>
      </w:r>
      <w:r>
        <w:t xml:space="preserve">(tilbydere av digitale tjenester)</w:t>
      </w:r>
    </w:p>
    <w:p>
      <w:pPr>
        <w:pStyle w:val="Compact"/>
        <w:numPr>
          <w:ilvl w:val="0"/>
          <w:numId w:val="1152"/>
        </w:numPr>
      </w:pPr>
      <w:r>
        <w:t xml:space="preserve">The Act applies to</w:t>
      </w:r>
      <w:r>
        <w:t xml:space="preserve"> </w:t>
      </w:r>
      <w:r>
        <w:rPr>
          <w:b/>
          <w:bCs/>
        </w:rPr>
        <w:t xml:space="preserve">providers of digital services</w:t>
      </w:r>
      <w:r>
        <w:t xml:space="preserve"> </w:t>
      </w:r>
      <w:r>
        <w:t xml:space="preserve">under § 9.</w:t>
      </w:r>
    </w:p>
    <w:p>
      <w:pPr>
        <w:pStyle w:val="Compact"/>
        <w:numPr>
          <w:ilvl w:val="0"/>
          <w:numId w:val="1152"/>
        </w:numPr>
      </w:pPr>
      <w:r>
        <w:t xml:space="preserve">§ 9 lists:</w:t>
      </w:r>
      <w:r>
        <w:t xml:space="preserve"> </w:t>
      </w:r>
      <w:r>
        <w:rPr>
          <w:b/>
          <w:bCs/>
        </w:rPr>
        <w:t xml:space="preserve">online marketplace</w:t>
      </w:r>
      <w:r>
        <w:t xml:space="preserve">,</w:t>
      </w:r>
      <w:r>
        <w:t xml:space="preserve"> </w:t>
      </w:r>
      <w:r>
        <w:rPr>
          <w:b/>
          <w:bCs/>
        </w:rPr>
        <w:t xml:space="preserve">online search engine</w:t>
      </w:r>
      <w:r>
        <w:t xml:space="preserve">, and</w:t>
      </w:r>
      <w:r>
        <w:t xml:space="preserve"> </w:t>
      </w:r>
      <w:r>
        <w:rPr>
          <w:b/>
          <w:bCs/>
        </w:rPr>
        <w:t xml:space="preserve">cloud computing service</w:t>
      </w:r>
      <w:r>
        <w:t xml:space="preserve">.</w:t>
      </w:r>
    </w:p>
    <w:bookmarkEnd w:id="183"/>
    <w:bookmarkStart w:id="184" w:name="X4e74eefa5352c763b7dbc79553d4e2a5314efa3"/>
    <w:p>
      <w:pPr>
        <w:pStyle w:val="Heading2"/>
      </w:pPr>
      <w:r>
        <w:t xml:space="preserve">3) Health sector code of conduct (sector guidance)</w:t>
      </w:r>
    </w:p>
    <w:p>
      <w:pPr>
        <w:pStyle w:val="Compact"/>
        <w:numPr>
          <w:ilvl w:val="0"/>
          <w:numId w:val="1153"/>
        </w:numPr>
      </w:pPr>
      <w:r>
        <w:rPr>
          <w:b/>
          <w:bCs/>
        </w:rPr>
        <w:t xml:space="preserve">Code of Conduct for Information Security and Data Protection in the Health Care Sector (Version 7.0)</w:t>
      </w:r>
      <w:r>
        <w:t xml:space="preserve"> </w:t>
      </w:r>
      <w:r>
        <w:t xml:space="preserve">(the “Code”), including stated version metadata and applicability date.</w:t>
      </w:r>
    </w:p>
    <w:bookmarkEnd w:id="184"/>
    <w:bookmarkStart w:id="185" w:name="Xaf6a1dc97abade5103c14dfc5e77b2aaca89aa3"/>
    <w:p>
      <w:pPr>
        <w:pStyle w:val="Heading2"/>
      </w:pPr>
      <w:r>
        <w:t xml:space="preserve">Exact Legal / Regulatory Criteria (primary texts)</w:t>
      </w:r>
    </w:p>
    <w:bookmarkEnd w:id="185"/>
    <w:bookmarkStart w:id="186" w:name="a-statutory-scope-digital-security-act"/>
    <w:p>
      <w:pPr>
        <w:pStyle w:val="Heading2"/>
      </w:pPr>
      <w:r>
        <w:t xml:space="preserve">A) Statutory scope (Digital Security Act)</w:t>
      </w:r>
    </w:p>
    <w:bookmarkEnd w:id="186"/>
    <w:bookmarkStart w:id="187" w:name="scope-sectors-include-health"/>
    <w:p>
      <w:pPr>
        <w:pStyle w:val="Heading2"/>
      </w:pPr>
      <w:r>
        <w:t xml:space="preserve">Scope: sectors include</w:t>
      </w:r>
      <w:r>
        <w:t xml:space="preserve"> </w:t>
      </w:r>
      <w:r>
        <w:rPr>
          <w:b/>
          <w:bCs/>
        </w:rPr>
        <w:t xml:space="preserve">health</w:t>
      </w:r>
    </w:p>
    <w:p>
      <w:pPr>
        <w:pStyle w:val="Compact"/>
        <w:numPr>
          <w:ilvl w:val="0"/>
          <w:numId w:val="1154"/>
        </w:numPr>
      </w:pPr>
      <w:r>
        <w:t xml:space="preserve">The Act applies to providers of socially important services under § 6 in the sectors including</w:t>
      </w:r>
      <w:r>
        <w:t xml:space="preserve"> </w:t>
      </w:r>
      <w:r>
        <w:rPr>
          <w:b/>
          <w:bCs/>
        </w:rPr>
        <w:t xml:space="preserve">health</w:t>
      </w:r>
      <w:r>
        <w:t xml:space="preserve">.</w:t>
      </w:r>
    </w:p>
    <w:bookmarkEnd w:id="187"/>
    <w:bookmarkStart w:id="188" w:name="entry-into-force"/>
    <w:p>
      <w:pPr>
        <w:pStyle w:val="Heading2"/>
      </w:pPr>
      <w:r>
        <w:t xml:space="preserve">Entry into force</w:t>
      </w:r>
    </w:p>
    <w:p>
      <w:pPr>
        <w:pStyle w:val="Compact"/>
        <w:numPr>
          <w:ilvl w:val="0"/>
          <w:numId w:val="1155"/>
        </w:numPr>
      </w:pPr>
      <w:r>
        <w:t xml:space="preserve">§ 20 states the Act enters into force at the time determined by the King; the Lovdata rendering notes “From 1 Oct 2025 …”.</w:t>
      </w:r>
    </w:p>
    <w:bookmarkEnd w:id="188"/>
    <w:bookmarkStart w:id="189" w:name="Xdf876646f2965b80309b0f13ce24f1043b3113a"/>
    <w:p>
      <w:pPr>
        <w:pStyle w:val="Heading2"/>
      </w:pPr>
      <w:r>
        <w:t xml:space="preserve">B) “Provider of a socially important service” — § 6 (Act)</w:t>
      </w:r>
    </w:p>
    <w:p>
      <w:pPr>
        <w:pStyle w:val="FirstParagraph"/>
      </w:pPr>
      <w:r>
        <w:t xml:space="preserve">A provider under § 6 is an entity that:</w:t>
      </w:r>
      <w:r>
        <w:t xml:space="preserve"> </w:t>
      </w:r>
      <w:r>
        <w:t xml:space="preserve">*</w:t>
      </w:r>
      <w:r>
        <w:t xml:space="preserve"> </w:t>
      </w:r>
      <w:r>
        <w:rPr>
          <w:b/>
          <w:bCs/>
        </w:rPr>
        <w:t xml:space="preserve">delivers a service</w:t>
      </w:r>
      <w:r>
        <w:t xml:space="preserve"> </w:t>
      </w:r>
      <w:r>
        <w:t xml:space="preserve">in one of the listed sectors (including</w:t>
      </w:r>
      <w:r>
        <w:t xml:space="preserve"> </w:t>
      </w:r>
      <w:r>
        <w:rPr>
          <w:b/>
          <w:bCs/>
        </w:rPr>
        <w:t xml:space="preserve">health</w:t>
      </w:r>
      <w:r>
        <w:t xml:space="preserve">),</w:t>
      </w:r>
      <w:r>
        <w:t xml:space="preserve"> </w:t>
      </w:r>
      <w:r>
        <w:rPr>
          <w:b/>
          <w:bCs/>
        </w:rPr>
        <w:t xml:space="preserve">and</w:t>
      </w:r>
      <w:r>
        <w:t xml:space="preserve"> </w:t>
      </w:r>
      <w:r>
        <w:t xml:space="preserve">* is</w:t>
      </w:r>
      <w:r>
        <w:t xml:space="preserve"> </w:t>
      </w:r>
      <w:r>
        <w:rPr>
          <w:b/>
          <w:bCs/>
        </w:rPr>
        <w:t xml:space="preserve">dependent on network and information systems</w:t>
      </w:r>
      <w:r>
        <w:t xml:space="preserve"> </w:t>
      </w:r>
      <w:r>
        <w:t xml:space="preserve">to deliver that service,</w:t>
      </w:r>
      <w:r>
        <w:t xml:space="preserve"> </w:t>
      </w:r>
      <w:r>
        <w:rPr>
          <w:b/>
          <w:bCs/>
        </w:rPr>
        <w:t xml:space="preserve">and</w:t>
      </w:r>
      <w:r>
        <w:t xml:space="preserve"> </w:t>
      </w:r>
      <w:r>
        <w:t xml:space="preserve">* the service is</w:t>
      </w:r>
      <w:r>
        <w:t xml:space="preserve"> </w:t>
      </w:r>
      <w:r>
        <w:rPr>
          <w:b/>
          <w:bCs/>
        </w:rPr>
        <w:t xml:space="preserve">important for maintaining fundamental societal functions or people’s basic needs</w:t>
      </w:r>
      <w:r>
        <w:t xml:space="preserve">, and an incident would have</w:t>
      </w:r>
      <w:r>
        <w:t xml:space="preserve"> </w:t>
      </w:r>
      <w:r>
        <w:rPr>
          <w:b/>
          <w:bCs/>
        </w:rPr>
        <w:t xml:space="preserve">significantly disruptive impact</w:t>
      </w:r>
      <w:r>
        <w:t xml:space="preserve"> </w:t>
      </w:r>
      <w:r>
        <w:t xml:space="preserve">on delivery of the service.</w:t>
      </w:r>
    </w:p>
    <w:bookmarkEnd w:id="189"/>
    <w:bookmarkStart w:id="190" w:name="Xcaa079ec3c079b89a96d99be24124aefcb24bf5"/>
    <w:p>
      <w:pPr>
        <w:pStyle w:val="Heading2"/>
      </w:pPr>
      <w:r>
        <w:t xml:space="preserve">C) Security requirements for providers of socially important services — § 7 (Act)</w:t>
      </w:r>
    </w:p>
    <w:p>
      <w:pPr>
        <w:pStyle w:val="FirstParagraph"/>
      </w:pPr>
      <w:r>
        <w:t xml:space="preserve">§ 7 requires</w:t>
      </w:r>
      <w:r>
        <w:t xml:space="preserve"> </w:t>
      </w:r>
      <w:r>
        <w:rPr>
          <w:b/>
          <w:bCs/>
        </w:rPr>
        <w:t xml:space="preserve">appropriate and proportionate technical and organisational measures</w:t>
      </w:r>
      <w:r>
        <w:t xml:space="preserve"> </w:t>
      </w:r>
      <w:r>
        <w:t xml:space="preserve">and lists specific risk/assurance aims, including: preventing incidents and limiting consequences; ensuring a level of security appropriate to risk; and maintaining continuity/availability elements as described in the provision (items (a)–(g)).</w:t>
      </w:r>
    </w:p>
    <w:bookmarkEnd w:id="190"/>
    <w:bookmarkStart w:id="191" w:name="Xf967e6151315709e3f8ae9d5a21625170632432"/>
    <w:p>
      <w:pPr>
        <w:pStyle w:val="Heading2"/>
      </w:pPr>
      <w:r>
        <w:t xml:space="preserve">D) Incident notification duty for providers of socially important services — § 8 (Act) + reporting timelines (Regulations)</w:t>
      </w:r>
    </w:p>
    <w:bookmarkEnd w:id="191"/>
    <w:bookmarkStart w:id="192" w:name="duty-to-notify-act-8"/>
    <w:p>
      <w:pPr>
        <w:pStyle w:val="Heading2"/>
      </w:pPr>
      <w:r>
        <w:t xml:space="preserve">Duty to notify (Act § 8)</w:t>
      </w:r>
    </w:p>
    <w:p>
      <w:pPr>
        <w:pStyle w:val="Compact"/>
        <w:numPr>
          <w:ilvl w:val="0"/>
          <w:numId w:val="1156"/>
        </w:numPr>
      </w:pPr>
      <w:r>
        <w:t xml:space="preserve">Providers must</w:t>
      </w:r>
      <w:r>
        <w:t xml:space="preserve"> </w:t>
      </w:r>
      <w:r>
        <w:rPr>
          <w:b/>
          <w:bCs/>
        </w:rPr>
        <w:t xml:space="preserve">notify</w:t>
      </w:r>
      <w:r>
        <w:t xml:space="preserve"> </w:t>
      </w:r>
      <w:r>
        <w:t xml:space="preserve">the supervisory authority</w:t>
      </w:r>
      <w:r>
        <w:t xml:space="preserve"> </w:t>
      </w:r>
      <w:r>
        <w:rPr>
          <w:b/>
          <w:bCs/>
        </w:rPr>
        <w:t xml:space="preserve">without undue delay</w:t>
      </w:r>
      <w:r>
        <w:t xml:space="preserve"> </w:t>
      </w:r>
      <w:r>
        <w:t xml:space="preserve">about incidents with</w:t>
      </w:r>
      <w:r>
        <w:t xml:space="preserve"> </w:t>
      </w:r>
      <w:r>
        <w:rPr>
          <w:b/>
          <w:bCs/>
        </w:rPr>
        <w:t xml:space="preserve">significant impact</w:t>
      </w:r>
      <w:r>
        <w:t xml:space="preserve"> </w:t>
      </w:r>
      <w:r>
        <w:t xml:space="preserve">on continuity of the service.</w:t>
      </w:r>
    </w:p>
    <w:p>
      <w:pPr>
        <w:pStyle w:val="Compact"/>
        <w:numPr>
          <w:ilvl w:val="0"/>
          <w:numId w:val="1156"/>
        </w:numPr>
      </w:pPr>
      <w:r>
        <w:t xml:space="preserve">The Act lists factors for assessing whether impact is “significant” (users affected, duration, geographic area, extent of functionality failure, and impact on economic and societal activity).</w:t>
      </w:r>
    </w:p>
    <w:bookmarkEnd w:id="192"/>
    <w:bookmarkStart w:id="193" w:name="X46351dea702ff6486afb515d06d310152878c0a"/>
    <w:p>
      <w:pPr>
        <w:pStyle w:val="Heading2"/>
      </w:pPr>
      <w:r>
        <w:t xml:space="preserve">Reporting steps and timelines (Regulations § 20)</w:t>
      </w:r>
    </w:p>
    <w:p>
      <w:pPr>
        <w:pStyle w:val="FirstParagraph"/>
      </w:pPr>
      <w:r>
        <w:t xml:space="preserve">The Regulations specify a staged reporting sequence for incidents with significant impact:</w:t>
      </w:r>
    </w:p>
    <w:p>
      <w:pPr>
        <w:pStyle w:val="Compact"/>
        <w:numPr>
          <w:ilvl w:val="0"/>
          <w:numId w:val="1157"/>
        </w:numPr>
      </w:pPr>
      <w:r>
        <w:rPr>
          <w:b/>
          <w:bCs/>
        </w:rPr>
        <w:t xml:space="preserve">Early warning</w:t>
      </w:r>
      <w:r>
        <w:t xml:space="preserve">: “as soon as possible and no later than</w:t>
      </w:r>
      <w:r>
        <w:t xml:space="preserve"> </w:t>
      </w:r>
      <w:r>
        <w:rPr>
          <w:b/>
          <w:bCs/>
        </w:rPr>
        <w:t xml:space="preserve">24 hours</w:t>
      </w:r>
      <w:r>
        <w:t xml:space="preserve"> </w:t>
      </w:r>
      <w:r>
        <w:t xml:space="preserve">after the provider becomes aware …”.</w:t>
      </w:r>
    </w:p>
    <w:p>
      <w:pPr>
        <w:pStyle w:val="Compact"/>
        <w:numPr>
          <w:ilvl w:val="0"/>
          <w:numId w:val="1157"/>
        </w:numPr>
      </w:pPr>
      <w:r>
        <w:rPr>
          <w:b/>
          <w:bCs/>
        </w:rPr>
        <w:t xml:space="preserve">Notification</w:t>
      </w:r>
      <w:r>
        <w:t xml:space="preserve">: “as soon as possible and no later than</w:t>
      </w:r>
      <w:r>
        <w:t xml:space="preserve"> </w:t>
      </w:r>
      <w:r>
        <w:rPr>
          <w:b/>
          <w:bCs/>
        </w:rPr>
        <w:t xml:space="preserve">72 hours</w:t>
      </w:r>
      <w:r>
        <w:t xml:space="preserve"> </w:t>
      </w:r>
      <w:r>
        <w:t xml:space="preserve">after the provider becomes aware …”.</w:t>
      </w:r>
    </w:p>
    <w:p>
      <w:pPr>
        <w:pStyle w:val="Compact"/>
        <w:numPr>
          <w:ilvl w:val="0"/>
          <w:numId w:val="1157"/>
        </w:numPr>
      </w:pPr>
      <w:r>
        <w:rPr>
          <w:b/>
          <w:bCs/>
        </w:rPr>
        <w:t xml:space="preserve">Final report</w:t>
      </w:r>
      <w:r>
        <w:t xml:space="preserve">: “no later than</w:t>
      </w:r>
      <w:r>
        <w:t xml:space="preserve"> </w:t>
      </w:r>
      <w:r>
        <w:rPr>
          <w:b/>
          <w:bCs/>
        </w:rPr>
        <w:t xml:space="preserve">one month</w:t>
      </w:r>
      <w:r>
        <w:t xml:space="preserve"> </w:t>
      </w:r>
      <w:r>
        <w:t xml:space="preserve">after submission of the notification …”.</w:t>
      </w:r>
    </w:p>
    <w:bookmarkEnd w:id="193"/>
    <w:bookmarkStart w:id="194" w:name="X243cdc553c10e479976d1246e79234711fdf337"/>
    <w:p>
      <w:pPr>
        <w:pStyle w:val="Heading2"/>
      </w:pPr>
      <w:r>
        <w:t xml:space="preserve">E) Providers of digital services — § 9, § 10, § 11 (Act)</w:t>
      </w:r>
    </w:p>
    <w:bookmarkEnd w:id="194"/>
    <w:bookmarkStart w:id="195" w:name="category-definition-act-9"/>
    <w:p>
      <w:pPr>
        <w:pStyle w:val="Heading2"/>
      </w:pPr>
      <w:r>
        <w:t xml:space="preserve">Category definition (Act § 9)</w:t>
      </w:r>
    </w:p>
    <w:p>
      <w:pPr>
        <w:pStyle w:val="Compact"/>
        <w:numPr>
          <w:ilvl w:val="0"/>
          <w:numId w:val="1158"/>
        </w:numPr>
      </w:pPr>
      <w:r>
        <w:t xml:space="preserve">§ 9 lists the digital services:</w:t>
      </w:r>
      <w:r>
        <w:t xml:space="preserve"> </w:t>
      </w:r>
      <w:r>
        <w:rPr>
          <w:b/>
          <w:bCs/>
        </w:rPr>
        <w:t xml:space="preserve">online marketplace</w:t>
      </w:r>
      <w:r>
        <w:t xml:space="preserve">,</w:t>
      </w:r>
      <w:r>
        <w:t xml:space="preserve"> </w:t>
      </w:r>
      <w:r>
        <w:rPr>
          <w:b/>
          <w:bCs/>
        </w:rPr>
        <w:t xml:space="preserve">online search engine</w:t>
      </w:r>
      <w:r>
        <w:t xml:space="preserve">,</w:t>
      </w:r>
      <w:r>
        <w:t xml:space="preserve"> </w:t>
      </w:r>
      <w:r>
        <w:rPr>
          <w:b/>
          <w:bCs/>
        </w:rPr>
        <w:t xml:space="preserve">cloud computing service</w:t>
      </w:r>
      <w:r>
        <w:t xml:space="preserve">.</w:t>
      </w:r>
    </w:p>
    <w:bookmarkEnd w:id="195"/>
    <w:bookmarkStart w:id="196" w:name="security-requirement-act-10"/>
    <w:p>
      <w:pPr>
        <w:pStyle w:val="Heading2"/>
      </w:pPr>
      <w:r>
        <w:t xml:space="preserve">Security requirement (Act § 10)</w:t>
      </w:r>
    </w:p>
    <w:p>
      <w:pPr>
        <w:pStyle w:val="Compact"/>
        <w:numPr>
          <w:ilvl w:val="0"/>
          <w:numId w:val="1159"/>
        </w:numPr>
      </w:pPr>
      <w:r>
        <w:t xml:space="preserve">Providers of digital services must implement</w:t>
      </w:r>
      <w:r>
        <w:t xml:space="preserve"> </w:t>
      </w:r>
      <w:r>
        <w:rPr>
          <w:b/>
          <w:bCs/>
        </w:rPr>
        <w:t xml:space="preserve">appropriate and proportionate technical and organisational measures</w:t>
      </w:r>
      <w:r>
        <w:t xml:space="preserve"> </w:t>
      </w:r>
      <w:r>
        <w:t xml:space="preserve">and lists areas to address (security of systems and facilities, incident handling, business continuity management, monitoring/auditing/testing, compliance with standards, etc.).</w:t>
      </w:r>
    </w:p>
    <w:bookmarkEnd w:id="196"/>
    <w:bookmarkStart w:id="197" w:name="incident-notification-duty-act-11"/>
    <w:p>
      <w:pPr>
        <w:pStyle w:val="Heading2"/>
      </w:pPr>
      <w:r>
        <w:t xml:space="preserve">Incident notification duty (Act § 11)</w:t>
      </w:r>
    </w:p>
    <w:p>
      <w:pPr>
        <w:pStyle w:val="Compact"/>
        <w:numPr>
          <w:ilvl w:val="0"/>
          <w:numId w:val="1160"/>
        </w:numPr>
      </w:pPr>
      <w:r>
        <w:t xml:space="preserve">Providers of digital services must</w:t>
      </w:r>
      <w:r>
        <w:t xml:space="preserve"> </w:t>
      </w:r>
      <w:r>
        <w:rPr>
          <w:b/>
          <w:bCs/>
        </w:rPr>
        <w:t xml:space="preserve">notify</w:t>
      </w:r>
      <w:r>
        <w:t xml:space="preserve"> </w:t>
      </w:r>
      <w:r>
        <w:t xml:space="preserve">the supervisory authority</w:t>
      </w:r>
      <w:r>
        <w:t xml:space="preserve"> </w:t>
      </w:r>
      <w:r>
        <w:rPr>
          <w:b/>
          <w:bCs/>
        </w:rPr>
        <w:t xml:space="preserve">without undue delay</w:t>
      </w:r>
      <w:r>
        <w:t xml:space="preserve"> </w:t>
      </w:r>
      <w:r>
        <w:t xml:space="preserve">about incidents with</w:t>
      </w:r>
      <w:r>
        <w:t xml:space="preserve"> </w:t>
      </w:r>
      <w:r>
        <w:rPr>
          <w:b/>
          <w:bCs/>
        </w:rPr>
        <w:t xml:space="preserve">substantial impact</w:t>
      </w:r>
      <w:r>
        <w:t xml:space="preserve"> </w:t>
      </w:r>
      <w:r>
        <w:t xml:space="preserve">on provision of the service, and the section lists assessment factors (users affected, duration, geographic spread, extent of disruption, impact on economic and societal activities).</w:t>
      </w:r>
    </w:p>
    <w:bookmarkEnd w:id="197"/>
    <w:bookmarkStart w:id="198" w:name="X71d69d5a925cbe49c6c3cca70f27ccfa9f41f87"/>
    <w:p>
      <w:pPr>
        <w:pStyle w:val="Heading2"/>
      </w:pPr>
      <w:r>
        <w:t xml:space="preserve">F) Supervisory and enforcement elements (Act + Regulations)</w:t>
      </w:r>
    </w:p>
    <w:bookmarkEnd w:id="198"/>
    <w:bookmarkStart w:id="199" w:name="supervisory-authority-appointment-act-13"/>
    <w:p>
      <w:pPr>
        <w:pStyle w:val="Heading2"/>
      </w:pPr>
      <w:r>
        <w:t xml:space="preserve">Supervisory authority appointment (Act § 13)</w:t>
      </w:r>
    </w:p>
    <w:p>
      <w:pPr>
        <w:pStyle w:val="Compact"/>
        <w:numPr>
          <w:ilvl w:val="0"/>
          <w:numId w:val="1161"/>
        </w:numPr>
      </w:pPr>
      <w:r>
        <w:t xml:space="preserve">“The King appoints one or more supervisory authorities …”.</w:t>
      </w:r>
    </w:p>
    <w:bookmarkEnd w:id="199"/>
    <w:bookmarkStart w:id="200" w:name="information-access-inspections-act-14"/>
    <w:p>
      <w:pPr>
        <w:pStyle w:val="Heading2"/>
      </w:pPr>
      <w:r>
        <w:t xml:space="preserve">Information access / inspections (Act § 14)</w:t>
      </w:r>
    </w:p>
    <w:p>
      <w:pPr>
        <w:pStyle w:val="Compact"/>
        <w:numPr>
          <w:ilvl w:val="0"/>
          <w:numId w:val="1162"/>
        </w:numPr>
      </w:pPr>
      <w:r>
        <w:t xml:space="preserve">Providers must provide information required by the supervisory authority and provide access to premises and equipment; this applies “without hindrance of statutory confidentiality”.</w:t>
      </w:r>
    </w:p>
    <w:bookmarkEnd w:id="200"/>
    <w:bookmarkStart w:id="201" w:name="administrative-reactions-act-1517"/>
    <w:p>
      <w:pPr>
        <w:pStyle w:val="Heading2"/>
      </w:pPr>
      <w:r>
        <w:t xml:space="preserve">Administrative reactions (Act §§ 15–17)</w:t>
      </w:r>
    </w:p>
    <w:p>
      <w:pPr>
        <w:pStyle w:val="Compact"/>
        <w:numPr>
          <w:ilvl w:val="0"/>
          <w:numId w:val="1163"/>
        </w:numPr>
      </w:pPr>
      <w:r>
        <w:t xml:space="preserve">§ 15: corrective orders (“pålegg om retting”) with deadline.</w:t>
      </w:r>
    </w:p>
    <w:p>
      <w:pPr>
        <w:pStyle w:val="Compact"/>
        <w:numPr>
          <w:ilvl w:val="0"/>
          <w:numId w:val="1163"/>
        </w:numPr>
      </w:pPr>
      <w:r>
        <w:t xml:space="preserve">§ 16: coercive fine (“tvangsmulkt”).</w:t>
      </w:r>
    </w:p>
    <w:p>
      <w:pPr>
        <w:pStyle w:val="Compact"/>
        <w:numPr>
          <w:ilvl w:val="0"/>
          <w:numId w:val="1163"/>
        </w:numPr>
      </w:pPr>
      <w:r>
        <w:t xml:space="preserve">§ 17: violation fine (“overtredelsesgebyr”) for intentional/negligent breaches of §§ 7, 8, 10, 11 or 14.</w:t>
      </w:r>
    </w:p>
    <w:bookmarkEnd w:id="201"/>
    <w:bookmarkStart w:id="202" w:name="X8703298623b5d7840e46f079a5247eee49a150c"/>
    <w:p>
      <w:pPr>
        <w:pStyle w:val="Heading2"/>
      </w:pPr>
      <w:r>
        <w:t xml:space="preserve">Maximum violation fine level (Regulations § 24)</w:t>
      </w:r>
    </w:p>
    <w:p>
      <w:pPr>
        <w:pStyle w:val="Compact"/>
        <w:numPr>
          <w:ilvl w:val="0"/>
          <w:numId w:val="1164"/>
        </w:numPr>
      </w:pPr>
      <w:r>
        <w:t xml:space="preserve">Regulations § 24 describes violation fine upper limits and states: “In any case, the fine … may not exceed</w:t>
      </w:r>
      <w:r>
        <w:t xml:space="preserve"> </w:t>
      </w:r>
      <w:r>
        <w:rPr>
          <w:b/>
          <w:bCs/>
        </w:rPr>
        <w:t xml:space="preserve">NOK 50 million</w:t>
      </w:r>
      <w:r>
        <w:t xml:space="preserve">.”</w:t>
      </w:r>
    </w:p>
    <w:bookmarkEnd w:id="202"/>
    <w:bookmarkStart w:id="203" w:name="Xaeb1c27759f81e412644559a03f534a9537c1c3"/>
    <w:p>
      <w:pPr>
        <w:pStyle w:val="Heading2"/>
      </w:pPr>
      <w:r>
        <w:t xml:space="preserve">Designation / listing mechanisms (Regulations § 1 — sector enumerations)</w:t>
      </w:r>
    </w:p>
    <w:p>
      <w:pPr>
        <w:pStyle w:val="FirstParagraph"/>
      </w:pPr>
      <w:r>
        <w:t xml:space="preserve">The Regulations define “providers of essential services” (providers of socially important services) and list multiple categories. For the</w:t>
      </w:r>
      <w:r>
        <w:t xml:space="preserve"> </w:t>
      </w:r>
      <w:r>
        <w:rPr>
          <w:b/>
          <w:bCs/>
        </w:rPr>
        <w:t xml:space="preserve">health</w:t>
      </w:r>
      <w:r>
        <w:t xml:space="preserve"> </w:t>
      </w:r>
      <w:r>
        <w:t xml:space="preserve">sector, the list includes:</w:t>
      </w:r>
    </w:p>
    <w:p>
      <w:pPr>
        <w:pStyle w:val="Compact"/>
        <w:numPr>
          <w:ilvl w:val="0"/>
          <w:numId w:val="1165"/>
        </w:numPr>
      </w:pPr>
      <w:r>
        <w:rPr>
          <w:b/>
          <w:bCs/>
        </w:rPr>
        <w:t xml:space="preserve">Regional health enterprises</w:t>
      </w:r>
      <w:r>
        <w:t xml:space="preserve"> </w:t>
      </w:r>
      <w:r>
        <w:t xml:space="preserve">(regional helseforetak) and the</w:t>
      </w:r>
      <w:r>
        <w:t xml:space="preserve"> </w:t>
      </w:r>
      <w:r>
        <w:rPr>
          <w:b/>
          <w:bCs/>
        </w:rPr>
        <w:t xml:space="preserve">Norwegian Health Network</w:t>
      </w:r>
      <w:r>
        <w:t xml:space="preserve"> </w:t>
      </w:r>
      <w:r>
        <w:t xml:space="preserve">(Norsk Helsenett SF).</w:t>
      </w:r>
    </w:p>
    <w:p>
      <w:pPr>
        <w:pStyle w:val="Compact"/>
        <w:numPr>
          <w:ilvl w:val="0"/>
          <w:numId w:val="1165"/>
        </w:numPr>
      </w:pPr>
      <w:r>
        <w:t xml:space="preserve">Providers responsible for</w:t>
      </w:r>
      <w:r>
        <w:t xml:space="preserve"> </w:t>
      </w:r>
      <w:r>
        <w:rPr>
          <w:b/>
          <w:bCs/>
        </w:rPr>
        <w:t xml:space="preserve">pre-hospital emergency medical services</w:t>
      </w:r>
      <w:r>
        <w:t xml:space="preserve"> </w:t>
      </w:r>
      <w:r>
        <w:t xml:space="preserve">under the Health and Care Services Act § 3-2(1) and the Municipal Health and Care Services Act § 3-2a.</w:t>
      </w:r>
    </w:p>
    <w:p>
      <w:pPr>
        <w:pStyle w:val="Compact"/>
        <w:numPr>
          <w:ilvl w:val="0"/>
          <w:numId w:val="1165"/>
        </w:numPr>
      </w:pPr>
      <w:r>
        <w:t xml:space="preserve">Providers responsible for</w:t>
      </w:r>
      <w:r>
        <w:t xml:space="preserve"> </w:t>
      </w:r>
      <w:r>
        <w:rPr>
          <w:b/>
          <w:bCs/>
        </w:rPr>
        <w:t xml:space="preserve">specialist medical emergency response services</w:t>
      </w:r>
      <w:r>
        <w:t xml:space="preserve"> </w:t>
      </w:r>
      <w:r>
        <w:t xml:space="preserve">under the Specialist Health Services Act § 2-2.</w:t>
      </w:r>
    </w:p>
    <w:bookmarkEnd w:id="203"/>
    <w:bookmarkStart w:id="204" w:name="Xfafb149ca0c5f7f03cde80ac3b0c9c686099d5d"/>
    <w:p>
      <w:pPr>
        <w:pStyle w:val="Heading2"/>
      </w:pPr>
      <w:r>
        <w:t xml:space="preserve">Health-specific clauses / guidance covered (only what the PDFs state)</w:t>
      </w:r>
    </w:p>
    <w:bookmarkEnd w:id="204"/>
    <w:bookmarkStart w:id="205" w:name="X1aca8d78658f5f754ec590c972141dd6901ce3a"/>
    <w:p>
      <w:pPr>
        <w:pStyle w:val="Heading2"/>
      </w:pPr>
      <w:r>
        <w:t xml:space="preserve">1) Health sector is explicitly in the Act’s sector scope</w:t>
      </w:r>
    </w:p>
    <w:p>
      <w:pPr>
        <w:pStyle w:val="Compact"/>
        <w:numPr>
          <w:ilvl w:val="0"/>
          <w:numId w:val="1166"/>
        </w:numPr>
      </w:pPr>
      <w:r>
        <w:t xml:space="preserve">“Health” is explicitly listed among the sectors for providers under § 6.</w:t>
      </w:r>
    </w:p>
    <w:bookmarkEnd w:id="205"/>
    <w:bookmarkStart w:id="206" w:name="X635416b30f0c2be289c504fa74fc52237327058"/>
    <w:p>
      <w:pPr>
        <w:pStyle w:val="Heading2"/>
      </w:pPr>
      <w:r>
        <w:t xml:space="preserve">2) Health sector provider types are explicitly listed in the Regulations</w:t>
      </w:r>
    </w:p>
    <w:p>
      <w:pPr>
        <w:pStyle w:val="Compact"/>
        <w:numPr>
          <w:ilvl w:val="0"/>
          <w:numId w:val="1167"/>
        </w:numPr>
      </w:pPr>
      <w:r>
        <w:t xml:space="preserve">The Regulations enumerate specific health-sector organisations/services as providers of essential services (examples listed above).</w:t>
      </w:r>
    </w:p>
    <w:bookmarkEnd w:id="206"/>
    <w:bookmarkStart w:id="207" w:name="Xabfc8e7b7e179dea27183a54e018aaede8c8ea1"/>
    <w:p>
      <w:pPr>
        <w:pStyle w:val="Heading2"/>
      </w:pPr>
      <w:r>
        <w:t xml:space="preserve">3) Health Care Sector Code of Conduct (Version 7.0) — what the Code states</w:t>
      </w:r>
    </w:p>
    <w:bookmarkEnd w:id="207"/>
    <w:bookmarkStart w:id="208" w:name="version-metadata-applicability"/>
    <w:p>
      <w:pPr>
        <w:pStyle w:val="Heading2"/>
      </w:pPr>
      <w:r>
        <w:t xml:space="preserve">Version metadata / applicability</w:t>
      </w:r>
    </w:p>
    <w:p>
      <w:pPr>
        <w:pStyle w:val="Compact"/>
        <w:numPr>
          <w:ilvl w:val="0"/>
          <w:numId w:val="1168"/>
        </w:numPr>
      </w:pPr>
      <w:r>
        <w:t xml:space="preserve">The Code document states “Version 7.0” and “Applicable from 01/10/2025” (and includes approval/publishing metadata in the same section).</w:t>
      </w:r>
    </w:p>
    <w:bookmarkEnd w:id="208"/>
    <w:bookmarkStart w:id="209" w:name="X8d8535efc8c054c0876891511a4af855773a037"/>
    <w:p>
      <w:pPr>
        <w:pStyle w:val="Heading2"/>
      </w:pPr>
      <w:r>
        <w:t xml:space="preserve">Scope statement: “Who does the Code apply to” (section 1.3)</w:t>
      </w:r>
    </w:p>
    <w:p>
      <w:pPr>
        <w:pStyle w:val="Compact"/>
        <w:numPr>
          <w:ilvl w:val="0"/>
          <w:numId w:val="1169"/>
        </w:numPr>
      </w:pPr>
      <w:r>
        <w:t xml:space="preserve">The Code includes a dedicated section “1.3 Who does the Code apply to” describing the health and care sector scope in the document itself.</w:t>
      </w:r>
    </w:p>
    <w:bookmarkEnd w:id="209"/>
    <w:bookmarkStart w:id="210" w:name="relationship-to-legislation-section-1.4"/>
    <w:p>
      <w:pPr>
        <w:pStyle w:val="Heading2"/>
      </w:pPr>
      <w:r>
        <w:t xml:space="preserve">Relationship to legislation (section 1.4)</w:t>
      </w:r>
    </w:p>
    <w:p>
      <w:pPr>
        <w:pStyle w:val="Compact"/>
        <w:numPr>
          <w:ilvl w:val="0"/>
          <w:numId w:val="1170"/>
        </w:numPr>
      </w:pPr>
      <w:r>
        <w:t xml:space="preserve">The Code includes a section “1.4 Relationship between the Code and applicable legislation” that describes how the Code relates to legal requirements.</w:t>
      </w:r>
    </w:p>
    <w:bookmarkEnd w:id="210"/>
    <w:bookmarkStart w:id="211" w:name="minimum-requirement-themes-section-3.2"/>
    <w:p>
      <w:pPr>
        <w:pStyle w:val="Heading2"/>
      </w:pPr>
      <w:r>
        <w:t xml:space="preserve">Minimum requirement themes (section 3.2)</w:t>
      </w:r>
    </w:p>
    <w:p>
      <w:pPr>
        <w:pStyle w:val="Compact"/>
        <w:numPr>
          <w:ilvl w:val="0"/>
          <w:numId w:val="1171"/>
        </w:numPr>
      </w:pPr>
      <w:r>
        <w:t xml:space="preserve">The Code includes section “3.2 Minimum requirements for information security and data protection” that enumerates minimum requirements (including core security properties and related operational expectations) in the text.</w:t>
      </w:r>
    </w:p>
    <w:bookmarkEnd w:id="211"/>
    <w:bookmarkStart w:id="212" w:name="references-norway"/>
    <w:p>
      <w:pPr>
        <w:pStyle w:val="Heading2"/>
      </w:pPr>
      <w:r>
        <w:t xml:space="preserve">References (Norway)</w:t>
      </w:r>
    </w:p>
    <w:p>
      <w:pPr>
        <w:pStyle w:val="Compact"/>
        <w:numPr>
          <w:ilvl w:val="0"/>
          <w:numId w:val="1172"/>
        </w:numPr>
      </w:pPr>
      <w:r>
        <w:rPr>
          <w:b/>
          <w:bCs/>
        </w:rPr>
        <w:t xml:space="preserve">Stortinget / Lovdata.</w:t>
      </w:r>
      <w:r>
        <w:t xml:space="preserve"> </w:t>
      </w:r>
      <w:r>
        <w:rPr>
          <w:i/>
          <w:iCs/>
        </w:rPr>
        <w:t xml:space="preserve">Lov om digital sikkerhet (digitalsikkerhetsloven)</w:t>
      </w:r>
      <w:r>
        <w:t xml:space="preserve"> </w:t>
      </w:r>
      <w:r>
        <w:t xml:space="preserve">(2023-12-20-108). (</w:t>
      </w:r>
      <w:hyperlink r:id="rId48">
        <w:r>
          <w:rPr>
            <w:rStyle w:val="Hyperlink"/>
          </w:rPr>
          <w:t xml:space="preserve">Lovdata</w:t>
        </w:r>
      </w:hyperlink>
      <w:r>
        <w:t xml:space="preserve">)</w:t>
      </w:r>
    </w:p>
    <w:p>
      <w:pPr>
        <w:pStyle w:val="Compact"/>
        <w:numPr>
          <w:ilvl w:val="0"/>
          <w:numId w:val="1172"/>
        </w:numPr>
      </w:pPr>
      <w:r>
        <w:rPr>
          <w:b/>
          <w:bCs/>
        </w:rPr>
        <w:t xml:space="preserve">Lovdata.</w:t>
      </w:r>
      <w:r>
        <w:t xml:space="preserve"> </w:t>
      </w:r>
      <w:r>
        <w:rPr>
          <w:i/>
          <w:iCs/>
        </w:rPr>
        <w:t xml:space="preserve">Forskrift om digital sikkerhet (digitalsikkerhetsforskriften)</w:t>
      </w:r>
      <w:r>
        <w:t xml:space="preserve"> </w:t>
      </w:r>
      <w:r>
        <w:t xml:space="preserve">(FOR-2025-06-20-1131). (</w:t>
      </w:r>
      <w:hyperlink r:id="rId49">
        <w:r>
          <w:rPr>
            <w:rStyle w:val="Hyperlink"/>
          </w:rPr>
          <w:t xml:space="preserve">Lovdata</w:t>
        </w:r>
      </w:hyperlink>
      <w:r>
        <w:t xml:space="preserve">)</w:t>
      </w:r>
    </w:p>
    <w:p>
      <w:pPr>
        <w:pStyle w:val="Compact"/>
        <w:numPr>
          <w:ilvl w:val="0"/>
          <w:numId w:val="1172"/>
        </w:numPr>
      </w:pPr>
      <w:r>
        <w:rPr>
          <w:b/>
          <w:bCs/>
        </w:rPr>
        <w:t xml:space="preserve">Norwegian Directorate of Health (Helsedirektoratet).</w:t>
      </w:r>
      <w:r>
        <w:t xml:space="preserve"> </w:t>
      </w:r>
      <w:r>
        <w:rPr>
          <w:i/>
          <w:iCs/>
        </w:rPr>
        <w:t xml:space="preserve">Code of Conduct for Information Security and Data Protection in the Health Care Sector (Normen) — Version 7.0</w:t>
      </w:r>
      <w:r>
        <w:t xml:space="preserve">. (</w:t>
      </w:r>
      <w:hyperlink r:id="rId50">
        <w:r>
          <w:rPr>
            <w:rStyle w:val="Hyperlink"/>
          </w:rPr>
          <w:t xml:space="preserve">Link</w:t>
        </w:r>
      </w:hyperlink>
      <w:r>
        <w:t xml:space="preserve">)</w:t>
      </w:r>
    </w:p>
    <w:p>
      <w:pPr>
        <w:sectPr>
          <w:footerReference w:type="first" r:id="rId13"/>
          <w:footerReference w:type="default" r:id="rId11"/>
          <w:footerReference w:type="even" r:id="rId10"/>
          <w:type w:val="nextPage"/>
        </w:sectPr>
      </w:pPr>
    </w:p>
    <w:bookmarkEnd w:id="212"/>
    <w:bookmarkEnd w:id="213"/>
    <w:bookmarkStart w:id="225" w:name="switzerland"/>
    <w:p>
      <w:pPr>
        <w:pStyle w:val="Heading1"/>
      </w:pPr>
      <w:r>
        <w:t xml:space="preserve">SWITZERLAND</w:t>
      </w:r>
    </w:p>
    <w:bookmarkStart w:id="214" w:name="X820d4e58b77b9a20136d2a5ee4f3e84332ce1a9"/>
    <w:p>
      <w:pPr>
        <w:pStyle w:val="Heading2"/>
      </w:pPr>
      <w:r>
        <w:t xml:space="preserve">Final categories (what is “highest critical / protected”)</w:t>
      </w:r>
    </w:p>
    <w:p>
      <w:pPr>
        <w:pStyle w:val="Compact"/>
        <w:numPr>
          <w:ilvl w:val="0"/>
          <w:numId w:val="1173"/>
        </w:numPr>
      </w:pPr>
      <w:r>
        <w:rPr>
          <w:b/>
          <w:bCs/>
        </w:rPr>
        <w:t xml:space="preserve">Betreiberinnen von kritischen Infrastrukturen</w:t>
      </w:r>
      <w:r>
        <w:t xml:space="preserve"> </w:t>
      </w:r>
      <w:r>
        <w:t xml:space="preserve">(operators of critical infrastructures) subject to the</w:t>
      </w:r>
      <w:r>
        <w:t xml:space="preserve"> </w:t>
      </w:r>
      <w:r>
        <w:rPr>
          <w:b/>
          <w:bCs/>
        </w:rPr>
        <w:t xml:space="preserve">Pflicht zur Meldung von Cyberangriffen</w:t>
      </w:r>
      <w:r>
        <w:t xml:space="preserve"> </w:t>
      </w:r>
      <w:r>
        <w:t xml:space="preserve">(duty to report cyberattacks).</w:t>
      </w:r>
      <w:r>
        <w:t xml:space="preserve"> </w:t>
      </w:r>
      <w:r>
        <w:rPr>
          <w:b/>
          <w:bCs/>
        </w:rPr>
        <w:t xml:space="preserve">Primary basis:</w:t>
      </w:r>
      <w:r>
        <w:t xml:space="preserve"> </w:t>
      </w:r>
      <w:r>
        <w:rPr>
          <w:i/>
          <w:iCs/>
        </w:rPr>
        <w:t xml:space="preserve">Informationssicherheitsgesetz (ISG)</w:t>
      </w:r>
      <w:r>
        <w:t xml:space="preserve">,</w:t>
      </w:r>
      <w:r>
        <w:t xml:space="preserve"> </w:t>
      </w:r>
      <w:r>
        <w:rPr>
          <w:b/>
          <w:bCs/>
        </w:rPr>
        <w:t xml:space="preserve">Art. 74a–74i</w:t>
      </w:r>
      <w:r>
        <w:t xml:space="preserve">. (</w:t>
      </w:r>
      <w:hyperlink r:id="rId48">
        <w:r>
          <w:rPr>
            <w:rStyle w:val="Hyperlink"/>
          </w:rPr>
          <w:t xml:space="preserve">Newsd</w:t>
        </w:r>
      </w:hyperlink>
      <w:r>
        <w:t xml:space="preserve">)</w:t>
      </w:r>
    </w:p>
    <w:p>
      <w:pPr>
        <w:pStyle w:val="Compact"/>
        <w:numPr>
          <w:ilvl w:val="0"/>
          <w:numId w:val="1173"/>
        </w:numPr>
      </w:pPr>
      <w:r>
        <w:rPr>
          <w:b/>
          <w:bCs/>
        </w:rPr>
        <w:t xml:space="preserve">Meldepflicht (cyberattack reporting duty) implementing ordinance</w:t>
      </w:r>
      <w:r>
        <w:t xml:space="preserve">.</w:t>
      </w:r>
      <w:r>
        <w:t xml:space="preserve"> </w:t>
      </w:r>
      <w:r>
        <w:rPr>
          <w:b/>
          <w:bCs/>
        </w:rPr>
        <w:t xml:space="preserve">Primary basis:</w:t>
      </w:r>
      <w:r>
        <w:t xml:space="preserve"> </w:t>
      </w:r>
      <w:r>
        <w:rPr>
          <w:i/>
          <w:iCs/>
        </w:rPr>
        <w:t xml:space="preserve">Cybersicherheitsverordnung (CSV)</w:t>
      </w:r>
      <w:r>
        <w:t xml:space="preserve"> </w:t>
      </w:r>
      <w:r>
        <w:t xml:space="preserve">(ordinance), incl. </w:t>
      </w:r>
      <w:r>
        <w:rPr>
          <w:b/>
          <w:bCs/>
        </w:rPr>
        <w:t xml:space="preserve">Art. 12–19</w:t>
      </w:r>
      <w:r>
        <w:t xml:space="preserve">.</w:t>
      </w:r>
    </w:p>
    <w:bookmarkEnd w:id="214"/>
    <w:bookmarkStart w:id="215" w:name="X9192f1c0ddd3b9046118f428db01bbfbaa116ed"/>
    <w:p>
      <w:pPr>
        <w:pStyle w:val="Heading2"/>
      </w:pPr>
      <w:r>
        <w:t xml:space="preserve">Exact legal / regulatory criteria (what triggers inclusion)</w:t>
      </w:r>
    </w:p>
    <w:bookmarkEnd w:id="215"/>
    <w:bookmarkStart w:id="216" w:name="Xc5a673f4a3b1017bbed3ce808b0b51e34c36812"/>
    <w:p>
      <w:pPr>
        <w:pStyle w:val="Heading2"/>
      </w:pPr>
      <w:r>
        <w:t xml:space="preserve">Subsection A (The Definition): the specific text defining the scope</w:t>
      </w:r>
    </w:p>
    <w:p>
      <w:pPr>
        <w:pStyle w:val="FirstParagraph"/>
      </w:pPr>
      <w:r>
        <w:rPr>
          <w:b/>
          <w:bCs/>
        </w:rPr>
        <w:t xml:space="preserve">Scope by category (ISG Art. 74b “Bereiche – Die Meldepflicht gilt für”)</w:t>
      </w:r>
      <w:r>
        <w:t xml:space="preserve"> </w:t>
      </w:r>
      <w:r>
        <w:t xml:space="preserve">includes, among other sectors, the following health-relevant categories:</w:t>
      </w:r>
    </w:p>
    <w:p>
      <w:pPr>
        <w:pStyle w:val="Compact"/>
        <w:numPr>
          <w:ilvl w:val="0"/>
          <w:numId w:val="1174"/>
        </w:numPr>
      </w:pPr>
      <w:r>
        <w:rPr>
          <w:b/>
          <w:bCs/>
        </w:rPr>
        <w:t xml:space="preserve">“Spitäler, die auf der kantonalen Spitalliste … aufgeführt sind”</w:t>
      </w:r>
      <w:r>
        <w:t xml:space="preserve"> </w:t>
      </w:r>
      <w:r>
        <w:t xml:space="preserve">(hospitals listed on a canton’s hospital list). (</w:t>
      </w:r>
      <w:hyperlink r:id="rId48">
        <w:r>
          <w:rPr>
            <w:rStyle w:val="Hyperlink"/>
          </w:rPr>
          <w:t xml:space="preserve">Newsd</w:t>
        </w:r>
      </w:hyperlink>
      <w:r>
        <w:t xml:space="preserve">)</w:t>
      </w:r>
    </w:p>
    <w:p>
      <w:pPr>
        <w:pStyle w:val="Compact"/>
        <w:numPr>
          <w:ilvl w:val="0"/>
          <w:numId w:val="1174"/>
        </w:numPr>
      </w:pPr>
      <w:r>
        <w:rPr>
          <w:b/>
          <w:bCs/>
        </w:rPr>
        <w:t xml:space="preserve">“medizinische Laboratorien mit einer Bewilligung … des Epidemiengesetzes”</w:t>
      </w:r>
      <w:r>
        <w:t xml:space="preserve"> </w:t>
      </w:r>
      <w:r>
        <w:t xml:space="preserve">(medical laboratories with a permit under the Epidemics Act). (</w:t>
      </w:r>
      <w:hyperlink r:id="rId48">
        <w:r>
          <w:rPr>
            <w:rStyle w:val="Hyperlink"/>
          </w:rPr>
          <w:t xml:space="preserve">Newsd</w:t>
        </w:r>
      </w:hyperlink>
      <w:r>
        <w:t xml:space="preserve">)</w:t>
      </w:r>
    </w:p>
    <w:p>
      <w:pPr>
        <w:pStyle w:val="Compact"/>
        <w:numPr>
          <w:ilvl w:val="0"/>
          <w:numId w:val="1174"/>
        </w:numPr>
      </w:pPr>
      <w:r>
        <w:rPr>
          <w:b/>
          <w:bCs/>
        </w:rPr>
        <w:t xml:space="preserve">“Unternehmen … [mit Bewilligung] … von Arzneimitteln … oder Medizinprodukte … herstellen oder vertreiben”</w:t>
      </w:r>
      <w:r>
        <w:t xml:space="preserve"> </w:t>
      </w:r>
      <w:r>
        <w:t xml:space="preserve">(companies authorised for medicines, and companies that manufacture or distribute medical devices as specified). (</w:t>
      </w:r>
      <w:hyperlink r:id="rId48">
        <w:r>
          <w:rPr>
            <w:rStyle w:val="Hyperlink"/>
          </w:rPr>
          <w:t xml:space="preserve">Newsd</w:t>
        </w:r>
      </w:hyperlink>
      <w:r>
        <w:t xml:space="preserve">)</w:t>
      </w:r>
    </w:p>
    <w:p>
      <w:pPr>
        <w:pStyle w:val="FirstParagraph"/>
      </w:pPr>
      <w:r>
        <w:rPr>
          <w:b/>
          <w:bCs/>
        </w:rPr>
        <w:t xml:space="preserve">Exclusion mechanism (ISG Art. 74c):</w:t>
      </w:r>
      <w:r>
        <w:t xml:space="preserve"> </w:t>
      </w:r>
      <w:r>
        <w:t xml:space="preserve">the Federal Council must exclude categories where cyberattack-caused outages/malfunctions are</w:t>
      </w:r>
      <w:r>
        <w:t xml:space="preserve"> </w:t>
      </w:r>
      <w:r>
        <w:rPr>
          <w:b/>
          <w:bCs/>
        </w:rPr>
        <w:t xml:space="preserve">unlikely</w:t>
      </w:r>
      <w:r>
        <w:t xml:space="preserve"> </w:t>
      </w:r>
      <w:r>
        <w:t xml:space="preserve">(e.g., low IT dependence) or would have</w:t>
      </w:r>
      <w:r>
        <w:t xml:space="preserve"> </w:t>
      </w:r>
      <w:r>
        <w:rPr>
          <w:b/>
          <w:bCs/>
        </w:rPr>
        <w:t xml:space="preserve">only minor impacts</w:t>
      </w:r>
      <w:r>
        <w:t xml:space="preserve"> </w:t>
      </w:r>
      <w:r>
        <w:t xml:space="preserve">(e.g., few persons affected; absorbed by other critical infrastructures; low macroeconomic loss potential). (</w:t>
      </w:r>
      <w:hyperlink r:id="rId48">
        <w:r>
          <w:rPr>
            <w:rStyle w:val="Hyperlink"/>
          </w:rPr>
          <w:t xml:space="preserve">Newsd</w:t>
        </w:r>
      </w:hyperlink>
      <w:r>
        <w:t xml:space="preserve">)</w:t>
      </w:r>
    </w:p>
    <w:p>
      <w:pPr>
        <w:pStyle w:val="BodyText"/>
      </w:pPr>
      <w:r>
        <w:rPr>
          <w:b/>
          <w:bCs/>
        </w:rPr>
        <w:t xml:space="preserve">Ordinance-level exclusions (CSV Art. 12):</w:t>
      </w:r>
    </w:p>
    <w:p>
      <w:pPr>
        <w:pStyle w:val="Compact"/>
        <w:numPr>
          <w:ilvl w:val="0"/>
          <w:numId w:val="1175"/>
        </w:numPr>
      </w:pPr>
      <w:r>
        <w:t xml:space="preserve">CSV specifies sectoral exclusion conditions for listed categories (e.g., higher education; energy; transport; post; civil aviation etc.).</w:t>
      </w:r>
    </w:p>
    <w:bookmarkEnd w:id="216"/>
    <w:bookmarkStart w:id="217" w:name="Xf4406b4b753800526cb9c152f76dbf802bfccfc"/>
    <w:p>
      <w:pPr>
        <w:pStyle w:val="Heading2"/>
      </w:pPr>
      <w:r>
        <w:t xml:space="preserve">Subsection B (The Thresholds): quantitative or qualitative tests</w:t>
      </w:r>
    </w:p>
    <w:p>
      <w:pPr>
        <w:pStyle w:val="FirstParagraph"/>
      </w:pPr>
      <w:r>
        <w:rPr>
          <w:b/>
          <w:bCs/>
        </w:rPr>
        <w:t xml:space="preserve">Reportable cyberattack conditions (ISG Art. 74d):</w:t>
      </w:r>
      <w:r>
        <w:t xml:space="preserve"> </w:t>
      </w:r>
      <w:r>
        <w:t xml:space="preserve">a cyberattack on a critical infrastructure must be reported if there are indications that:</w:t>
      </w:r>
    </w:p>
    <w:p>
      <w:pPr>
        <w:numPr>
          <w:ilvl w:val="0"/>
          <w:numId w:val="1176"/>
        </w:numPr>
      </w:pPr>
      <w:r>
        <w:rPr>
          <w:b/>
          <w:bCs/>
        </w:rPr>
        <w:t xml:space="preserve">functionality is endangered</w:t>
      </w:r>
      <w:r>
        <w:t xml:space="preserve"> </w:t>
      </w:r>
      <w:r>
        <w:t xml:space="preserve">(of the affected CI or another CI), or</w:t>
      </w:r>
    </w:p>
    <w:p>
      <w:pPr>
        <w:numPr>
          <w:ilvl w:val="0"/>
          <w:numId w:val="1176"/>
        </w:numPr>
      </w:pPr>
      <w:r>
        <w:rPr>
          <w:b/>
          <w:bCs/>
        </w:rPr>
        <w:t xml:space="preserve">a foreign state</w:t>
      </w:r>
      <w:r>
        <w:t xml:space="preserve"> </w:t>
      </w:r>
      <w:r>
        <w:t xml:space="preserve">executed/caused it, or</w:t>
      </w:r>
    </w:p>
    <w:p>
      <w:pPr>
        <w:numPr>
          <w:ilvl w:val="0"/>
          <w:numId w:val="1176"/>
        </w:numPr>
      </w:pPr>
      <w:r>
        <w:t xml:space="preserve">it</w:t>
      </w:r>
      <w:r>
        <w:t xml:space="preserve"> </w:t>
      </w:r>
      <w:r>
        <w:rPr>
          <w:b/>
          <w:bCs/>
        </w:rPr>
        <w:t xml:space="preserve">led to or could lead to</w:t>
      </w:r>
      <w:r>
        <w:t xml:space="preserve"> </w:t>
      </w:r>
      <w:r>
        <w:rPr>
          <w:b/>
          <w:bCs/>
        </w:rPr>
        <w:t xml:space="preserve">manipulation / outflow of information</w:t>
      </w:r>
      <w:r>
        <w:t xml:space="preserve">, or</w:t>
      </w:r>
    </w:p>
    <w:p>
      <w:pPr>
        <w:numPr>
          <w:ilvl w:val="0"/>
          <w:numId w:val="1176"/>
        </w:numPr>
      </w:pPr>
      <w:r>
        <w:t xml:space="preserve">it remained</w:t>
      </w:r>
      <w:r>
        <w:t xml:space="preserve"> </w:t>
      </w:r>
      <w:r>
        <w:rPr>
          <w:b/>
          <w:bCs/>
        </w:rPr>
        <w:t xml:space="preserve">undetected for more than 30 days</w:t>
      </w:r>
      <w:r>
        <w:t xml:space="preserve">;</w:t>
      </w:r>
    </w:p>
    <w:p>
      <w:pPr>
        <w:numPr>
          <w:ilvl w:val="0"/>
          <w:numId w:val="1000"/>
        </w:numPr>
      </w:pPr>
      <w:r>
        <w:t xml:space="preserve">and it</w:t>
      </w:r>
      <w:r>
        <w:t xml:space="preserve"> </w:t>
      </w:r>
      <w:r>
        <w:rPr>
          <w:b/>
          <w:bCs/>
        </w:rPr>
        <w:t xml:space="preserve">must always</w:t>
      </w:r>
      <w:r>
        <w:t xml:space="preserve"> </w:t>
      </w:r>
      <w:r>
        <w:t xml:space="preserve">be reported if linked to</w:t>
      </w:r>
      <w:r>
        <w:t xml:space="preserve"> </w:t>
      </w:r>
      <w:r>
        <w:rPr>
          <w:b/>
          <w:bCs/>
        </w:rPr>
        <w:t xml:space="preserve">extortion, threat, or coercion</w:t>
      </w:r>
      <w:r>
        <w:t xml:space="preserve"> </w:t>
      </w:r>
      <w:r>
        <w:t xml:space="preserve">against the operator or its employees. (</w:t>
      </w:r>
      <w:hyperlink r:id="rId48">
        <w:r>
          <w:rPr>
            <w:rStyle w:val="Hyperlink"/>
          </w:rPr>
          <w:t xml:space="preserve">Newsd</w:t>
        </w:r>
      </w:hyperlink>
      <w:r>
        <w:t xml:space="preserve">)</w:t>
      </w:r>
      <w:r>
        <w:t xml:space="preserve"> </w:t>
      </w:r>
      <w:r>
        <w:rPr>
          <w:b/>
          <w:bCs/>
        </w:rPr>
        <w:t xml:space="preserve">Ordinance definitions used for applying these tests (CSV Art. 14):</w:t>
      </w:r>
    </w:p>
    <w:p>
      <w:pPr>
        <w:numPr>
          <w:ilvl w:val="0"/>
          <w:numId w:val="1176"/>
        </w:numPr>
      </w:pPr>
      <w:r>
        <w:t xml:space="preserve">Functionality “endangered” if</w:t>
      </w:r>
      <w:r>
        <w:t xml:space="preserve"> </w:t>
      </w:r>
      <w:r>
        <w:rPr>
          <w:b/>
          <w:bCs/>
        </w:rPr>
        <w:t xml:space="preserve">employees/third parties are affected by system interruptions</w:t>
      </w:r>
      <w:r>
        <w:t xml:space="preserve"> </w:t>
      </w:r>
      <w:r>
        <w:t xml:space="preserve">or operations can be maintained</w:t>
      </w:r>
      <w:r>
        <w:t xml:space="preserve"> </w:t>
      </w:r>
      <w:r>
        <w:rPr>
          <w:b/>
          <w:bCs/>
        </w:rPr>
        <w:t xml:space="preserve">only using emergency plans</w:t>
      </w:r>
      <w:r>
        <w:t xml:space="preserve">.</w:t>
      </w:r>
    </w:p>
    <w:p>
      <w:pPr>
        <w:numPr>
          <w:ilvl w:val="0"/>
          <w:numId w:val="1176"/>
        </w:numPr>
      </w:pPr>
      <w:r>
        <w:t xml:space="preserve">“Manipulation / outflow” exists if</w:t>
      </w:r>
      <w:r>
        <w:t xml:space="preserve"> </w:t>
      </w:r>
      <w:r>
        <w:rPr>
          <w:b/>
          <w:bCs/>
        </w:rPr>
        <w:t xml:space="preserve">business-relevant information</w:t>
      </w:r>
      <w:r>
        <w:t xml:space="preserve"> </w:t>
      </w:r>
      <w:r>
        <w:t xml:space="preserve">is viewed/changed/disclosed by unauthorized persons, or a</w:t>
      </w:r>
      <w:r>
        <w:t xml:space="preserve"> </w:t>
      </w:r>
      <w:r>
        <w:rPr>
          <w:b/>
          <w:bCs/>
        </w:rPr>
        <w:t xml:space="preserve">data security breach notification under DSG Art. 24</w:t>
      </w:r>
      <w:r>
        <w:t xml:space="preserve"> </w:t>
      </w:r>
      <w:r>
        <w:t xml:space="preserve">has been made.</w:t>
      </w:r>
    </w:p>
    <w:p>
      <w:pPr>
        <w:numPr>
          <w:ilvl w:val="0"/>
          <w:numId w:val="1176"/>
        </w:numPr>
      </w:pPr>
      <w:r>
        <w:t xml:space="preserve">“Undetected for a longer period” is defined as</w:t>
      </w:r>
      <w:r>
        <w:t xml:space="preserve"> </w:t>
      </w:r>
      <w:r>
        <w:rPr>
          <w:b/>
          <w:bCs/>
        </w:rPr>
        <w:t xml:space="preserve">more than 90 days</w:t>
      </w:r>
      <w:r>
        <w:t xml:space="preserve"> </w:t>
      </w:r>
      <w:r>
        <w:t xml:space="preserve">since the incident.</w:t>
      </w:r>
    </w:p>
    <w:p>
      <w:pPr>
        <w:numPr>
          <w:ilvl w:val="0"/>
          <w:numId w:val="1176"/>
        </w:numPr>
      </w:pPr>
      <w:r>
        <w:t xml:space="preserve">“Extortion/threat/coercion” link is defined by CSV.</w:t>
      </w:r>
    </w:p>
    <w:bookmarkEnd w:id="217"/>
    <w:bookmarkStart w:id="218" w:name="grading-tiering-scheme-4"/>
    <w:p>
      <w:pPr>
        <w:pStyle w:val="Heading2"/>
      </w:pPr>
      <w:r>
        <w:t xml:space="preserve">Grading / tiering scheme</w:t>
      </w:r>
    </w:p>
    <w:p>
      <w:pPr>
        <w:pStyle w:val="Compact"/>
        <w:numPr>
          <w:ilvl w:val="0"/>
          <w:numId w:val="1177"/>
        </w:numPr>
      </w:pPr>
      <w:r>
        <w:rPr>
          <w:b/>
          <w:bCs/>
        </w:rPr>
        <w:t xml:space="preserve">Binary scheme (in-scope vs out-of-scope)</w:t>
      </w:r>
      <w:r>
        <w:t xml:space="preserve">: the reporting duty applies if the entity falls within</w:t>
      </w:r>
      <w:r>
        <w:t xml:space="preserve"> </w:t>
      </w:r>
      <w:r>
        <w:rPr>
          <w:b/>
          <w:bCs/>
        </w:rPr>
        <w:t xml:space="preserve">ISG Art. 74b</w:t>
      </w:r>
      <w:r>
        <w:t xml:space="preserve"> </w:t>
      </w:r>
      <w:r>
        <w:t xml:space="preserve">and is not excluded under</w:t>
      </w:r>
      <w:r>
        <w:t xml:space="preserve"> </w:t>
      </w:r>
      <w:r>
        <w:rPr>
          <w:b/>
          <w:bCs/>
        </w:rPr>
        <w:t xml:space="preserve">ISG Art. 74c / CSV Art. 12</w:t>
      </w:r>
      <w:r>
        <w:t xml:space="preserve">. (</w:t>
      </w:r>
      <w:hyperlink r:id="rId48">
        <w:r>
          <w:rPr>
            <w:rStyle w:val="Hyperlink"/>
          </w:rPr>
          <w:t xml:space="preserve">Newsd</w:t>
        </w:r>
      </w:hyperlink>
      <w:r>
        <w:t xml:space="preserve">)</w:t>
      </w:r>
    </w:p>
    <w:bookmarkEnd w:id="218"/>
    <w:bookmarkStart w:id="219" w:name="X84ee95802e3b7bb50ace8ce2b823cf3c9981ece"/>
    <w:p>
      <w:pPr>
        <w:pStyle w:val="Heading2"/>
      </w:pPr>
      <w:r>
        <w:t xml:space="preserve">Incident reporting tests and thresholds</w:t>
      </w:r>
    </w:p>
    <w:p>
      <w:pPr>
        <w:pStyle w:val="FirstParagraph"/>
      </w:pPr>
      <w:r>
        <w:rPr>
          <w:b/>
          <w:bCs/>
        </w:rPr>
        <w:t xml:space="preserve">Deadlines (primary text):</w:t>
      </w:r>
    </w:p>
    <w:p>
      <w:pPr>
        <w:pStyle w:val="Compact"/>
        <w:numPr>
          <w:ilvl w:val="0"/>
          <w:numId w:val="1178"/>
        </w:numPr>
      </w:pPr>
      <w:r>
        <w:rPr>
          <w:b/>
          <w:bCs/>
        </w:rPr>
        <w:t xml:space="preserve">24-hour reporting period:</w:t>
      </w:r>
      <w:r>
        <w:t xml:space="preserve"> </w:t>
      </w:r>
      <w:r>
        <w:t xml:space="preserve">CSV refers to a</w:t>
      </w:r>
      <w:r>
        <w:t xml:space="preserve"> </w:t>
      </w:r>
      <w:r>
        <w:rPr>
          <w:b/>
          <w:bCs/>
        </w:rPr>
        <w:t xml:space="preserve">“Meldefrist von 24 Stunden nach der Entdeckung des Cyberangriffs”</w:t>
      </w:r>
      <w:r>
        <w:t xml:space="preserve"> </w:t>
      </w:r>
      <w:r>
        <w:t xml:space="preserve">(reporting period of 24 hours after discovery).</w:t>
      </w:r>
    </w:p>
    <w:p>
      <w:pPr>
        <w:pStyle w:val="Compact"/>
        <w:numPr>
          <w:ilvl w:val="0"/>
          <w:numId w:val="1178"/>
        </w:numPr>
      </w:pPr>
      <w:r>
        <w:rPr>
          <w:b/>
          <w:bCs/>
        </w:rPr>
        <w:t xml:space="preserve">Completion window (if information is missing):</w:t>
      </w:r>
      <w:r>
        <w:t xml:space="preserve"> </w:t>
      </w:r>
      <w:r>
        <w:t xml:space="preserve">if not all required information is known within the 24-hour period, BACS grants</w:t>
      </w:r>
      <w:r>
        <w:t xml:space="preserve"> </w:t>
      </w:r>
      <w:r>
        <w:rPr>
          <w:b/>
          <w:bCs/>
        </w:rPr>
        <w:t xml:space="preserve">14 days</w:t>
      </w:r>
      <w:r>
        <w:t xml:space="preserve"> </w:t>
      </w:r>
      <w:r>
        <w:t xml:space="preserve">to supplement the report.</w:t>
      </w:r>
    </w:p>
    <w:p>
      <w:pPr>
        <w:pStyle w:val="FirstParagraph"/>
      </w:pPr>
      <w:r>
        <w:rPr>
          <w:b/>
          <w:bCs/>
        </w:rPr>
        <w:t xml:space="preserve">Triggers (primary text):</w:t>
      </w:r>
    </w:p>
    <w:p>
      <w:pPr>
        <w:pStyle w:val="Compact"/>
        <w:numPr>
          <w:ilvl w:val="0"/>
          <w:numId w:val="1179"/>
        </w:numPr>
      </w:pPr>
      <w:r>
        <w:rPr>
          <w:b/>
          <w:bCs/>
        </w:rPr>
        <w:t xml:space="preserve">ISG Art. 74d</w:t>
      </w:r>
      <w:r>
        <w:t xml:space="preserve"> </w:t>
      </w:r>
      <w:r>
        <w:t xml:space="preserve">conditions (functionality endangered; foreign state; manipulation/outflow; undetected &gt;30 days; always if extortion/threat/coercion). (</w:t>
      </w:r>
      <w:hyperlink r:id="rId48">
        <w:r>
          <w:rPr>
            <w:rStyle w:val="Hyperlink"/>
          </w:rPr>
          <w:t xml:space="preserve">Newsd</w:t>
        </w:r>
      </w:hyperlink>
      <w:r>
        <w:t xml:space="preserve">)</w:t>
      </w:r>
    </w:p>
    <w:p>
      <w:pPr>
        <w:pStyle w:val="Compact"/>
        <w:numPr>
          <w:ilvl w:val="0"/>
          <w:numId w:val="1179"/>
        </w:numPr>
      </w:pPr>
      <w:r>
        <w:rPr>
          <w:b/>
          <w:bCs/>
        </w:rPr>
        <w:t xml:space="preserve">CSV Art. 14</w:t>
      </w:r>
      <w:r>
        <w:t xml:space="preserve"> </w:t>
      </w:r>
      <w:r>
        <w:t xml:space="preserve">definitions for applying “functionality endangered”, “manipulation/outflow”, “undetected”, and “extortion/threat/coercion”.</w:t>
      </w:r>
    </w:p>
    <w:bookmarkEnd w:id="219"/>
    <w:bookmarkStart w:id="220" w:name="X37af2cb95591fbac49055e47026741fd9e5b364"/>
    <w:p>
      <w:pPr>
        <w:pStyle w:val="Heading2"/>
      </w:pPr>
      <w:r>
        <w:t xml:space="preserve">Health information systems “most likely” designated</w:t>
      </w:r>
    </w:p>
    <w:bookmarkEnd w:id="220"/>
    <w:bookmarkStart w:id="221" w:name="explicit-in-law"/>
    <w:p>
      <w:pPr>
        <w:pStyle w:val="Heading2"/>
      </w:pPr>
      <w:r>
        <w:t xml:space="preserve">Explicit in law</w:t>
      </w:r>
    </w:p>
    <w:p>
      <w:pPr>
        <w:pStyle w:val="Compact"/>
        <w:numPr>
          <w:ilvl w:val="0"/>
          <w:numId w:val="1180"/>
        </w:numPr>
      </w:pPr>
      <w:r>
        <w:t xml:space="preserve">The primary instruments define</w:t>
      </w:r>
      <w:r>
        <w:t xml:space="preserve"> </w:t>
      </w:r>
      <w:r>
        <w:rPr>
          <w:b/>
          <w:bCs/>
        </w:rPr>
        <w:t xml:space="preserve">entity categories</w:t>
      </w:r>
      <w:r>
        <w:t xml:space="preserve"> </w:t>
      </w:r>
      <w:r>
        <w:t xml:space="preserve">(e.g., hospitals on cantonal hospital lists; permitted medical laboratories; authorised medicines/medical-device businesses). They do</w:t>
      </w:r>
      <w:r>
        <w:t xml:space="preserve"> </w:t>
      </w:r>
      <w:r>
        <w:rPr>
          <w:b/>
          <w:bCs/>
        </w:rPr>
        <w:t xml:space="preserve">not</w:t>
      </w:r>
      <w:r>
        <w:t xml:space="preserve"> </w:t>
      </w:r>
      <w:r>
        <w:t xml:space="preserve">list specific health</w:t>
      </w:r>
      <w:r>
        <w:t xml:space="preserve"> </w:t>
      </w:r>
      <w:r>
        <w:rPr>
          <w:b/>
          <w:bCs/>
        </w:rPr>
        <w:t xml:space="preserve">information system types</w:t>
      </w:r>
      <w:r>
        <w:t xml:space="preserve"> </w:t>
      </w:r>
      <w:r>
        <w:t xml:space="preserve">(e.g., EHR, PACS) as named items. (</w:t>
      </w:r>
      <w:hyperlink r:id="rId48">
        <w:r>
          <w:rPr>
            <w:rStyle w:val="Hyperlink"/>
          </w:rPr>
          <w:t xml:space="preserve">Newsd</w:t>
        </w:r>
      </w:hyperlink>
      <w:r>
        <w:t xml:space="preserve">)</w:t>
      </w:r>
    </w:p>
    <w:bookmarkEnd w:id="221"/>
    <w:bookmarkStart w:id="222" w:name="public-vs-confidential-5"/>
    <w:p>
      <w:pPr>
        <w:pStyle w:val="Heading2"/>
      </w:pPr>
      <w:r>
        <w:t xml:space="preserve">Public vs Confidential</w:t>
      </w:r>
    </w:p>
    <w:p>
      <w:pPr>
        <w:pStyle w:val="Compact"/>
        <w:numPr>
          <w:ilvl w:val="0"/>
          <w:numId w:val="1181"/>
        </w:numPr>
      </w:pPr>
      <w:r>
        <w:rPr>
          <w:b/>
          <w:bCs/>
        </w:rPr>
        <w:t xml:space="preserve">Public:</w:t>
      </w:r>
      <w:r>
        <w:t xml:space="preserve"> </w:t>
      </w:r>
      <w:r>
        <w:t xml:space="preserve">ISG and CSV texts (scope categories; exclusions; reportable-incident tests; deadlines; ordinance entry-into-force). (</w:t>
      </w:r>
      <w:hyperlink r:id="rId48">
        <w:r>
          <w:rPr>
            <w:rStyle w:val="Hyperlink"/>
          </w:rPr>
          <w:t xml:space="preserve">Newsd</w:t>
        </w:r>
      </w:hyperlink>
      <w:r>
        <w:t xml:space="preserve">)</w:t>
      </w:r>
    </w:p>
    <w:p>
      <w:pPr>
        <w:pStyle w:val="Compact"/>
        <w:numPr>
          <w:ilvl w:val="0"/>
          <w:numId w:val="1181"/>
        </w:numPr>
      </w:pPr>
      <w:r>
        <w:rPr>
          <w:b/>
          <w:bCs/>
        </w:rPr>
        <w:t xml:space="preserve">Confidential / not in these primary texts:</w:t>
      </w:r>
      <w:r>
        <w:t xml:space="preserve"> </w:t>
      </w:r>
      <w:r>
        <w:t xml:space="preserve">no consolidated list of specific obligated entities is provided in ISG/CSV; certain categories reference external legal lists/permits (e.g., “kantonale Spitalliste”; Epidemics Act permits). (</w:t>
      </w:r>
      <w:hyperlink r:id="rId48">
        <w:r>
          <w:rPr>
            <w:rStyle w:val="Hyperlink"/>
          </w:rPr>
          <w:t xml:space="preserve">Newsd</w:t>
        </w:r>
      </w:hyperlink>
      <w:r>
        <w:t xml:space="preserve">)</w:t>
      </w:r>
    </w:p>
    <w:bookmarkEnd w:id="222"/>
    <w:bookmarkStart w:id="223" w:name="latest-updates-20252026-1"/>
    <w:p>
      <w:pPr>
        <w:pStyle w:val="Heading2"/>
      </w:pPr>
      <w:r>
        <w:t xml:space="preserve">Latest updates (2025–2026)</w:t>
      </w:r>
    </w:p>
    <w:p>
      <w:pPr>
        <w:pStyle w:val="Compact"/>
        <w:numPr>
          <w:ilvl w:val="0"/>
          <w:numId w:val="1182"/>
        </w:numPr>
      </w:pPr>
      <w:r>
        <w:rPr>
          <w:b/>
          <w:bCs/>
        </w:rPr>
        <w:t xml:space="preserve">CSV entry into force:</w:t>
      </w:r>
      <w:r>
        <w:t xml:space="preserve"> </w:t>
      </w:r>
      <w:r>
        <w:t xml:space="preserve">“Diese Verordnung tritt am</w:t>
      </w:r>
      <w:r>
        <w:t xml:space="preserve"> </w:t>
      </w:r>
      <w:r>
        <w:rPr>
          <w:b/>
          <w:bCs/>
        </w:rPr>
        <w:t xml:space="preserve">1. April 2025</w:t>
      </w:r>
      <w:r>
        <w:t xml:space="preserve"> </w:t>
      </w:r>
      <w:r>
        <w:t xml:space="preserve">in Kraft.” (CSV Art. 19).</w:t>
      </w:r>
    </w:p>
    <w:p>
      <w:pPr>
        <w:pStyle w:val="Compact"/>
        <w:numPr>
          <w:ilvl w:val="0"/>
          <w:numId w:val="1182"/>
        </w:numPr>
      </w:pPr>
      <w:r>
        <w:rPr>
          <w:b/>
          <w:bCs/>
        </w:rPr>
        <w:t xml:space="preserve">No additional 2025–2026 amendments</w:t>
      </w:r>
      <w:r>
        <w:t xml:space="preserve"> </w:t>
      </w:r>
      <w:r>
        <w:t xml:space="preserve">are stated in the accessed primary texts beyond the above entry-into-force provision.</w:t>
      </w:r>
    </w:p>
    <w:bookmarkEnd w:id="223"/>
    <w:bookmarkStart w:id="224" w:name="references-switzerland"/>
    <w:p>
      <w:pPr>
        <w:pStyle w:val="Heading2"/>
      </w:pPr>
      <w:r>
        <w:t xml:space="preserve">References (Switzerland)</w:t>
      </w:r>
    </w:p>
    <w:p>
      <w:pPr>
        <w:pStyle w:val="Compact"/>
        <w:numPr>
          <w:ilvl w:val="0"/>
          <w:numId w:val="1183"/>
        </w:numPr>
      </w:pPr>
      <w:r>
        <w:rPr>
          <w:b/>
          <w:bCs/>
        </w:rPr>
        <w:t xml:space="preserve">Federal Council (Bund).</w:t>
      </w:r>
      <w:r>
        <w:t xml:space="preserve"> </w:t>
      </w:r>
      <w:r>
        <w:rPr>
          <w:i/>
          <w:iCs/>
        </w:rPr>
        <w:t xml:space="preserve">Informationssicherheitsgesetz (ISG)</w:t>
      </w:r>
      <w:r>
        <w:t xml:space="preserve">. (</w:t>
      </w:r>
      <w:hyperlink r:id="rId48">
        <w:r>
          <w:rPr>
            <w:rStyle w:val="Hyperlink"/>
          </w:rPr>
          <w:t xml:space="preserve">pdf</w:t>
        </w:r>
      </w:hyperlink>
      <w:r>
        <w:t xml:space="preserve">)</w:t>
      </w:r>
    </w:p>
    <w:p>
      <w:pPr>
        <w:pStyle w:val="Compact"/>
        <w:numPr>
          <w:ilvl w:val="0"/>
          <w:numId w:val="1183"/>
        </w:numPr>
      </w:pPr>
      <w:r>
        <w:rPr>
          <w:b/>
          <w:bCs/>
        </w:rPr>
        <w:t xml:space="preserve">Federal Council (Bund).</w:t>
      </w:r>
      <w:r>
        <w:t xml:space="preserve"> </w:t>
      </w:r>
      <w:r>
        <w:rPr>
          <w:i/>
          <w:iCs/>
        </w:rPr>
        <w:t xml:space="preserve">Cybersicherheitsverordnung (CSV)</w:t>
      </w:r>
      <w:r>
        <w:t xml:space="preserve">. (</w:t>
      </w:r>
      <w:hyperlink r:id="rId49">
        <w:r>
          <w:rPr>
            <w:rStyle w:val="Hyperlink"/>
          </w:rPr>
          <w:t xml:space="preserve">Fedlex</w:t>
        </w:r>
      </w:hyperlink>
      <w:r>
        <w:t xml:space="preserve">)</w:t>
      </w:r>
    </w:p>
    <w:p>
      <w:pPr>
        <w:sectPr>
          <w:footerReference w:type="first" r:id="rId13"/>
          <w:footerReference w:type="default" r:id="rId11"/>
          <w:footerReference w:type="even" r:id="rId10"/>
          <w:type w:val="nextPage"/>
        </w:sectPr>
      </w:pPr>
    </w:p>
    <w:bookmarkEnd w:id="224"/>
    <w:bookmarkEnd w:id="225"/>
    <w:bookmarkStart w:id="238" w:name="taiwan"/>
    <w:p>
      <w:pPr>
        <w:pStyle w:val="Heading1"/>
      </w:pPr>
      <w:r>
        <w:t xml:space="preserve">TAIWAN</w:t>
      </w:r>
    </w:p>
    <w:bookmarkStart w:id="226" w:name="Xd6f37437305552367f46666da8d137e6ed65d6d"/>
    <w:p>
      <w:pPr>
        <w:pStyle w:val="Heading2"/>
      </w:pPr>
      <w:r>
        <w:t xml:space="preserve">Final categories (what is “highest critical / protected”)</w:t>
      </w:r>
    </w:p>
    <w:p>
      <w:pPr>
        <w:numPr>
          <w:ilvl w:val="0"/>
          <w:numId w:val="1184"/>
        </w:numPr>
      </w:pPr>
      <w:r>
        <w:rPr>
          <w:b/>
          <w:bCs/>
        </w:rPr>
        <w:t xml:space="preserve">Critical infrastructure providers</w:t>
      </w:r>
    </w:p>
    <w:p>
      <w:pPr>
        <w:numPr>
          <w:ilvl w:val="0"/>
          <w:numId w:val="1000"/>
        </w:numPr>
      </w:pPr>
      <w:r>
        <w:rPr>
          <w:b/>
          <w:bCs/>
        </w:rPr>
        <w:t xml:space="preserve">Primary basis:</w:t>
      </w:r>
      <w:r>
        <w:t xml:space="preserve"> </w:t>
      </w:r>
      <w:r>
        <w:rPr>
          <w:b/>
          <w:bCs/>
        </w:rPr>
        <w:t xml:space="preserve">Cyber Security Management Act (CSMA)</w:t>
      </w:r>
      <w:r>
        <w:t xml:space="preserve"> </w:t>
      </w:r>
      <w:r>
        <w:t xml:space="preserve">— Chapter III,</w:t>
      </w:r>
      <w:r>
        <w:t xml:space="preserve"> </w:t>
      </w:r>
      <w:r>
        <w:rPr>
          <w:b/>
          <w:bCs/>
        </w:rPr>
        <w:t xml:space="preserve">Article 20</w:t>
      </w:r>
      <w:r>
        <w:t xml:space="preserve"> </w:t>
      </w:r>
      <w:r>
        <w:t xml:space="preserve">(designation + obligations for “critical infrastructure providers”). (</w:t>
      </w:r>
      <w:hyperlink r:id="rId48">
        <w:r>
          <w:rPr>
            <w:rStyle w:val="Hyperlink"/>
          </w:rPr>
          <w:t xml:space="preserve">Law Moda</w:t>
        </w:r>
      </w:hyperlink>
      <w:r>
        <w:t xml:space="preserve">)</w:t>
      </w:r>
    </w:p>
    <w:p>
      <w:pPr>
        <w:numPr>
          <w:ilvl w:val="0"/>
          <w:numId w:val="1184"/>
        </w:numPr>
      </w:pPr>
      <w:r>
        <w:rPr>
          <w:b/>
          <w:bCs/>
        </w:rPr>
        <w:t xml:space="preserve">Specific non-government agencies</w:t>
      </w:r>
      <w:r>
        <w:t xml:space="preserve"> </w:t>
      </w:r>
      <w:r>
        <w:t xml:space="preserve">(regulated non-government entities, including CI providers and others covered by the Act)</w:t>
      </w:r>
    </w:p>
    <w:p>
      <w:pPr>
        <w:numPr>
          <w:ilvl w:val="0"/>
          <w:numId w:val="1000"/>
        </w:numPr>
      </w:pPr>
      <w:r>
        <w:rPr>
          <w:b/>
          <w:bCs/>
        </w:rPr>
        <w:t xml:space="preserve">Primary basis:</w:t>
      </w:r>
      <w:r>
        <w:t xml:space="preserve"> </w:t>
      </w:r>
      <w:r>
        <w:rPr>
          <w:b/>
          <w:bCs/>
        </w:rPr>
        <w:t xml:space="preserve">CSMA</w:t>
      </w:r>
      <w:r>
        <w:t xml:space="preserve"> </w:t>
      </w:r>
      <w:r>
        <w:t xml:space="preserve">— Chapter III (e.g.,</w:t>
      </w:r>
      <w:r>
        <w:t xml:space="preserve"> </w:t>
      </w:r>
      <w:r>
        <w:rPr>
          <w:b/>
          <w:bCs/>
        </w:rPr>
        <w:t xml:space="preserve">Articles 21–24</w:t>
      </w:r>
      <w:r>
        <w:t xml:space="preserve"> </w:t>
      </w:r>
      <w:r>
        <w:t xml:space="preserve">set obligations for “specific non-government agencies,” including incident notification/reporting mechanisms). (</w:t>
      </w:r>
      <w:hyperlink r:id="rId48">
        <w:r>
          <w:rPr>
            <w:rStyle w:val="Hyperlink"/>
          </w:rPr>
          <w:t xml:space="preserve">Law Moda</w:t>
        </w:r>
      </w:hyperlink>
      <w:r>
        <w:t xml:space="preserve">)</w:t>
      </w:r>
    </w:p>
    <w:p>
      <w:pPr>
        <w:numPr>
          <w:ilvl w:val="0"/>
          <w:numId w:val="1184"/>
        </w:numPr>
      </w:pPr>
      <w:r>
        <w:rPr>
          <w:b/>
          <w:bCs/>
        </w:rPr>
        <w:t xml:space="preserve">Critical Information Infrastructure (CII)</w:t>
      </w:r>
      <w:r>
        <w:t xml:space="preserve"> </w:t>
      </w:r>
      <w:r>
        <w:t xml:space="preserve">(defined within Taiwan’s national CI protection guidance)</w:t>
      </w:r>
    </w:p>
    <w:p>
      <w:pPr>
        <w:numPr>
          <w:ilvl w:val="0"/>
          <w:numId w:val="1000"/>
        </w:numPr>
      </w:pPr>
      <w:r>
        <w:rPr>
          <w:b/>
          <w:bCs/>
        </w:rPr>
        <w:t xml:space="preserve">Primary basis:</w:t>
      </w:r>
      <w:r>
        <w:t xml:space="preserve"> </w:t>
      </w:r>
      <w:r>
        <w:rPr>
          <w:b/>
          <w:bCs/>
        </w:rPr>
        <w:t xml:space="preserve">Executive Yuan Office of Homeland Security (OHS)</w:t>
      </w:r>
      <w:r>
        <w:t xml:space="preserve"> </w:t>
      </w:r>
      <w:r>
        <w:t xml:space="preserve">—</w:t>
      </w:r>
      <w:r>
        <w:t xml:space="preserve"> </w:t>
      </w:r>
      <w:r>
        <w:rPr>
          <w:i/>
          <w:iCs/>
        </w:rPr>
        <w:t xml:space="preserve">Guidelines for National Critical Infrastructure Protection</w:t>
      </w:r>
      <w:r>
        <w:t xml:space="preserve"> </w:t>
      </w:r>
      <w:r>
        <w:t xml:space="preserve">(definition of</w:t>
      </w:r>
      <w:r>
        <w:t xml:space="preserve"> </w:t>
      </w:r>
      <w:r>
        <w:rPr>
          <w:b/>
          <w:bCs/>
        </w:rPr>
        <w:t xml:space="preserve">CII</w:t>
      </w:r>
      <w:r>
        <w:t xml:space="preserve"> </w:t>
      </w:r>
      <w:r>
        <w:t xml:space="preserve">as systems/SCADA supporting continuous operation of national critical infrastructures).</w:t>
      </w:r>
    </w:p>
    <w:bookmarkEnd w:id="226"/>
    <w:bookmarkStart w:id="227" w:name="Xf534ffba79262348bacd2456b776b95df175674"/>
    <w:p>
      <w:pPr>
        <w:pStyle w:val="Heading2"/>
      </w:pPr>
      <w:r>
        <w:t xml:space="preserve">Exact legal / regulatory criteria (what triggers inclusion)</w:t>
      </w:r>
    </w:p>
    <w:bookmarkEnd w:id="227"/>
    <w:bookmarkStart w:id="228" w:name="a-the-definition-scope-text-1"/>
    <w:p>
      <w:pPr>
        <w:pStyle w:val="Heading2"/>
      </w:pPr>
      <w:r>
        <w:t xml:space="preserve">A) The Definition (scope text)</w:t>
      </w:r>
    </w:p>
    <w:p>
      <w:pPr>
        <w:pStyle w:val="Compact"/>
        <w:numPr>
          <w:ilvl w:val="0"/>
          <w:numId w:val="1185"/>
        </w:numPr>
      </w:pPr>
      <w:r>
        <w:rPr>
          <w:b/>
          <w:bCs/>
        </w:rPr>
        <w:t xml:space="preserve">National Critical Infrastructure (CI)</w:t>
      </w:r>
      <w:r>
        <w:t xml:space="preserve"> </w:t>
      </w:r>
      <w:r>
        <w:t xml:space="preserve">definition (OHS Guidelines): assets/systems/networks (public/private; physical/virtual) whose disruption may negatively impact government/society, cause casualties, losses, economic downturn, environmental changes, or damage national security/interests.</w:t>
      </w:r>
    </w:p>
    <w:p>
      <w:pPr>
        <w:pStyle w:val="Compact"/>
        <w:numPr>
          <w:ilvl w:val="0"/>
          <w:numId w:val="1185"/>
        </w:numPr>
      </w:pPr>
      <w:r>
        <w:rPr>
          <w:b/>
          <w:bCs/>
        </w:rPr>
        <w:t xml:space="preserve">Critical Information Infrastructure (CII)</w:t>
      </w:r>
      <w:r>
        <w:t xml:space="preserve"> </w:t>
      </w:r>
      <w:r>
        <w:t xml:space="preserve">definition (OHS Guidelines): “vital information and communication systems or SCADA” dealing with core task functions and supporting continuous operation of national CI; managed under a single authority according to the CI sector it belongs to.</w:t>
      </w:r>
    </w:p>
    <w:p>
      <w:pPr>
        <w:pStyle w:val="Compact"/>
        <w:numPr>
          <w:ilvl w:val="0"/>
          <w:numId w:val="1185"/>
        </w:numPr>
      </w:pPr>
      <w:r>
        <w:rPr>
          <w:b/>
          <w:bCs/>
        </w:rPr>
        <w:t xml:space="preserve">Critical infrastructure providers</w:t>
      </w:r>
      <w:r>
        <w:t xml:space="preserve"> </w:t>
      </w:r>
      <w:r>
        <w:t xml:space="preserve">designation construct (CSMA Article 20): the central competent authority for the relevant sector</w:t>
      </w:r>
      <w:r>
        <w:t xml:space="preserve"> </w:t>
      </w:r>
      <w:r>
        <w:rPr>
          <w:b/>
          <w:bCs/>
        </w:rPr>
        <w:t xml:space="preserve">designates critical infrastructure providers</w:t>
      </w:r>
      <w:r>
        <w:t xml:space="preserve">, submits the designation</w:t>
      </w:r>
      <w:r>
        <w:t xml:space="preserve"> </w:t>
      </w:r>
      <w:r>
        <w:rPr>
          <w:b/>
          <w:bCs/>
        </w:rPr>
        <w:t xml:space="preserve">for approval by the Executive Yuan</w:t>
      </w:r>
      <w:r>
        <w:t xml:space="preserve">, and notifies approved entities in writing. (</w:t>
      </w:r>
      <w:hyperlink r:id="rId48">
        <w:r>
          <w:rPr>
            <w:rStyle w:val="Hyperlink"/>
          </w:rPr>
          <w:t xml:space="preserve">Law Moda</w:t>
        </w:r>
      </w:hyperlink>
      <w:r>
        <w:t xml:space="preserve">)</w:t>
      </w:r>
    </w:p>
    <w:bookmarkEnd w:id="228"/>
    <w:bookmarkStart w:id="229" w:name="X603ad0a19d80b4491746bc9c7688f809cf66fe6"/>
    <w:p>
      <w:pPr>
        <w:pStyle w:val="Heading2"/>
      </w:pPr>
      <w:r>
        <w:t xml:space="preserve">B) The Thresholds (quantitative / qualitative tests)</w:t>
      </w:r>
    </w:p>
    <w:p>
      <w:pPr>
        <w:pStyle w:val="Compact"/>
        <w:numPr>
          <w:ilvl w:val="0"/>
          <w:numId w:val="1186"/>
        </w:numPr>
      </w:pPr>
      <w:r>
        <w:rPr>
          <w:b/>
          <w:bCs/>
        </w:rPr>
        <w:t xml:space="preserve">No numeric thresholds are stated</w:t>
      </w:r>
      <w:r>
        <w:t xml:space="preserve"> </w:t>
      </w:r>
      <w:r>
        <w:t xml:space="preserve">in the cited legal text for when an entity becomes a “critical infrastructure provider.” The designation mechanism is described as an administrative designation/approval process (CSMA Article 20). (</w:t>
      </w:r>
      <w:hyperlink r:id="rId48">
        <w:r>
          <w:rPr>
            <w:rStyle w:val="Hyperlink"/>
          </w:rPr>
          <w:t xml:space="preserve">Law Moda</w:t>
        </w:r>
      </w:hyperlink>
      <w:r>
        <w:t xml:space="preserve">)</w:t>
      </w:r>
    </w:p>
    <w:bookmarkEnd w:id="229"/>
    <w:bookmarkStart w:id="230" w:name="grading-tiering-scheme-5"/>
    <w:p>
      <w:pPr>
        <w:pStyle w:val="Heading2"/>
      </w:pPr>
      <w:r>
        <w:t xml:space="preserve">Grading / tiering scheme</w:t>
      </w:r>
    </w:p>
    <w:p>
      <w:pPr>
        <w:numPr>
          <w:ilvl w:val="0"/>
          <w:numId w:val="1187"/>
        </w:numPr>
      </w:pPr>
      <w:r>
        <w:rPr>
          <w:b/>
          <w:bCs/>
        </w:rPr>
        <w:t xml:space="preserve">Cyber security responsibility levels (A–E)</w:t>
      </w:r>
      <w:r>
        <w:t xml:space="preserve"> </w:t>
      </w:r>
      <w:r>
        <w:t xml:space="preserve">(classified</w:t>
      </w:r>
      <w:r>
        <w:t xml:space="preserve"> </w:t>
      </w:r>
      <w:r>
        <w:rPr>
          <w:b/>
          <w:bCs/>
        </w:rPr>
        <w:t xml:space="preserve">from high to low</w:t>
      </w:r>
      <w:r>
        <w:t xml:space="preserve">):</w:t>
      </w:r>
      <w:r>
        <w:t xml:space="preserve"> </w:t>
      </w:r>
      <w:r>
        <w:rPr>
          <w:b/>
          <w:bCs/>
        </w:rPr>
        <w:t xml:space="preserve">Level-A, Level-B, Level-C, Level-D, Level-E</w:t>
      </w:r>
      <w:r>
        <w:t xml:space="preserve">.</w:t>
      </w:r>
    </w:p>
    <w:p>
      <w:pPr>
        <w:numPr>
          <w:ilvl w:val="0"/>
          <w:numId w:val="1000"/>
        </w:numPr>
      </w:pPr>
      <w:r>
        <w:rPr>
          <w:b/>
          <w:bCs/>
        </w:rPr>
        <w:t xml:space="preserve">Primary basis:</w:t>
      </w:r>
      <w:r>
        <w:t xml:space="preserve"> </w:t>
      </w:r>
      <w:r>
        <w:rPr>
          <w:i/>
          <w:iCs/>
        </w:rPr>
        <w:t xml:space="preserve">Regulations on Classification of Cyber Security Responsibility Levels</w:t>
      </w:r>
      <w:r>
        <w:t xml:space="preserve">,</w:t>
      </w:r>
      <w:r>
        <w:t xml:space="preserve"> </w:t>
      </w:r>
      <w:r>
        <w:rPr>
          <w:b/>
          <w:bCs/>
        </w:rPr>
        <w:t xml:space="preserve">Article 2</w:t>
      </w:r>
      <w:r>
        <w:t xml:space="preserve"> </w:t>
      </w:r>
      <w:r>
        <w:t xml:space="preserve">(as published in MODA’s CSMA-related regulations compilation). (</w:t>
      </w:r>
      <w:hyperlink r:id="rId49">
        <w:r>
          <w:rPr>
            <w:rStyle w:val="Hyperlink"/>
          </w:rPr>
          <w:t xml:space="preserve">Ministry of Digital Affairs</w:t>
        </w:r>
      </w:hyperlink>
      <w:r>
        <w:t xml:space="preserve">)</w:t>
      </w:r>
    </w:p>
    <w:p>
      <w:pPr>
        <w:numPr>
          <w:ilvl w:val="0"/>
          <w:numId w:val="1187"/>
        </w:numPr>
      </w:pPr>
      <w:r>
        <w:rPr>
          <w:b/>
          <w:bCs/>
        </w:rPr>
        <w:t xml:space="preserve">Incident severity levels (Level-1 to Level-4)</w:t>
      </w:r>
      <w:r>
        <w:t xml:space="preserve"> </w:t>
      </w:r>
      <w:r>
        <w:t xml:space="preserve">used for response requirements:</w:t>
      </w:r>
    </w:p>
    <w:p>
      <w:pPr>
        <w:numPr>
          <w:ilvl w:val="0"/>
          <w:numId w:val="1000"/>
        </w:numPr>
      </w:pPr>
      <w:r>
        <w:t xml:space="preserve">The</w:t>
      </w:r>
      <w:r>
        <w:t xml:space="preserve"> </w:t>
      </w:r>
      <w:r>
        <w:rPr>
          <w:i/>
          <w:iCs/>
        </w:rPr>
        <w:t xml:space="preserve">Regulations on the Notification and Response of Cyber Security Incident</w:t>
      </w:r>
      <w:r>
        <w:t xml:space="preserve"> </w:t>
      </w:r>
      <w:r>
        <w:t xml:space="preserve">define</w:t>
      </w:r>
      <w:r>
        <w:t xml:space="preserve"> </w:t>
      </w:r>
      <w:r>
        <w:rPr>
          <w:b/>
          <w:bCs/>
        </w:rPr>
        <w:t xml:space="preserve">level-1, level-2, level-3, level-4</w:t>
      </w:r>
      <w:r>
        <w:t xml:space="preserve"> </w:t>
      </w:r>
      <w:r>
        <w:t xml:space="preserve">cyber security incidents (including distinctions involving</w:t>
      </w:r>
      <w:r>
        <w:t xml:space="preserve"> </w:t>
      </w:r>
      <w:r>
        <w:rPr>
          <w:b/>
          <w:bCs/>
        </w:rPr>
        <w:t xml:space="preserve">core business information</w:t>
      </w:r>
      <w:r>
        <w:t xml:space="preserve">,</w:t>
      </w:r>
      <w:r>
        <w:t xml:space="preserve"> </w:t>
      </w:r>
      <w:r>
        <w:rPr>
          <w:b/>
          <w:bCs/>
        </w:rPr>
        <w:t xml:space="preserve">core information and communication systems</w:t>
      </w:r>
      <w:r>
        <w:t xml:space="preserve">, scope of service interruption, and geographic/scale impact). (</w:t>
      </w:r>
      <w:hyperlink r:id="rId49">
        <w:r>
          <w:rPr>
            <w:rStyle w:val="Hyperlink"/>
          </w:rPr>
          <w:t xml:space="preserve">Ministry of Digital Affairs</w:t>
        </w:r>
      </w:hyperlink>
      <w:r>
        <w:t xml:space="preserve">)</w:t>
      </w:r>
    </w:p>
    <w:bookmarkEnd w:id="230"/>
    <w:bookmarkStart w:id="231" w:name="Xfd5d2d3b99fa43f1964121a64404090ac3438c3"/>
    <w:p>
      <w:pPr>
        <w:pStyle w:val="Heading2"/>
      </w:pPr>
      <w:r>
        <w:t xml:space="preserve">Incident reporting tests and thresholds</w:t>
      </w:r>
    </w:p>
    <w:bookmarkEnd w:id="231"/>
    <w:bookmarkStart w:id="232" w:name="deadlines"/>
    <w:p>
      <w:pPr>
        <w:pStyle w:val="Heading2"/>
      </w:pPr>
      <w:r>
        <w:t xml:space="preserve">Deadlines</w:t>
      </w:r>
    </w:p>
    <w:p>
      <w:pPr>
        <w:pStyle w:val="FirstParagraph"/>
      </w:pPr>
      <w:r>
        <w:t xml:space="preserve">From the</w:t>
      </w:r>
      <w:r>
        <w:t xml:space="preserve"> </w:t>
      </w:r>
      <w:r>
        <w:rPr>
          <w:i/>
          <w:iCs/>
        </w:rPr>
        <w:t xml:space="preserve">Regulations on the Notification and Response of Cyber Security Incident</w:t>
      </w:r>
      <w:r>
        <w:t xml:space="preserve">:</w:t>
      </w:r>
    </w:p>
    <w:p>
      <w:pPr>
        <w:pStyle w:val="Compact"/>
        <w:numPr>
          <w:ilvl w:val="0"/>
          <w:numId w:val="1188"/>
        </w:numPr>
      </w:pPr>
      <w:r>
        <w:rPr>
          <w:b/>
          <w:bCs/>
        </w:rPr>
        <w:t xml:space="preserve">Government agencies</w:t>
      </w:r>
      <w:r>
        <w:t xml:space="preserve">:</w:t>
      </w:r>
    </w:p>
    <w:p>
      <w:pPr>
        <w:pStyle w:val="Compact"/>
        <w:numPr>
          <w:ilvl w:val="1"/>
          <w:numId w:val="1189"/>
        </w:numPr>
      </w:pPr>
      <w:r>
        <w:t xml:space="preserve">Must</w:t>
      </w:r>
      <w:r>
        <w:t xml:space="preserve"> </w:t>
      </w:r>
      <w:r>
        <w:rPr>
          <w:b/>
          <w:bCs/>
        </w:rPr>
        <w:t xml:space="preserve">complete verification</w:t>
      </w:r>
      <w:r>
        <w:t xml:space="preserve"> </w:t>
      </w:r>
      <w:r>
        <w:t xml:space="preserve">within</w:t>
      </w:r>
      <w:r>
        <w:t xml:space="preserve"> </w:t>
      </w:r>
      <w:r>
        <w:rPr>
          <w:b/>
          <w:bCs/>
        </w:rPr>
        <w:t xml:space="preserve">8 hours</w:t>
      </w:r>
      <w:r>
        <w:t xml:space="preserve"> </w:t>
      </w:r>
      <w:r>
        <w:t xml:space="preserve">for</w:t>
      </w:r>
      <w:r>
        <w:t xml:space="preserve"> </w:t>
      </w:r>
      <w:r>
        <w:rPr>
          <w:b/>
          <w:bCs/>
        </w:rPr>
        <w:t xml:space="preserve">level-1/2</w:t>
      </w:r>
      <w:r>
        <w:t xml:space="preserve"> </w:t>
      </w:r>
      <w:r>
        <w:t xml:space="preserve">incidents and within</w:t>
      </w:r>
      <w:r>
        <w:t xml:space="preserve"> </w:t>
      </w:r>
      <w:r>
        <w:rPr>
          <w:b/>
          <w:bCs/>
        </w:rPr>
        <w:t xml:space="preserve">2 hours</w:t>
      </w:r>
      <w:r>
        <w:t xml:space="preserve"> </w:t>
      </w:r>
      <w:r>
        <w:t xml:space="preserve">for</w:t>
      </w:r>
      <w:r>
        <w:t xml:space="preserve"> </w:t>
      </w:r>
      <w:r>
        <w:rPr>
          <w:b/>
          <w:bCs/>
        </w:rPr>
        <w:t xml:space="preserve">level-3/4</w:t>
      </w:r>
      <w:r>
        <w:t xml:space="preserve"> </w:t>
      </w:r>
      <w:r>
        <w:t xml:space="preserve">incidents (Article 5). (</w:t>
      </w:r>
      <w:hyperlink r:id="rId49">
        <w:r>
          <w:rPr>
            <w:rStyle w:val="Hyperlink"/>
          </w:rPr>
          <w:t xml:space="preserve">Ministry of Digital Affairs</w:t>
        </w:r>
      </w:hyperlink>
      <w:r>
        <w:t xml:space="preserve">)</w:t>
      </w:r>
    </w:p>
    <w:p>
      <w:pPr>
        <w:pStyle w:val="Compact"/>
        <w:numPr>
          <w:ilvl w:val="1"/>
          <w:numId w:val="1189"/>
        </w:numPr>
      </w:pPr>
      <w:r>
        <w:t xml:space="preserve">Must</w:t>
      </w:r>
      <w:r>
        <w:t xml:space="preserve"> </w:t>
      </w:r>
      <w:r>
        <w:rPr>
          <w:b/>
          <w:bCs/>
        </w:rPr>
        <w:t xml:space="preserve">complete damage control or recovery</w:t>
      </w:r>
      <w:r>
        <w:t xml:space="preserve"> </w:t>
      </w:r>
      <w:r>
        <w:t xml:space="preserve">within</w:t>
      </w:r>
      <w:r>
        <w:t xml:space="preserve"> </w:t>
      </w:r>
      <w:r>
        <w:rPr>
          <w:b/>
          <w:bCs/>
        </w:rPr>
        <w:t xml:space="preserve">72 hours</w:t>
      </w:r>
      <w:r>
        <w:t xml:space="preserve"> </w:t>
      </w:r>
      <w:r>
        <w:t xml:space="preserve">for</w:t>
      </w:r>
      <w:r>
        <w:t xml:space="preserve"> </w:t>
      </w:r>
      <w:r>
        <w:rPr>
          <w:b/>
          <w:bCs/>
        </w:rPr>
        <w:t xml:space="preserve">level-1/2</w:t>
      </w:r>
      <w:r>
        <w:t xml:space="preserve"> </w:t>
      </w:r>
      <w:r>
        <w:t xml:space="preserve">and within</w:t>
      </w:r>
      <w:r>
        <w:t xml:space="preserve"> </w:t>
      </w:r>
      <w:r>
        <w:rPr>
          <w:b/>
          <w:bCs/>
        </w:rPr>
        <w:t xml:space="preserve">36 hours</w:t>
      </w:r>
      <w:r>
        <w:t xml:space="preserve"> </w:t>
      </w:r>
      <w:r>
        <w:t xml:space="preserve">for</w:t>
      </w:r>
      <w:r>
        <w:t xml:space="preserve"> </w:t>
      </w:r>
      <w:r>
        <w:rPr>
          <w:b/>
          <w:bCs/>
        </w:rPr>
        <w:t xml:space="preserve">level-3/4</w:t>
      </w:r>
      <w:r>
        <w:t xml:space="preserve"> </w:t>
      </w:r>
      <w:r>
        <w:t xml:space="preserve">(Article 6). (</w:t>
      </w:r>
      <w:hyperlink r:id="rId49">
        <w:r>
          <w:rPr>
            <w:rStyle w:val="Hyperlink"/>
          </w:rPr>
          <w:t xml:space="preserve">Ministry of Digital Affairs</w:t>
        </w:r>
      </w:hyperlink>
      <w:r>
        <w:t xml:space="preserve">)</w:t>
      </w:r>
    </w:p>
    <w:p>
      <w:pPr>
        <w:pStyle w:val="Compact"/>
        <w:numPr>
          <w:ilvl w:val="0"/>
          <w:numId w:val="1188"/>
        </w:numPr>
      </w:pPr>
      <w:r>
        <w:rPr>
          <w:b/>
          <w:bCs/>
        </w:rPr>
        <w:t xml:space="preserve">Specific non-government agencies</w:t>
      </w:r>
      <w:r>
        <w:t xml:space="preserve"> </w:t>
      </w:r>
      <w:r>
        <w:t xml:space="preserve">(including those designated):</w:t>
      </w:r>
    </w:p>
    <w:p>
      <w:pPr>
        <w:pStyle w:val="Compact"/>
        <w:numPr>
          <w:ilvl w:val="1"/>
          <w:numId w:val="1190"/>
        </w:numPr>
      </w:pPr>
      <w:r>
        <w:t xml:space="preserve">When aware of a cyber security incident, must</w:t>
      </w:r>
      <w:r>
        <w:t xml:space="preserve"> </w:t>
      </w:r>
      <w:r>
        <w:rPr>
          <w:b/>
          <w:bCs/>
        </w:rPr>
        <w:t xml:space="preserve">notify</w:t>
      </w:r>
      <w:r>
        <w:t xml:space="preserve"> </w:t>
      </w:r>
      <w:r>
        <w:t xml:space="preserve">the central competent authority for the relevant sector; for</w:t>
      </w:r>
      <w:r>
        <w:t xml:space="preserve"> </w:t>
      </w:r>
      <w:r>
        <w:rPr>
          <w:b/>
          <w:bCs/>
        </w:rPr>
        <w:t xml:space="preserve">level-3/4</w:t>
      </w:r>
      <w:r>
        <w:t xml:space="preserve">, notification must be</w:t>
      </w:r>
      <w:r>
        <w:t xml:space="preserve"> </w:t>
      </w:r>
      <w:r>
        <w:rPr>
          <w:b/>
          <w:bCs/>
        </w:rPr>
        <w:t xml:space="preserve">within 1 hour</w:t>
      </w:r>
      <w:r>
        <w:t xml:space="preserve"> </w:t>
      </w:r>
      <w:r>
        <w:t xml:space="preserve">(Regulations, Article 11). (</w:t>
      </w:r>
      <w:hyperlink r:id="rId49">
        <w:r>
          <w:rPr>
            <w:rStyle w:val="Hyperlink"/>
          </w:rPr>
          <w:t xml:space="preserve">Ministry of Digital Affairs</w:t>
        </w:r>
      </w:hyperlink>
      <w:r>
        <w:t xml:space="preserve">)</w:t>
      </w:r>
    </w:p>
    <w:p>
      <w:pPr>
        <w:pStyle w:val="Compact"/>
        <w:numPr>
          <w:ilvl w:val="1"/>
          <w:numId w:val="1190"/>
        </w:numPr>
      </w:pPr>
      <w:r>
        <w:t xml:space="preserve">After completing damage control or recovery, must submit an</w:t>
      </w:r>
      <w:r>
        <w:t xml:space="preserve"> </w:t>
      </w:r>
      <w:r>
        <w:rPr>
          <w:b/>
          <w:bCs/>
        </w:rPr>
        <w:t xml:space="preserve">investigation/handling report</w:t>
      </w:r>
      <w:r>
        <w:t xml:space="preserve">, and then submit a</w:t>
      </w:r>
      <w:r>
        <w:t xml:space="preserve"> </w:t>
      </w:r>
      <w:r>
        <w:rPr>
          <w:b/>
          <w:bCs/>
        </w:rPr>
        <w:t xml:space="preserve">corrective action report</w:t>
      </w:r>
      <w:r>
        <w:t xml:space="preserve"> </w:t>
      </w:r>
      <w:r>
        <w:t xml:space="preserve">(Articles 11–12). (</w:t>
      </w:r>
      <w:hyperlink r:id="rId49">
        <w:r>
          <w:rPr>
            <w:rStyle w:val="Hyperlink"/>
          </w:rPr>
          <w:t xml:space="preserve">Ministry of Digital Affairs</w:t>
        </w:r>
      </w:hyperlink>
      <w:r>
        <w:t xml:space="preserve">)</w:t>
      </w:r>
    </w:p>
    <w:bookmarkEnd w:id="232"/>
    <w:bookmarkStart w:id="233" w:name="triggers-what-counts-as-reportable"/>
    <w:p>
      <w:pPr>
        <w:pStyle w:val="Heading2"/>
      </w:pPr>
      <w:r>
        <w:t xml:space="preserve">Triggers (what counts as reportable)</w:t>
      </w:r>
    </w:p>
    <w:p>
      <w:pPr>
        <w:pStyle w:val="Compact"/>
        <w:numPr>
          <w:ilvl w:val="0"/>
          <w:numId w:val="1191"/>
        </w:numPr>
      </w:pPr>
      <w:r>
        <w:t xml:space="preserve">The same regulation defines incident</w:t>
      </w:r>
      <w:r>
        <w:t xml:space="preserve"> </w:t>
      </w:r>
      <w:r>
        <w:rPr>
          <w:b/>
          <w:bCs/>
        </w:rPr>
        <w:t xml:space="preserve">levels 1–4</w:t>
      </w:r>
      <w:r>
        <w:t xml:space="preserve">; the level definitions reference (among other factors) whether the event affects</w:t>
      </w:r>
      <w:r>
        <w:t xml:space="preserve"> </w:t>
      </w:r>
      <w:r>
        <w:rPr>
          <w:b/>
          <w:bCs/>
        </w:rPr>
        <w:t xml:space="preserve">core business information</w:t>
      </w:r>
      <w:r>
        <w:t xml:space="preserve"> </w:t>
      </w:r>
      <w:r>
        <w:t xml:space="preserve">and/or a</w:t>
      </w:r>
      <w:r>
        <w:t xml:space="preserve"> </w:t>
      </w:r>
      <w:r>
        <w:rPr>
          <w:b/>
          <w:bCs/>
        </w:rPr>
        <w:t xml:space="preserve">core information and communication system</w:t>
      </w:r>
      <w:r>
        <w:t xml:space="preserve">, and the scope/duration/extent of disruption (Article 2). (</w:t>
      </w:r>
      <w:hyperlink r:id="rId49">
        <w:r>
          <w:rPr>
            <w:rStyle w:val="Hyperlink"/>
          </w:rPr>
          <w:t xml:space="preserve">Ministry of Digital Affairs</w:t>
        </w:r>
      </w:hyperlink>
      <w:r>
        <w:t xml:space="preserve">)</w:t>
      </w:r>
    </w:p>
    <w:bookmarkEnd w:id="233"/>
    <w:bookmarkStart w:id="234" w:name="X480f28575fd81487cbc250d233775a654d279b3"/>
    <w:p>
      <w:pPr>
        <w:pStyle w:val="Heading2"/>
      </w:pPr>
      <w:r>
        <w:t xml:space="preserve">Health information systems “most likely” designated</w:t>
      </w:r>
    </w:p>
    <w:p>
      <w:pPr>
        <w:numPr>
          <w:ilvl w:val="0"/>
          <w:numId w:val="1192"/>
        </w:numPr>
      </w:pPr>
      <w:r>
        <w:rPr>
          <w:b/>
          <w:bCs/>
        </w:rPr>
        <w:t xml:space="preserve">Not stated in cited primary texts.</w:t>
      </w:r>
    </w:p>
    <w:p>
      <w:pPr>
        <w:numPr>
          <w:ilvl w:val="0"/>
          <w:numId w:val="1000"/>
        </w:numPr>
      </w:pPr>
      <w:r>
        <w:t xml:space="preserve">The OHS Guidelines classify national CI into</w:t>
      </w:r>
      <w:r>
        <w:t xml:space="preserve"> </w:t>
      </w:r>
      <w:r>
        <w:rPr>
          <w:b/>
          <w:bCs/>
        </w:rPr>
        <w:t xml:space="preserve">eight sectors</w:t>
      </w:r>
      <w:r>
        <w:t xml:space="preserve">, one of which is</w:t>
      </w:r>
      <w:r>
        <w:t xml:space="preserve"> </w:t>
      </w:r>
      <w:r>
        <w:rPr>
          <w:b/>
          <w:bCs/>
        </w:rPr>
        <w:t xml:space="preserve">“emergency rescue and hospitals”</w:t>
      </w:r>
      <w:r>
        <w:t xml:space="preserve">. The Guidelines also define</w:t>
      </w:r>
      <w:r>
        <w:t xml:space="preserve"> </w:t>
      </w:r>
      <w:r>
        <w:rPr>
          <w:b/>
          <w:bCs/>
        </w:rPr>
        <w:t xml:space="preserve">CII</w:t>
      </w:r>
      <w:r>
        <w:t xml:space="preserve"> </w:t>
      </w:r>
      <w:r>
        <w:t xml:space="preserve">as the vital ICT/SCADA supporting continuous CI operations. However, the cited sources do</w:t>
      </w:r>
      <w:r>
        <w:t xml:space="preserve"> </w:t>
      </w:r>
      <w:r>
        <w:rPr>
          <w:b/>
          <w:bCs/>
        </w:rPr>
        <w:t xml:space="preserve">not</w:t>
      </w:r>
      <w:r>
        <w:t xml:space="preserve"> </w:t>
      </w:r>
      <w:r>
        <w:t xml:space="preserve">publish a system-by-system list for healthcare.</w:t>
      </w:r>
    </w:p>
    <w:bookmarkEnd w:id="234"/>
    <w:bookmarkStart w:id="235" w:name="public-vs-confidential-6"/>
    <w:p>
      <w:pPr>
        <w:pStyle w:val="Heading2"/>
      </w:pPr>
      <w:r>
        <w:t xml:space="preserve">Public vs Confidential</w:t>
      </w:r>
    </w:p>
    <w:p>
      <w:pPr>
        <w:pStyle w:val="FirstParagraph"/>
      </w:pPr>
      <w:r>
        <w:rPr>
          <w:b/>
          <w:bCs/>
        </w:rPr>
        <w:t xml:space="preserve">Public (in cited sources):</w:t>
      </w:r>
    </w:p>
    <w:p>
      <w:pPr>
        <w:pStyle w:val="Compact"/>
        <w:numPr>
          <w:ilvl w:val="0"/>
          <w:numId w:val="1193"/>
        </w:numPr>
      </w:pPr>
      <w:r>
        <w:t xml:space="preserve">CSMA (legal obligations and the designation mechanism for “critical infrastructure providers,” incident notification duty, etc.). (</w:t>
      </w:r>
      <w:hyperlink r:id="rId48">
        <w:r>
          <w:rPr>
            <w:rStyle w:val="Hyperlink"/>
          </w:rPr>
          <w:t xml:space="preserve">Law Moda</w:t>
        </w:r>
      </w:hyperlink>
      <w:r>
        <w:t xml:space="preserve">)</w:t>
      </w:r>
    </w:p>
    <w:p>
      <w:pPr>
        <w:pStyle w:val="Compact"/>
        <w:numPr>
          <w:ilvl w:val="0"/>
          <w:numId w:val="1193"/>
        </w:numPr>
      </w:pPr>
      <w:r>
        <w:t xml:space="preserve">OHS Guidelines (definitions of CI/CII; sector classification including hospitals).</w:t>
      </w:r>
    </w:p>
    <w:p>
      <w:pPr>
        <w:pStyle w:val="FirstParagraph"/>
      </w:pPr>
      <w:r>
        <w:rPr>
          <w:b/>
          <w:bCs/>
        </w:rPr>
        <w:t xml:space="preserve">Confidential (not evidenced here):</w:t>
      </w:r>
    </w:p>
    <w:p>
      <w:pPr>
        <w:pStyle w:val="Compact"/>
        <w:numPr>
          <w:ilvl w:val="0"/>
          <w:numId w:val="1194"/>
        </w:numPr>
      </w:pPr>
      <w:r>
        <w:rPr>
          <w:b/>
          <w:bCs/>
        </w:rPr>
        <w:t xml:space="preserve">Not stated in cited primary texts</w:t>
      </w:r>
      <w:r>
        <w:t xml:space="preserve"> </w:t>
      </w:r>
      <w:r>
        <w:t xml:space="preserve">whether the specific lists of designated providers/assets are public or confidential.</w:t>
      </w:r>
    </w:p>
    <w:p>
      <w:pPr>
        <w:pStyle w:val="Compact"/>
        <w:numPr>
          <w:ilvl w:val="0"/>
          <w:numId w:val="1194"/>
        </w:numPr>
      </w:pPr>
      <w:r>
        <w:t xml:space="preserve">The OHS Guidelines’ table of contents includes a section titled</w:t>
      </w:r>
      <w:r>
        <w:t xml:space="preserve"> </w:t>
      </w:r>
      <w:r>
        <w:rPr>
          <w:b/>
          <w:bCs/>
        </w:rPr>
        <w:t xml:space="preserve">“Classified and sensitive information/Confidentiality requirement”</w:t>
      </w:r>
      <w:r>
        <w:t xml:space="preserve"> </w:t>
      </w:r>
      <w:r>
        <w:t xml:space="preserve">(Chapter 4, Section 1), but this chapter does not claim what specific lists are or are not disclosed beyond what is explicitly shown.</w:t>
      </w:r>
    </w:p>
    <w:bookmarkEnd w:id="235"/>
    <w:bookmarkStart w:id="236" w:name="latest-updates-20252026-2"/>
    <w:p>
      <w:pPr>
        <w:pStyle w:val="Heading2"/>
      </w:pPr>
      <w:r>
        <w:t xml:space="preserve">Latest updates (2025–2026)</w:t>
      </w:r>
    </w:p>
    <w:p>
      <w:pPr>
        <w:pStyle w:val="FirstParagraph"/>
      </w:pPr>
      <w:r>
        <w:rPr>
          <w:b/>
          <w:bCs/>
        </w:rPr>
        <w:t xml:space="preserve">Cyber Security Management Act revised and promulgated:</w:t>
      </w:r>
    </w:p>
    <w:p>
      <w:pPr>
        <w:pStyle w:val="Compact"/>
        <w:numPr>
          <w:ilvl w:val="0"/>
          <w:numId w:val="1195"/>
        </w:numPr>
      </w:pPr>
      <w:r>
        <w:t xml:space="preserve">Taiwan’s official MODA law database shows the CSMA</w:t>
      </w:r>
      <w:r>
        <w:t xml:space="preserve"> </w:t>
      </w:r>
      <w:r>
        <w:rPr>
          <w:b/>
          <w:bCs/>
        </w:rPr>
        <w:t xml:space="preserve">“Date: 2025.09.24”</w:t>
      </w:r>
      <w:r>
        <w:t xml:space="preserve"> </w:t>
      </w:r>
      <w:r>
        <w:t xml:space="preserve">and notes it was</w:t>
      </w:r>
      <w:r>
        <w:t xml:space="preserve"> </w:t>
      </w:r>
      <w:r>
        <w:rPr>
          <w:b/>
          <w:bCs/>
        </w:rPr>
        <w:t xml:space="preserve">“Revised and promulgated a total of 35 articles… on September 24, 2025,”</w:t>
      </w:r>
      <w:r>
        <w:t xml:space="preserve"> </w:t>
      </w:r>
      <w:r>
        <w:t xml:space="preserve">with</w:t>
      </w:r>
      <w:r>
        <w:t xml:space="preserve"> </w:t>
      </w:r>
      <w:r>
        <w:rPr>
          <w:b/>
          <w:bCs/>
        </w:rPr>
        <w:t xml:space="preserve">“date of enforcement… determined by the Executive Yuan.”</w:t>
      </w:r>
      <w:r>
        <w:t xml:space="preserve"> </w:t>
      </w:r>
      <w:r>
        <w:t xml:space="preserve">(</w:t>
      </w:r>
      <w:hyperlink r:id="rId48">
        <w:r>
          <w:rPr>
            <w:rStyle w:val="Hyperlink"/>
          </w:rPr>
          <w:t xml:space="preserve">Law Moda</w:t>
        </w:r>
      </w:hyperlink>
      <w:r>
        <w:t xml:space="preserve">)</w:t>
      </w:r>
    </w:p>
    <w:p>
      <w:pPr>
        <w:pStyle w:val="FirstParagraph"/>
      </w:pPr>
      <w:r>
        <w:rPr>
          <w:b/>
          <w:bCs/>
        </w:rPr>
        <w:t xml:space="preserve">Competent authority (as reflected in the revised CSMA text):</w:t>
      </w:r>
    </w:p>
    <w:p>
      <w:pPr>
        <w:pStyle w:val="Compact"/>
        <w:numPr>
          <w:ilvl w:val="0"/>
          <w:numId w:val="1196"/>
        </w:numPr>
      </w:pPr>
      <w:r>
        <w:t xml:space="preserve">The same official text states</w:t>
      </w:r>
      <w:r>
        <w:t xml:space="preserve"> </w:t>
      </w:r>
      <w:r>
        <w:rPr>
          <w:b/>
          <w:bCs/>
        </w:rPr>
        <w:t xml:space="preserve">“The competent authority… is the Ministry of Digital Affairs”</w:t>
      </w:r>
      <w:r>
        <w:t xml:space="preserve"> </w:t>
      </w:r>
      <w:r>
        <w:t xml:space="preserve">(Article 2). (</w:t>
      </w:r>
      <w:hyperlink r:id="rId48">
        <w:r>
          <w:rPr>
            <w:rStyle w:val="Hyperlink"/>
          </w:rPr>
          <w:t xml:space="preserve">Law Moda</w:t>
        </w:r>
      </w:hyperlink>
      <w:r>
        <w:t xml:space="preserve">)</w:t>
      </w:r>
    </w:p>
    <w:bookmarkEnd w:id="236"/>
    <w:bookmarkStart w:id="237" w:name="references-taiwan"/>
    <w:p>
      <w:pPr>
        <w:pStyle w:val="Heading2"/>
      </w:pPr>
      <w:r>
        <w:t xml:space="preserve">References (Taiwan)</w:t>
      </w:r>
    </w:p>
    <w:p>
      <w:pPr>
        <w:pStyle w:val="Compact"/>
        <w:numPr>
          <w:ilvl w:val="0"/>
          <w:numId w:val="1197"/>
        </w:numPr>
      </w:pPr>
      <w:r>
        <w:rPr>
          <w:b/>
          <w:bCs/>
        </w:rPr>
        <w:t xml:space="preserve">Ministry of Digital Affairs (MODA).</w:t>
      </w:r>
      <w:r>
        <w:t xml:space="preserve"> </w:t>
      </w:r>
      <w:r>
        <w:rPr>
          <w:b/>
          <w:bCs/>
        </w:rPr>
        <w:t xml:space="preserve">Cyber Security Management Act</w:t>
      </w:r>
      <w:r>
        <w:t xml:space="preserve"> </w:t>
      </w:r>
      <w:r>
        <w:t xml:space="preserve">(English law database; revision dated 2025-09-24). (</w:t>
      </w:r>
      <w:hyperlink r:id="rId48">
        <w:r>
          <w:rPr>
            <w:rStyle w:val="Hyperlink"/>
          </w:rPr>
          <w:t xml:space="preserve">Law Moda</w:t>
        </w:r>
      </w:hyperlink>
      <w:r>
        <w:t xml:space="preserve">)</w:t>
      </w:r>
    </w:p>
    <w:p>
      <w:pPr>
        <w:pStyle w:val="Compact"/>
        <w:numPr>
          <w:ilvl w:val="0"/>
          <w:numId w:val="1197"/>
        </w:numPr>
      </w:pPr>
      <w:r>
        <w:rPr>
          <w:b/>
          <w:bCs/>
        </w:rPr>
        <w:t xml:space="preserve">Ministry of Digital Affairs (MODA).</w:t>
      </w:r>
      <w:r>
        <w:t xml:space="preserve"> </w:t>
      </w:r>
      <w:r>
        <w:rPr>
          <w:b/>
          <w:bCs/>
        </w:rPr>
        <w:t xml:space="preserve">Consolidated PDF of CSMA + related regulations</w:t>
      </w:r>
      <w:r>
        <w:t xml:space="preserve">. (</w:t>
      </w:r>
      <w:hyperlink r:id="rId49">
        <w:r>
          <w:rPr>
            <w:rStyle w:val="Hyperlink"/>
          </w:rPr>
          <w:t xml:space="preserve">Ministry of Digital Affairs</w:t>
        </w:r>
      </w:hyperlink>
      <w:r>
        <w:t xml:space="preserve">)</w:t>
      </w:r>
    </w:p>
    <w:p>
      <w:pPr>
        <w:pStyle w:val="Compact"/>
        <w:numPr>
          <w:ilvl w:val="0"/>
          <w:numId w:val="1197"/>
        </w:numPr>
      </w:pPr>
      <w:r>
        <w:rPr>
          <w:b/>
          <w:bCs/>
        </w:rPr>
        <w:t xml:space="preserve">Executive Yuan Office of Homeland Security.</w:t>
      </w:r>
      <w:r>
        <w:t xml:space="preserve"> </w:t>
      </w:r>
      <w:r>
        <w:rPr>
          <w:b/>
          <w:bCs/>
        </w:rPr>
        <w:t xml:space="preserve">Guidelines for National Critical Infrastructure Protection</w:t>
      </w:r>
      <w:r>
        <w:t xml:space="preserve"> </w:t>
      </w:r>
      <w:r>
        <w:t xml:space="preserve">(2018 revision).</w:t>
      </w:r>
    </w:p>
    <w:p>
      <w:pPr>
        <w:pStyle w:val="Compact"/>
        <w:numPr>
          <w:ilvl w:val="0"/>
          <w:numId w:val="1197"/>
        </w:numPr>
      </w:pPr>
      <w:r>
        <w:rPr>
          <w:b/>
          <w:bCs/>
        </w:rPr>
        <w:t xml:space="preserve">MODA / Administration for Cyber Security.</w:t>
      </w:r>
      <w:r>
        <w:t xml:space="preserve"> </w:t>
      </w:r>
      <w:r>
        <w:rPr>
          <w:b/>
          <w:bCs/>
        </w:rPr>
        <w:t xml:space="preserve">Critical Infrastructure Protection (CIIP) overview</w:t>
      </w:r>
      <w:r>
        <w:t xml:space="preserve">. (</w:t>
      </w:r>
      <w:hyperlink r:id="rId50">
        <w:r>
          <w:rPr>
            <w:rStyle w:val="Hyperlink"/>
          </w:rPr>
          <w:t xml:space="preserve">Ministry of Digital Affairs</w:t>
        </w:r>
      </w:hyperlink>
      <w:r>
        <w:t xml:space="preserve">)</w:t>
      </w:r>
    </w:p>
    <w:p>
      <w:pPr>
        <w:sectPr>
          <w:footerReference w:type="first" r:id="rId13"/>
          <w:footerReference w:type="default" r:id="rId11"/>
          <w:footerReference w:type="even" r:id="rId10"/>
          <w:type w:val="nextPage"/>
        </w:sectPr>
      </w:pPr>
    </w:p>
    <w:bookmarkEnd w:id="237"/>
    <w:bookmarkEnd w:id="238"/>
    <w:bookmarkStart w:id="252" w:name="thailand"/>
    <w:p>
      <w:pPr>
        <w:pStyle w:val="Heading1"/>
      </w:pPr>
      <w:r>
        <w:t xml:space="preserve">THAILAND</w:t>
      </w:r>
    </w:p>
    <w:bookmarkStart w:id="239" w:name="Xf93d8e13290cc31eb2d5dff8b8c66668d9ee0ae"/>
    <w:p>
      <w:pPr>
        <w:pStyle w:val="Heading2"/>
      </w:pPr>
      <w:r>
        <w:t xml:space="preserve">Final categories (what is “highest critical / protected”)</w:t>
      </w:r>
    </w:p>
    <w:p>
      <w:pPr>
        <w:pStyle w:val="Compact"/>
        <w:numPr>
          <w:ilvl w:val="0"/>
          <w:numId w:val="1198"/>
        </w:numPr>
      </w:pPr>
      <w:r>
        <w:rPr>
          <w:b/>
          <w:bCs/>
        </w:rPr>
        <w:t xml:space="preserve">“Critical Information Infrastructure” (CII)</w:t>
      </w:r>
      <w:r>
        <w:t xml:space="preserve"> </w:t>
      </w:r>
      <w:r>
        <w:t xml:space="preserve">— defined term in the</w:t>
      </w:r>
      <w:r>
        <w:t xml:space="preserve"> </w:t>
      </w:r>
      <w:r>
        <w:rPr>
          <w:b/>
          <w:bCs/>
        </w:rPr>
        <w:t xml:space="preserve">Cybersecurity Act, B.E. 2562 (2019)</w:t>
      </w:r>
      <w:r>
        <w:t xml:space="preserve"> </w:t>
      </w:r>
      <w:r>
        <w:t xml:space="preserve">(unofficial English translation in Government Gazette format).</w:t>
      </w:r>
    </w:p>
    <w:p>
      <w:pPr>
        <w:pStyle w:val="Compact"/>
        <w:numPr>
          <w:ilvl w:val="0"/>
          <w:numId w:val="1198"/>
        </w:numPr>
      </w:pPr>
      <w:r>
        <w:rPr>
          <w:b/>
          <w:bCs/>
        </w:rPr>
        <w:t xml:space="preserve">“Organization of Critical Information Infrastructure” (CII Organization)</w:t>
      </w:r>
      <w:r>
        <w:t xml:space="preserve"> </w:t>
      </w:r>
      <w:r>
        <w:t xml:space="preserve">— defined term in the</w:t>
      </w:r>
      <w:r>
        <w:t xml:space="preserve"> </w:t>
      </w:r>
      <w:r>
        <w:rPr>
          <w:b/>
          <w:bCs/>
        </w:rPr>
        <w:t xml:space="preserve">Cybersecurity Act, B.E. 2562 (2019)</w:t>
      </w:r>
      <w:r>
        <w:t xml:space="preserve">.</w:t>
      </w:r>
    </w:p>
    <w:p>
      <w:pPr>
        <w:pStyle w:val="Compact"/>
        <w:numPr>
          <w:ilvl w:val="0"/>
          <w:numId w:val="1198"/>
        </w:numPr>
      </w:pPr>
      <w:r>
        <w:rPr>
          <w:b/>
          <w:bCs/>
        </w:rPr>
        <w:t xml:space="preserve">Cyber Threat levels</w:t>
      </w:r>
      <w:r>
        <w:t xml:space="preserve"> </w:t>
      </w:r>
      <w:r>
        <w:t xml:space="preserve">—</w:t>
      </w:r>
      <w:r>
        <w:t xml:space="preserve"> </w:t>
      </w:r>
      <w:r>
        <w:rPr>
          <w:b/>
          <w:bCs/>
        </w:rPr>
        <w:t xml:space="preserve">non-critical / critical / crisis</w:t>
      </w:r>
      <w:r>
        <w:t xml:space="preserve"> </w:t>
      </w:r>
      <w:r>
        <w:t xml:space="preserve">levels defined in the</w:t>
      </w:r>
      <w:r>
        <w:t xml:space="preserve"> </w:t>
      </w:r>
      <w:r>
        <w:rPr>
          <w:b/>
          <w:bCs/>
        </w:rPr>
        <w:t xml:space="preserve">Cybersecurity Act, B.E. 2562 (2019)</w:t>
      </w:r>
      <w:r>
        <w:t xml:space="preserve">.</w:t>
      </w:r>
    </w:p>
    <w:bookmarkEnd w:id="239"/>
    <w:bookmarkStart w:id="240" w:name="Xf665c958d19c0bc0772f748c17ce89d19e75bf5"/>
    <w:p>
      <w:pPr>
        <w:pStyle w:val="Heading2"/>
      </w:pPr>
      <w:r>
        <w:t xml:space="preserve">Exact legal / regulatory criteria (what triggers inclusion)</w:t>
      </w:r>
    </w:p>
    <w:bookmarkEnd w:id="240"/>
    <w:bookmarkStart w:id="241" w:name="X0f611b3bb0728a37a9a4386cb992daf6af5d448"/>
    <w:p>
      <w:pPr>
        <w:pStyle w:val="Heading2"/>
      </w:pPr>
      <w:r>
        <w:t xml:space="preserve">Subsection A (The Definition): the specific text defining the scope</w:t>
      </w:r>
    </w:p>
    <w:p>
      <w:pPr>
        <w:pStyle w:val="Compact"/>
        <w:numPr>
          <w:ilvl w:val="0"/>
          <w:numId w:val="1199"/>
        </w:numPr>
      </w:pPr>
      <w:r>
        <w:rPr>
          <w:b/>
          <w:bCs/>
        </w:rPr>
        <w:t xml:space="preserve">“Critical Information Infrastructure”</w:t>
      </w:r>
      <w:r>
        <w:t xml:space="preserve">: “the computer or computer system” used by a Government Agency or private organization in operations relating to</w:t>
      </w:r>
      <w:r>
        <w:t xml:space="preserve"> </w:t>
      </w:r>
      <w:r>
        <w:rPr>
          <w:b/>
          <w:bCs/>
        </w:rPr>
        <w:t xml:space="preserve">maintaining national security, public security, national economic security, or infrastructures in the public interest</w:t>
      </w:r>
      <w:r>
        <w:t xml:space="preserve">.</w:t>
      </w:r>
    </w:p>
    <w:p>
      <w:pPr>
        <w:pStyle w:val="Compact"/>
        <w:numPr>
          <w:ilvl w:val="0"/>
          <w:numId w:val="1199"/>
        </w:numPr>
      </w:pPr>
      <w:r>
        <w:rPr>
          <w:b/>
          <w:bCs/>
        </w:rPr>
        <w:t xml:space="preserve">“Organization of Critical Information Infrastructure”</w:t>
      </w:r>
      <w:r>
        <w:t xml:space="preserve">: a Government Agency or private organization that</w:t>
      </w:r>
      <w:r>
        <w:t xml:space="preserve"> </w:t>
      </w:r>
      <w:r>
        <w:rPr>
          <w:b/>
          <w:bCs/>
        </w:rPr>
        <w:t xml:space="preserve">has a mission of or provides a CII service</w:t>
      </w:r>
      <w:r>
        <w:t xml:space="preserve">.</w:t>
      </w:r>
    </w:p>
    <w:p>
      <w:pPr>
        <w:pStyle w:val="Compact"/>
        <w:numPr>
          <w:ilvl w:val="0"/>
          <w:numId w:val="1199"/>
        </w:numPr>
      </w:pPr>
      <w:r>
        <w:rPr>
          <w:b/>
          <w:bCs/>
        </w:rPr>
        <w:t xml:space="preserve">Committee designation power (Section 49):</w:t>
      </w:r>
      <w:r>
        <w:t xml:space="preserve"> </w:t>
      </w:r>
      <w:r>
        <w:t xml:space="preserve">the Committee prescribes (by notification) characteristics of organizations with missions/services in specified aspects, including</w:t>
      </w:r>
      <w:r>
        <w:t xml:space="preserve"> </w:t>
      </w:r>
      <w:r>
        <w:rPr>
          <w:b/>
          <w:bCs/>
        </w:rPr>
        <w:t xml:space="preserve">“public health”</w:t>
      </w:r>
      <w:r>
        <w:t xml:space="preserve">.</w:t>
      </w:r>
    </w:p>
    <w:bookmarkEnd w:id="241"/>
    <w:bookmarkStart w:id="242" w:name="Xdb3fc9518d820d7c668c97bb8f6f58b528cd441"/>
    <w:p>
      <w:pPr>
        <w:pStyle w:val="Heading2"/>
      </w:pPr>
      <w:r>
        <w:t xml:space="preserve">Subsection B (The Thresholds): quantitative or qualitative tests</w:t>
      </w:r>
    </w:p>
    <w:p>
      <w:pPr>
        <w:pStyle w:val="Compact"/>
        <w:numPr>
          <w:ilvl w:val="0"/>
          <w:numId w:val="1200"/>
        </w:numPr>
      </w:pPr>
      <w:r>
        <w:rPr>
          <w:b/>
          <w:bCs/>
        </w:rPr>
        <w:t xml:space="preserve">Aspect-based trigger (qualitative):</w:t>
      </w:r>
      <w:r>
        <w:t xml:space="preserve"> </w:t>
      </w:r>
      <w:r>
        <w:t xml:space="preserve">Section 49 lists aspects for which organizations may be prescribed as CII Organizations;</w:t>
      </w:r>
      <w:r>
        <w:t xml:space="preserve"> </w:t>
      </w:r>
      <w:r>
        <w:rPr>
          <w:b/>
          <w:bCs/>
        </w:rPr>
        <w:t xml:space="preserve">“public health”</w:t>
      </w:r>
      <w:r>
        <w:t xml:space="preserve"> </w:t>
      </w:r>
      <w:r>
        <w:t xml:space="preserve">is one listed aspect.</w:t>
      </w:r>
    </w:p>
    <w:p>
      <w:pPr>
        <w:pStyle w:val="Compact"/>
        <w:numPr>
          <w:ilvl w:val="0"/>
          <w:numId w:val="1200"/>
        </w:numPr>
      </w:pPr>
      <w:r>
        <w:rPr>
          <w:b/>
          <w:bCs/>
        </w:rPr>
        <w:t xml:space="preserve">Case-by-case review (qualitative):</w:t>
      </w:r>
      <w:r>
        <w:t xml:space="preserve"> </w:t>
      </w:r>
      <w:r>
        <w:t xml:space="preserve">Section 49 states the Committee “shall consider and review… on a case-by-case basis.”</w:t>
      </w:r>
    </w:p>
    <w:p>
      <w:pPr>
        <w:pStyle w:val="Compact"/>
        <w:numPr>
          <w:ilvl w:val="0"/>
          <w:numId w:val="1200"/>
        </w:numPr>
      </w:pPr>
      <w:r>
        <w:rPr>
          <w:b/>
          <w:bCs/>
        </w:rPr>
        <w:t xml:space="preserve">No numeric outage/time thresholds</w:t>
      </w:r>
      <w:r>
        <w:t xml:space="preserve"> </w:t>
      </w:r>
      <w:r>
        <w:t xml:space="preserve">for CII designation appear in the provided Act text.</w:t>
      </w:r>
    </w:p>
    <w:bookmarkEnd w:id="242"/>
    <w:bookmarkStart w:id="243" w:name="grading-tiering-scheme-6"/>
    <w:p>
      <w:pPr>
        <w:pStyle w:val="Heading2"/>
      </w:pPr>
      <w:r>
        <w:t xml:space="preserve">Grading / tiering scheme</w:t>
      </w:r>
    </w:p>
    <w:p>
      <w:pPr>
        <w:pStyle w:val="Compact"/>
        <w:numPr>
          <w:ilvl w:val="0"/>
          <w:numId w:val="1201"/>
        </w:numPr>
      </w:pPr>
      <w:r>
        <w:rPr>
          <w:b/>
          <w:bCs/>
        </w:rPr>
        <w:t xml:space="preserve">Three-level Cyber Threat classification (Section 60):</w:t>
      </w:r>
      <w:r>
        <w:t xml:space="preserve"> </w:t>
      </w:r>
      <w:r>
        <w:rPr>
          <w:b/>
          <w:bCs/>
        </w:rPr>
        <w:t xml:space="preserve">non-critical level / critical level / crisis level</w:t>
      </w:r>
      <w:r>
        <w:t xml:space="preserve">.</w:t>
      </w:r>
    </w:p>
    <w:p>
      <w:pPr>
        <w:pStyle w:val="Compact"/>
        <w:numPr>
          <w:ilvl w:val="0"/>
          <w:numId w:val="1201"/>
        </w:numPr>
      </w:pPr>
      <w:r>
        <w:rPr>
          <w:b/>
          <w:bCs/>
        </w:rPr>
        <w:t xml:space="preserve">Public health referenced in threat effects (Section 60(2)):</w:t>
      </w:r>
      <w:r>
        <w:t xml:space="preserve"> </w:t>
      </w:r>
      <w:r>
        <w:t xml:space="preserve">“critical level” includes effects on “…economy,</w:t>
      </w:r>
      <w:r>
        <w:t xml:space="preserve"> </w:t>
      </w:r>
      <w:r>
        <w:rPr>
          <w:b/>
          <w:bCs/>
        </w:rPr>
        <w:t xml:space="preserve">public health</w:t>
      </w:r>
      <w:r>
        <w:t xml:space="preserve">, public safety, or the public order…” such that the CII operation could not operate or provide service.</w:t>
      </w:r>
    </w:p>
    <w:bookmarkEnd w:id="243"/>
    <w:bookmarkStart w:id="244" w:name="Xfcffe6247e89c6c3411a4018c01a413efd56906"/>
    <w:p>
      <w:pPr>
        <w:pStyle w:val="Heading2"/>
      </w:pPr>
      <w:r>
        <w:t xml:space="preserve">Incident reporting tests and thresholds</w:t>
      </w:r>
    </w:p>
    <w:bookmarkEnd w:id="244"/>
    <w:bookmarkStart w:id="245" w:name="deadlines-1"/>
    <w:p>
      <w:pPr>
        <w:pStyle w:val="Heading2"/>
      </w:pPr>
      <w:r>
        <w:t xml:space="preserve">Deadlines</w:t>
      </w:r>
    </w:p>
    <w:p>
      <w:pPr>
        <w:pStyle w:val="Compact"/>
        <w:numPr>
          <w:ilvl w:val="0"/>
          <w:numId w:val="1202"/>
        </w:numPr>
      </w:pPr>
      <w:r>
        <w:rPr>
          <w:b/>
          <w:bCs/>
        </w:rPr>
        <w:t xml:space="preserve">Section 57 (CII incident reporting):</w:t>
      </w:r>
      <w:r>
        <w:t xml:space="preserve"> </w:t>
      </w:r>
      <w:r>
        <w:t xml:space="preserve">where a Cyber Threat is “significantly occurring” to a CII Organization’s system, it “shall report” to the Office and the Supervising/Regulating Organization; the CRC “may prescribe criteria and method” of reporting.</w:t>
      </w:r>
      <w:r>
        <w:t xml:space="preserve"> </w:t>
      </w:r>
      <w:r>
        <w:rPr>
          <w:b/>
          <w:bCs/>
        </w:rPr>
        <w:t xml:space="preserve">No fixed hour/day deadline is stated in Section 57 in the provided Act text.</w:t>
      </w:r>
    </w:p>
    <w:p>
      <w:pPr>
        <w:pStyle w:val="Compact"/>
        <w:numPr>
          <w:ilvl w:val="0"/>
          <w:numId w:val="1202"/>
        </w:numPr>
      </w:pPr>
      <w:r>
        <w:rPr>
          <w:b/>
          <w:bCs/>
        </w:rPr>
        <w:t xml:space="preserve">Section 58 (“without delay”):</w:t>
      </w:r>
      <w:r>
        <w:t xml:space="preserve"> </w:t>
      </w:r>
      <w:r>
        <w:t xml:space="preserve">if examination shows there is or may be a Cyber Threat to an information system under a Government Agency or CII Organization, the organization shall notify the Office and its Supervising/Regulating Organization</w:t>
      </w:r>
      <w:r>
        <w:t xml:space="preserve"> </w:t>
      </w:r>
      <w:r>
        <w:rPr>
          <w:b/>
          <w:bCs/>
        </w:rPr>
        <w:t xml:space="preserve">“without delay.”</w:t>
      </w:r>
    </w:p>
    <w:p>
      <w:pPr>
        <w:pStyle w:val="Compact"/>
        <w:numPr>
          <w:ilvl w:val="0"/>
          <w:numId w:val="1202"/>
        </w:numPr>
      </w:pPr>
      <w:r>
        <w:rPr>
          <w:b/>
          <w:bCs/>
        </w:rPr>
        <w:t xml:space="preserve">Section 54 (annual assessment + 30-day submission):</w:t>
      </w:r>
      <w:r>
        <w:t xml:space="preserve"> </w:t>
      </w:r>
      <w:r>
        <w:t xml:space="preserve">a CII Organization must conduct risk assessment / cybersecurity examination</w:t>
      </w:r>
      <w:r>
        <w:t xml:space="preserve"> </w:t>
      </w:r>
      <w:r>
        <w:rPr>
          <w:b/>
          <w:bCs/>
        </w:rPr>
        <w:t xml:space="preserve">at least once per year</w:t>
      </w:r>
      <w:r>
        <w:t xml:space="preserve"> </w:t>
      </w:r>
      <w:r>
        <w:t xml:space="preserve">and submit a summary report to the Office</w:t>
      </w:r>
      <w:r>
        <w:t xml:space="preserve"> </w:t>
      </w:r>
      <w:r>
        <w:rPr>
          <w:b/>
          <w:bCs/>
        </w:rPr>
        <w:t xml:space="preserve">within 30 days</w:t>
      </w:r>
      <w:r>
        <w:t xml:space="preserve"> </w:t>
      </w:r>
      <w:r>
        <w:t xml:space="preserve">after completion.</w:t>
      </w:r>
    </w:p>
    <w:bookmarkEnd w:id="245"/>
    <w:bookmarkStart w:id="246" w:name="X34d94c6b6d2b7fa3f44d9c34542546a2570ed8a"/>
    <w:p>
      <w:pPr>
        <w:pStyle w:val="Heading2"/>
      </w:pPr>
      <w:r>
        <w:t xml:space="preserve">Triggers (what counts as a reportable incident)</w:t>
      </w:r>
    </w:p>
    <w:p>
      <w:pPr>
        <w:pStyle w:val="Compact"/>
        <w:numPr>
          <w:ilvl w:val="0"/>
          <w:numId w:val="1203"/>
        </w:numPr>
      </w:pPr>
      <w:r>
        <w:rPr>
          <w:b/>
          <w:bCs/>
        </w:rPr>
        <w:t xml:space="preserve">Section 57 trigger:</w:t>
      </w:r>
      <w:r>
        <w:t xml:space="preserve"> </w:t>
      </w:r>
      <w:r>
        <w:t xml:space="preserve">“Cyber Threat significantly occurring” to the system of a CII Organization.</w:t>
      </w:r>
    </w:p>
    <w:p>
      <w:pPr>
        <w:pStyle w:val="Compact"/>
        <w:numPr>
          <w:ilvl w:val="0"/>
          <w:numId w:val="1203"/>
        </w:numPr>
      </w:pPr>
      <w:r>
        <w:rPr>
          <w:b/>
          <w:bCs/>
        </w:rPr>
        <w:t xml:space="preserve">Section 58 trigger:</w:t>
      </w:r>
      <w:r>
        <w:t xml:space="preserve"> </w:t>
      </w:r>
      <w:r>
        <w:t xml:space="preserve">examination results show there “is or may be” a Cyber Threat to the relevant information system.</w:t>
      </w:r>
    </w:p>
    <w:p>
      <w:pPr>
        <w:pStyle w:val="Compact"/>
        <w:numPr>
          <w:ilvl w:val="0"/>
          <w:numId w:val="1203"/>
        </w:numPr>
      </w:pPr>
      <w:r>
        <w:rPr>
          <w:b/>
          <w:bCs/>
        </w:rPr>
        <w:t xml:space="preserve">Penalty for non-reporting (Section 73):</w:t>
      </w:r>
      <w:r>
        <w:t xml:space="preserve"> </w:t>
      </w:r>
      <w:r>
        <w:t xml:space="preserve">failure by a CII Organization to report a Cyber Threat incident under Section 57 (without reasonable cause) —</w:t>
      </w:r>
      <w:r>
        <w:t xml:space="preserve"> </w:t>
      </w:r>
      <w:r>
        <w:rPr>
          <w:b/>
          <w:bCs/>
        </w:rPr>
        <w:t xml:space="preserve">fine not exceeding Baht 200,000</w:t>
      </w:r>
      <w:r>
        <w:t xml:space="preserve">.</w:t>
      </w:r>
    </w:p>
    <w:bookmarkEnd w:id="246"/>
    <w:bookmarkStart w:id="247" w:name="X9d1bce008e1fa1dcc6214bf4bd0a1a0c27d154d"/>
    <w:p>
      <w:pPr>
        <w:pStyle w:val="Heading2"/>
      </w:pPr>
      <w:r>
        <w:t xml:space="preserve">Health information systems “most likely” designated</w:t>
      </w:r>
    </w:p>
    <w:p>
      <w:pPr>
        <w:pStyle w:val="Compact"/>
        <w:numPr>
          <w:ilvl w:val="0"/>
          <w:numId w:val="1204"/>
        </w:numPr>
      </w:pPr>
      <w:r>
        <w:rPr>
          <w:b/>
          <w:bCs/>
        </w:rPr>
        <w:t xml:space="preserve">Explicit in the provided primary text:</w:t>
      </w:r>
      <w:r>
        <w:t xml:space="preserve"> </w:t>
      </w:r>
      <w:r>
        <w:t xml:space="preserve">Section 49 includes</w:t>
      </w:r>
      <w:r>
        <w:t xml:space="preserve"> </w:t>
      </w:r>
      <w:r>
        <w:rPr>
          <w:b/>
          <w:bCs/>
        </w:rPr>
        <w:t xml:space="preserve">“public health”</w:t>
      </w:r>
      <w:r>
        <w:t xml:space="preserve"> </w:t>
      </w:r>
      <w:r>
        <w:t xml:space="preserve">as an aspect for which the Committee may prescribe organizations as CII Organizations.</w:t>
      </w:r>
    </w:p>
    <w:p>
      <w:pPr>
        <w:pStyle w:val="Compact"/>
        <w:numPr>
          <w:ilvl w:val="0"/>
          <w:numId w:val="1204"/>
        </w:numPr>
      </w:pPr>
      <w:r>
        <w:rPr>
          <w:b/>
          <w:bCs/>
        </w:rPr>
        <w:t xml:space="preserve">Not specified in the provided primary text:</w:t>
      </w:r>
      <w:r>
        <w:t xml:space="preserve"> </w:t>
      </w:r>
      <w:r>
        <w:t xml:space="preserve">the Cybersecurity Act text provided does</w:t>
      </w:r>
      <w:r>
        <w:t xml:space="preserve"> </w:t>
      </w:r>
      <w:r>
        <w:rPr>
          <w:b/>
          <w:bCs/>
        </w:rPr>
        <w:t xml:space="preserve">not</w:t>
      </w:r>
      <w:r>
        <w:t xml:space="preserve"> </w:t>
      </w:r>
      <w:r>
        <w:t xml:space="preserve">enumerate specific</w:t>
      </w:r>
      <w:r>
        <w:t xml:space="preserve"> </w:t>
      </w:r>
      <w:r>
        <w:rPr>
          <w:b/>
          <w:bCs/>
        </w:rPr>
        <w:t xml:space="preserve">health information system types</w:t>
      </w:r>
      <w:r>
        <w:t xml:space="preserve"> </w:t>
      </w:r>
      <w:r>
        <w:t xml:space="preserve">(e.g., EHR, LIS, radiology PACS) as CII, and does</w:t>
      </w:r>
      <w:r>
        <w:t xml:space="preserve"> </w:t>
      </w:r>
      <w:r>
        <w:rPr>
          <w:b/>
          <w:bCs/>
        </w:rPr>
        <w:t xml:space="preserve">not</w:t>
      </w:r>
      <w:r>
        <w:t xml:space="preserve"> </w:t>
      </w:r>
      <w:r>
        <w:t xml:space="preserve">provide a published list of designated health entities within the provided documents.</w:t>
      </w:r>
    </w:p>
    <w:p>
      <w:pPr>
        <w:pStyle w:val="Compact"/>
        <w:numPr>
          <w:ilvl w:val="0"/>
          <w:numId w:val="1204"/>
        </w:numPr>
      </w:pPr>
      <w:r>
        <w:rPr>
          <w:b/>
          <w:bCs/>
        </w:rPr>
        <w:t xml:space="preserve">Process stated in the Act:</w:t>
      </w:r>
      <w:r>
        <w:t xml:space="preserve"> </w:t>
      </w:r>
      <w:r>
        <w:t xml:space="preserve">designation occurs via</w:t>
      </w:r>
      <w:r>
        <w:t xml:space="preserve"> </w:t>
      </w:r>
      <w:r>
        <w:rPr>
          <w:b/>
          <w:bCs/>
        </w:rPr>
        <w:t xml:space="preserve">Committee notification</w:t>
      </w:r>
      <w:r>
        <w:t xml:space="preserve"> </w:t>
      </w:r>
      <w:r>
        <w:t xml:space="preserve">prescribing characteristics of organizations in the listed aspects (including public health), with consideration rules published in the Government Gazette and case-by-case review.</w:t>
      </w:r>
    </w:p>
    <w:bookmarkEnd w:id="247"/>
    <w:bookmarkStart w:id="248" w:name="public-vs-confidential-7"/>
    <w:p>
      <w:pPr>
        <w:pStyle w:val="Heading2"/>
      </w:pPr>
      <w:r>
        <w:t xml:space="preserve">Public vs Confidential</w:t>
      </w:r>
    </w:p>
    <w:bookmarkEnd w:id="248"/>
    <w:bookmarkStart w:id="249" w:name="public-in-provided-primary-text"/>
    <w:p>
      <w:pPr>
        <w:pStyle w:val="Heading2"/>
      </w:pPr>
      <w:r>
        <w:t xml:space="preserve">Public (in provided primary text)</w:t>
      </w:r>
    </w:p>
    <w:p>
      <w:pPr>
        <w:pStyle w:val="Compact"/>
        <w:numPr>
          <w:ilvl w:val="0"/>
          <w:numId w:val="1205"/>
        </w:numPr>
      </w:pPr>
      <w:r>
        <w:t xml:space="preserve">The Act states that Committee rules for consideration under Section 49 “shall be published in the Government Gazette.”</w:t>
      </w:r>
    </w:p>
    <w:p>
      <w:pPr>
        <w:pStyle w:val="FirstParagraph"/>
      </w:pPr>
      <w:r>
        <w:rPr>
          <w:b/>
          <w:bCs/>
        </w:rPr>
        <w:t xml:space="preserve">Confidentiality obligations in provided health-sector primary text (separate statute):</w:t>
      </w:r>
    </w:p>
    <w:p>
      <w:pPr>
        <w:pStyle w:val="Compact"/>
        <w:numPr>
          <w:ilvl w:val="0"/>
          <w:numId w:val="1206"/>
        </w:numPr>
      </w:pPr>
      <w:r>
        <w:rPr>
          <w:b/>
          <w:bCs/>
        </w:rPr>
        <w:t xml:space="preserve">National Health Act, B.E. 2550 (2007), Section 7:</w:t>
      </w:r>
      <w:r>
        <w:t xml:space="preserve"> </w:t>
      </w:r>
      <w:r>
        <w:t xml:space="preserve">“Personal health information shall be kept confidential,” and disclosure is restricted except by the person’s will or where required by specific law.</w:t>
      </w:r>
    </w:p>
    <w:bookmarkEnd w:id="249"/>
    <w:bookmarkStart w:id="250" w:name="latest-updates-20252026-3"/>
    <w:p>
      <w:pPr>
        <w:pStyle w:val="Heading2"/>
      </w:pPr>
      <w:r>
        <w:t xml:space="preserve">Latest updates (2025–2026)</w:t>
      </w:r>
    </w:p>
    <w:p>
      <w:pPr>
        <w:pStyle w:val="FirstParagraph"/>
      </w:pPr>
      <w:r>
        <w:rPr>
          <w:b/>
          <w:bCs/>
        </w:rPr>
        <w:t xml:space="preserve">CII List Revision (September 2025):</w:t>
      </w:r>
    </w:p>
    <w:p>
      <w:pPr>
        <w:pStyle w:val="Compact"/>
        <w:numPr>
          <w:ilvl w:val="0"/>
          <w:numId w:val="1207"/>
        </w:numPr>
      </w:pPr>
      <w:r>
        <w:t xml:space="preserve">On 16 September 2025, the NCSC published a notification in the Royal Gazette revising the official list of Critical Information Infrastructure (CII) organizations, specifically covering seven key sectors including</w:t>
      </w:r>
      <w:r>
        <w:t xml:space="preserve"> </w:t>
      </w:r>
      <w:r>
        <w:rPr>
          <w:b/>
          <w:bCs/>
        </w:rPr>
        <w:t xml:space="preserve">public health</w:t>
      </w:r>
      <w:r>
        <w:t xml:space="preserve">. This update modernizes the 2023 classifications and clarifies regulatory oversight for both public and private essential service providers.</w:t>
      </w:r>
    </w:p>
    <w:p>
      <w:pPr>
        <w:pStyle w:val="FirstParagraph"/>
      </w:pPr>
      <w:r>
        <w:rPr>
          <w:b/>
          <w:bCs/>
        </w:rPr>
        <w:t xml:space="preserve">Website Security Standard (September 2025):</w:t>
      </w:r>
    </w:p>
    <w:p>
      <w:pPr>
        <w:pStyle w:val="Compact"/>
        <w:numPr>
          <w:ilvl w:val="0"/>
          <w:numId w:val="1208"/>
        </w:numPr>
      </w:pPr>
      <w:r>
        <w:t xml:space="preserve">A new Website Security Standard was issued on 16 September 2025 under the Cybersecurity Act, establishing mandatory technical protocols (encryption, incident management, etc.) for CII operators and government agencies.</w:t>
      </w:r>
    </w:p>
    <w:bookmarkEnd w:id="250"/>
    <w:bookmarkStart w:id="251" w:name="references-thailand"/>
    <w:p>
      <w:pPr>
        <w:pStyle w:val="Heading2"/>
      </w:pPr>
      <w:r>
        <w:t xml:space="preserve">References (Thailand)</w:t>
      </w:r>
    </w:p>
    <w:p>
      <w:pPr>
        <w:pStyle w:val="Compact"/>
        <w:numPr>
          <w:ilvl w:val="0"/>
          <w:numId w:val="1209"/>
        </w:numPr>
      </w:pPr>
      <w:r>
        <w:rPr>
          <w:b/>
          <w:bCs/>
        </w:rPr>
        <w:t xml:space="preserve">Office of the National Cyber Security Committee (NCSC).</w:t>
      </w:r>
      <w:r>
        <w:t xml:space="preserve"> </w:t>
      </w:r>
      <w:r>
        <w:rPr>
          <w:b/>
          <w:bCs/>
        </w:rPr>
        <w:t xml:space="preserve">Cybersecurity Act, B.E. 2562 (2019)</w:t>
      </w:r>
      <w:r>
        <w:t xml:space="preserve">. (</w:t>
      </w:r>
      <w:hyperlink r:id="rId48">
        <w:r>
          <w:rPr>
            <w:rStyle w:val="Hyperlink"/>
          </w:rPr>
          <w:t xml:space="preserve">link</w:t>
        </w:r>
      </w:hyperlink>
      <w:r>
        <w:t xml:space="preserve">)</w:t>
      </w:r>
    </w:p>
    <w:p>
      <w:pPr>
        <w:pStyle w:val="Compact"/>
        <w:numPr>
          <w:ilvl w:val="0"/>
          <w:numId w:val="1209"/>
        </w:numPr>
      </w:pPr>
      <w:r>
        <w:rPr>
          <w:b/>
          <w:bCs/>
        </w:rPr>
        <w:t xml:space="preserve">National Health Commission Office.</w:t>
      </w:r>
      <w:r>
        <w:t xml:space="preserve"> </w:t>
      </w:r>
      <w:r>
        <w:rPr>
          <w:b/>
          <w:bCs/>
        </w:rPr>
        <w:t xml:space="preserve">National Health Act, B.E. 2550 (2007)</w:t>
      </w:r>
      <w:r>
        <w:t xml:space="preserve">. (</w:t>
      </w:r>
      <w:hyperlink r:id="rId49">
        <w:r>
          <w:rPr>
            <w:rStyle w:val="Hyperlink"/>
          </w:rPr>
          <w:t xml:space="preserve">link</w:t>
        </w:r>
      </w:hyperlink>
      <w:r>
        <w:t xml:space="preserve">)</w:t>
      </w:r>
    </w:p>
    <w:p>
      <w:pPr>
        <w:pStyle w:val="Compact"/>
        <w:numPr>
          <w:ilvl w:val="0"/>
          <w:numId w:val="1209"/>
        </w:numPr>
      </w:pPr>
      <w:r>
        <w:rPr>
          <w:b/>
          <w:bCs/>
        </w:rPr>
        <w:t xml:space="preserve">Royal Thai Government Gazette.</w:t>
      </w:r>
      <w:r>
        <w:t xml:space="preserve"> </w:t>
      </w:r>
      <w:r>
        <w:rPr>
          <w:b/>
          <w:bCs/>
        </w:rPr>
        <w:t xml:space="preserve">NCSC Notification Re: List of Critical Information Infrastructure Organizations (2025)</w:t>
      </w:r>
      <w:r>
        <w:t xml:space="preserve">. (</w:t>
      </w:r>
      <w:hyperlink r:id="rId50">
        <w:r>
          <w:rPr>
            <w:rStyle w:val="Hyperlink"/>
          </w:rPr>
          <w:t xml:space="preserve">link</w:t>
        </w:r>
      </w:hyperlink>
      <w:r>
        <w:t xml:space="preserve">)</w:t>
      </w:r>
    </w:p>
    <w:p>
      <w:pPr>
        <w:pStyle w:val="Compact"/>
        <w:numPr>
          <w:ilvl w:val="0"/>
          <w:numId w:val="1209"/>
        </w:numPr>
      </w:pPr>
      <w:r>
        <w:rPr>
          <w:b/>
          <w:bCs/>
        </w:rPr>
        <w:t xml:space="preserve">NCSC Thailand.</w:t>
      </w:r>
      <w:r>
        <w:t xml:space="preserve"> </w:t>
      </w:r>
      <w:r>
        <w:rPr>
          <w:b/>
          <w:bCs/>
        </w:rPr>
        <w:t xml:space="preserve">Notification Re: Website Security Standard for Government and CII Organizations (2025)</w:t>
      </w:r>
      <w:r>
        <w:t xml:space="preserve">.</w:t>
      </w:r>
    </w:p>
    <w:p>
      <w:pPr>
        <w:sectPr>
          <w:footerReference w:type="first" r:id="rId13"/>
          <w:footerReference w:type="default" r:id="rId11"/>
          <w:footerReference w:type="even" r:id="rId10"/>
          <w:type w:val="nextPage"/>
        </w:sectPr>
      </w:pPr>
    </w:p>
    <w:bookmarkEnd w:id="251"/>
    <w:bookmarkEnd w:id="252"/>
    <w:bookmarkStart w:id="268" w:name="hong-kong-hksar"/>
    <w:p>
      <w:pPr>
        <w:pStyle w:val="Heading1"/>
      </w:pPr>
      <w:r>
        <w:t xml:space="preserve">HONG KONG (HKSAR)</w:t>
      </w:r>
    </w:p>
    <w:bookmarkStart w:id="253" w:name="final-categories-4"/>
    <w:p>
      <w:pPr>
        <w:pStyle w:val="Heading2"/>
      </w:pPr>
      <w:r>
        <w:t xml:space="preserve">Final Categories</w:t>
      </w:r>
    </w:p>
    <w:p>
      <w:pPr>
        <w:pStyle w:val="FirstParagraph"/>
      </w:pPr>
      <w:r>
        <w:rPr>
          <w:b/>
          <w:bCs/>
        </w:rPr>
        <w:t xml:space="preserve">Protection of Critical Infrastructures (Computer Systems) Ordinance</w:t>
      </w:r>
      <w:r>
        <w:t xml:space="preserve"> </w:t>
      </w:r>
      <w:r>
        <w:t xml:space="preserve">(Ord. No. 4 of 2025; Cap. 653) creates the following legal categories:</w:t>
      </w:r>
    </w:p>
    <w:p>
      <w:pPr>
        <w:pStyle w:val="Compact"/>
        <w:numPr>
          <w:ilvl w:val="0"/>
          <w:numId w:val="1210"/>
        </w:numPr>
      </w:pPr>
      <w:r>
        <w:rPr>
          <w:b/>
          <w:bCs/>
        </w:rPr>
        <w:t xml:space="preserve">Critical infrastructure</w:t>
      </w:r>
      <w:r>
        <w:t xml:space="preserve"> </w:t>
      </w:r>
      <w:r>
        <w:t xml:space="preserve">(definition linked to</w:t>
      </w:r>
      <w:r>
        <w:t xml:space="preserve"> </w:t>
      </w:r>
      <w:r>
        <w:rPr>
          <w:b/>
          <w:bCs/>
        </w:rPr>
        <w:t xml:space="preserve">Schedule 1 sectors</w:t>
      </w:r>
      <w:r>
        <w:t xml:space="preserve">, including</w:t>
      </w:r>
      <w:r>
        <w:t xml:space="preserve"> </w:t>
      </w:r>
      <w:r>
        <w:rPr>
          <w:b/>
          <w:bCs/>
        </w:rPr>
        <w:t xml:space="preserve">Healthcare services</w:t>
      </w:r>
      <w:r>
        <w:t xml:space="preserve">) (</w:t>
      </w:r>
      <w:hyperlink r:id="rId48">
        <w:r>
          <w:rPr>
            <w:rStyle w:val="Hyperlink"/>
          </w:rPr>
          <w:t xml:space="preserve">Legislative Council of Hong Kong</w:t>
        </w:r>
      </w:hyperlink>
      <w:r>
        <w:t xml:space="preserve">)</w:t>
      </w:r>
    </w:p>
    <w:p>
      <w:pPr>
        <w:pStyle w:val="Compact"/>
        <w:numPr>
          <w:ilvl w:val="0"/>
          <w:numId w:val="1210"/>
        </w:numPr>
      </w:pPr>
      <w:r>
        <w:rPr>
          <w:b/>
          <w:bCs/>
        </w:rPr>
        <w:t xml:space="preserve">Specified critical infrastructure</w:t>
      </w:r>
      <w:r>
        <w:t xml:space="preserve"> </w:t>
      </w:r>
      <w:r>
        <w:t xml:space="preserve">(a “critical infrastructure” that is</w:t>
      </w:r>
      <w:r>
        <w:t xml:space="preserve"> </w:t>
      </w:r>
      <w:r>
        <w:rPr>
          <w:b/>
          <w:bCs/>
        </w:rPr>
        <w:t xml:space="preserve">specified for</w:t>
      </w:r>
      <w:r>
        <w:t xml:space="preserve"> </w:t>
      </w:r>
      <w:r>
        <w:t xml:space="preserve">a particular</w:t>
      </w:r>
      <w:r>
        <w:t xml:space="preserve"> </w:t>
      </w:r>
      <w:r>
        <w:rPr>
          <w:b/>
          <w:bCs/>
        </w:rPr>
        <w:t xml:space="preserve">regulating authority</w:t>
      </w:r>
      <w:r>
        <w:t xml:space="preserve">) (</w:t>
      </w:r>
      <w:hyperlink r:id="rId48">
        <w:r>
          <w:rPr>
            <w:rStyle w:val="Hyperlink"/>
          </w:rPr>
          <w:t xml:space="preserve">Legislative Council of Hong Kong</w:t>
        </w:r>
      </w:hyperlink>
      <w:r>
        <w:t xml:space="preserve">)</w:t>
      </w:r>
    </w:p>
    <w:p>
      <w:pPr>
        <w:pStyle w:val="Compact"/>
        <w:numPr>
          <w:ilvl w:val="0"/>
          <w:numId w:val="1210"/>
        </w:numPr>
      </w:pPr>
      <w:r>
        <w:rPr>
          <w:b/>
          <w:bCs/>
        </w:rPr>
        <w:t xml:space="preserve">Regulating authorities</w:t>
      </w:r>
    </w:p>
    <w:p>
      <w:pPr>
        <w:pStyle w:val="Compact"/>
        <w:numPr>
          <w:ilvl w:val="1"/>
          <w:numId w:val="1211"/>
        </w:numPr>
      </w:pPr>
      <w:r>
        <w:rPr>
          <w:b/>
          <w:bCs/>
        </w:rPr>
        <w:t xml:space="preserve">Commissioner of Critical Infrastructure (Computer-system Security)</w:t>
      </w:r>
      <w:r>
        <w:t xml:space="preserve"> </w:t>
      </w:r>
      <w:r>
        <w:t xml:space="preserve">(as regulating authority) (</w:t>
      </w:r>
      <w:hyperlink r:id="rId48">
        <w:r>
          <w:rPr>
            <w:rStyle w:val="Hyperlink"/>
          </w:rPr>
          <w:t xml:space="preserve">Legislative Council of Hong Kong</w:t>
        </w:r>
      </w:hyperlink>
      <w:r>
        <w:t xml:space="preserve">)</w:t>
      </w:r>
    </w:p>
    <w:p>
      <w:pPr>
        <w:pStyle w:val="Compact"/>
        <w:numPr>
          <w:ilvl w:val="1"/>
          <w:numId w:val="1211"/>
        </w:numPr>
      </w:pPr>
      <w:r>
        <w:rPr>
          <w:b/>
          <w:bCs/>
        </w:rPr>
        <w:t xml:space="preserve">Designated authorities</w:t>
      </w:r>
      <w:r>
        <w:t xml:space="preserve"> </w:t>
      </w:r>
      <w:r>
        <w:t xml:space="preserve">in</w:t>
      </w:r>
      <w:r>
        <w:t xml:space="preserve"> </w:t>
      </w:r>
      <w:r>
        <w:rPr>
          <w:b/>
          <w:bCs/>
        </w:rPr>
        <w:t xml:space="preserve">Schedule 2</w:t>
      </w:r>
      <w:r>
        <w:t xml:space="preserve"> </w:t>
      </w:r>
      <w:r>
        <w:t xml:space="preserve">(Monetary Authority; Communications Authority) (</w:t>
      </w:r>
      <w:hyperlink r:id="rId48">
        <w:r>
          <w:rPr>
            <w:rStyle w:val="Hyperlink"/>
          </w:rPr>
          <w:t xml:space="preserve">Legislative Council of Hong Kong</w:t>
        </w:r>
      </w:hyperlink>
      <w:r>
        <w:t xml:space="preserve">)</w:t>
      </w:r>
    </w:p>
    <w:p>
      <w:pPr>
        <w:pStyle w:val="Compact"/>
        <w:numPr>
          <w:ilvl w:val="0"/>
          <w:numId w:val="1210"/>
        </w:numPr>
      </w:pPr>
      <w:r>
        <w:rPr>
          <w:b/>
          <w:bCs/>
        </w:rPr>
        <w:t xml:space="preserve">CI operator</w:t>
      </w:r>
      <w:r>
        <w:t xml:space="preserve"> </w:t>
      </w:r>
      <w:r>
        <w:t xml:space="preserve">(organization</w:t>
      </w:r>
      <w:r>
        <w:t xml:space="preserve"> </w:t>
      </w:r>
      <w:r>
        <w:rPr>
          <w:b/>
          <w:bCs/>
        </w:rPr>
        <w:t xml:space="preserve">designated</w:t>
      </w:r>
      <w:r>
        <w:t xml:space="preserve"> </w:t>
      </w:r>
      <w:r>
        <w:t xml:space="preserve">under section 12) (</w:t>
      </w:r>
      <w:hyperlink r:id="rId48">
        <w:r>
          <w:rPr>
            <w:rStyle w:val="Hyperlink"/>
          </w:rPr>
          <w:t xml:space="preserve">Legislative Council of Hong Kong</w:t>
        </w:r>
      </w:hyperlink>
      <w:r>
        <w:t xml:space="preserve">)</w:t>
      </w:r>
    </w:p>
    <w:p>
      <w:pPr>
        <w:pStyle w:val="Compact"/>
        <w:numPr>
          <w:ilvl w:val="0"/>
          <w:numId w:val="1210"/>
        </w:numPr>
      </w:pPr>
      <w:r>
        <w:rPr>
          <w:b/>
          <w:bCs/>
        </w:rPr>
        <w:t xml:space="preserve">Critical computer system</w:t>
      </w:r>
      <w:r>
        <w:t xml:space="preserve"> </w:t>
      </w:r>
      <w:r>
        <w:t xml:space="preserve">(computer system</w:t>
      </w:r>
      <w:r>
        <w:t xml:space="preserve"> </w:t>
      </w:r>
      <w:r>
        <w:rPr>
          <w:b/>
          <w:bCs/>
        </w:rPr>
        <w:t xml:space="preserve">designated</w:t>
      </w:r>
      <w:r>
        <w:t xml:space="preserve"> </w:t>
      </w:r>
      <w:r>
        <w:t xml:space="preserve">under section 13) (</w:t>
      </w:r>
      <w:hyperlink r:id="rId48">
        <w:r>
          <w:rPr>
            <w:rStyle w:val="Hyperlink"/>
          </w:rPr>
          <w:t xml:space="preserve">Legislative Council of Hong Kong</w:t>
        </w:r>
      </w:hyperlink>
      <w:r>
        <w:t xml:space="preserve">)</w:t>
      </w:r>
    </w:p>
    <w:p>
      <w:pPr>
        <w:pStyle w:val="Compact"/>
        <w:numPr>
          <w:ilvl w:val="0"/>
          <w:numId w:val="1210"/>
        </w:numPr>
      </w:pPr>
      <w:r>
        <w:rPr>
          <w:b/>
          <w:bCs/>
        </w:rPr>
        <w:t xml:space="preserve">Category 1 / Category 2 / Category 3 obligations</w:t>
      </w:r>
      <w:r>
        <w:t xml:space="preserve"> </w:t>
      </w:r>
      <w:r>
        <w:t xml:space="preserve">(defined by reference to</w:t>
      </w:r>
      <w:r>
        <w:t xml:space="preserve"> </w:t>
      </w:r>
      <w:r>
        <w:rPr>
          <w:b/>
          <w:bCs/>
        </w:rPr>
        <w:t xml:space="preserve">Part 4</w:t>
      </w:r>
      <w:r>
        <w:t xml:space="preserve"> </w:t>
      </w:r>
      <w:r>
        <w:t xml:space="preserve">divisions) (</w:t>
      </w:r>
      <w:hyperlink r:id="rId48">
        <w:r>
          <w:rPr>
            <w:rStyle w:val="Hyperlink"/>
          </w:rPr>
          <w:t xml:space="preserve">Legislative Council of Hong Kong</w:t>
        </w:r>
      </w:hyperlink>
      <w:r>
        <w:t xml:space="preserve">)</w:t>
      </w:r>
    </w:p>
    <w:p>
      <w:pPr>
        <w:pStyle w:val="FirstParagraph"/>
      </w:pPr>
      <w:r>
        <w:rPr>
          <w:b/>
          <w:bCs/>
        </w:rPr>
        <w:t xml:space="preserve">Commencement:</w:t>
      </w:r>
      <w:r>
        <w:t xml:space="preserve"> </w:t>
      </w:r>
      <w:r>
        <w:t xml:space="preserve">a Government notice states the Ordinance</w:t>
      </w:r>
      <w:r>
        <w:t xml:space="preserve"> </w:t>
      </w:r>
      <w:r>
        <w:rPr>
          <w:b/>
          <w:bCs/>
        </w:rPr>
        <w:t xml:space="preserve">comes into operation on 1 January 2026</w:t>
      </w:r>
      <w:r>
        <w:t xml:space="preserve"> </w:t>
      </w:r>
      <w:r>
        <w:t xml:space="preserve">(with commencement notice published in the Gazette on 27 June 2025). (</w:t>
      </w:r>
      <w:hyperlink r:id="rId49">
        <w:r>
          <w:rPr>
            <w:rStyle w:val="Hyperlink"/>
          </w:rPr>
          <w:t xml:space="preserve">Communications Authority</w:t>
        </w:r>
      </w:hyperlink>
      <w:r>
        <w:t xml:space="preserve">)</w:t>
      </w:r>
    </w:p>
    <w:bookmarkEnd w:id="253"/>
    <w:bookmarkStart w:id="254" w:name="X74c54e09b689a1d133f53017bf1db024a905e4f"/>
    <w:p>
      <w:pPr>
        <w:pStyle w:val="Heading2"/>
      </w:pPr>
      <w:r>
        <w:t xml:space="preserve">Exact Legal / Regulatory Criteria (primary text)</w:t>
      </w:r>
    </w:p>
    <w:bookmarkEnd w:id="254"/>
    <w:bookmarkStart w:id="255" w:name="X024943b1a39300fb9a48fc83fcad6e6f8e0f166"/>
    <w:p>
      <w:pPr>
        <w:pStyle w:val="Heading2"/>
      </w:pPr>
      <w:r>
        <w:t xml:space="preserve">A) “Critical infrastructure” — definition + sectors</w:t>
      </w:r>
    </w:p>
    <w:p>
      <w:pPr>
        <w:pStyle w:val="FirstParagraph"/>
      </w:pPr>
      <w:r>
        <w:rPr>
          <w:b/>
          <w:bCs/>
        </w:rPr>
        <w:t xml:space="preserve">Definition (section 2):</w:t>
      </w:r>
      <w:r>
        <w:t xml:space="preserve"> </w:t>
      </w:r>
      <w:r>
        <w:t xml:space="preserve">“critical infrastructure” means an infrastructure that is:</w:t>
      </w:r>
    </w:p>
    <w:p>
      <w:pPr>
        <w:pStyle w:val="Compact"/>
        <w:numPr>
          <w:ilvl w:val="0"/>
          <w:numId w:val="1212"/>
        </w:numPr>
      </w:pPr>
      <w:r>
        <w:rPr>
          <w:b/>
          <w:bCs/>
        </w:rPr>
        <w:t xml:space="preserve">related to a sector specified in Schedule 1</w:t>
      </w:r>
      <w:r>
        <w:t xml:space="preserve">, and</w:t>
      </w:r>
    </w:p>
    <w:p>
      <w:pPr>
        <w:pStyle w:val="Compact"/>
        <w:numPr>
          <w:ilvl w:val="0"/>
          <w:numId w:val="1212"/>
        </w:numPr>
      </w:pPr>
      <w:r>
        <w:rPr>
          <w:b/>
          <w:bCs/>
        </w:rPr>
        <w:t xml:space="preserve">provides an essential service in Hong Kong</w:t>
      </w:r>
      <w:r>
        <w:t xml:space="preserve">, and</w:t>
      </w:r>
    </w:p>
    <w:p>
      <w:pPr>
        <w:pStyle w:val="Compact"/>
        <w:numPr>
          <w:ilvl w:val="0"/>
          <w:numId w:val="1212"/>
        </w:numPr>
      </w:pPr>
      <w:r>
        <w:t xml:space="preserve">the disruption/compromise described in the definition would</w:t>
      </w:r>
      <w:r>
        <w:t xml:space="preserve"> </w:t>
      </w:r>
      <w:r>
        <w:rPr>
          <w:b/>
          <w:bCs/>
        </w:rPr>
        <w:t xml:space="preserve">hinder or substantially affect</w:t>
      </w:r>
      <w:r>
        <w:t xml:space="preserve"> </w:t>
      </w:r>
      <w:r>
        <w:t xml:space="preserve">maintenance of</w:t>
      </w:r>
      <w:r>
        <w:t xml:space="preserve"> </w:t>
      </w:r>
      <w:r>
        <w:rPr>
          <w:b/>
          <w:bCs/>
        </w:rPr>
        <w:t xml:space="preserve">critical societal and economic activities in Hong Kong</w:t>
      </w:r>
      <w:r>
        <w:t xml:space="preserve">. (</w:t>
      </w:r>
      <w:hyperlink r:id="rId48">
        <w:r>
          <w:rPr>
            <w:rStyle w:val="Hyperlink"/>
          </w:rPr>
          <w:t xml:space="preserve">Legislative Council of Hong Kong</w:t>
        </w:r>
      </w:hyperlink>
      <w:r>
        <w:t xml:space="preserve">)</w:t>
      </w:r>
    </w:p>
    <w:p>
      <w:pPr>
        <w:pStyle w:val="FirstParagraph"/>
      </w:pPr>
      <w:r>
        <w:rPr>
          <w:b/>
          <w:bCs/>
        </w:rPr>
        <w:t xml:space="preserve">Schedule 1 sectors</w:t>
      </w:r>
      <w:r>
        <w:t xml:space="preserve"> </w:t>
      </w:r>
      <w:r>
        <w:t xml:space="preserve">(for the definition of “critical infrastructure”) include:</w:t>
      </w:r>
      <w:r>
        <w:t xml:space="preserve"> </w:t>
      </w:r>
      <w:r>
        <w:rPr>
          <w:b/>
          <w:bCs/>
        </w:rPr>
        <w:t xml:space="preserve">Energy; Information technology; Banking and financial services; Air transport; Land transport; Maritime transport; Healthcare services; Telecommunications and broadcasting services</w:t>
      </w:r>
      <w:r>
        <w:t xml:space="preserve">. (</w:t>
      </w:r>
      <w:hyperlink r:id="rId48">
        <w:r>
          <w:rPr>
            <w:rStyle w:val="Hyperlink"/>
          </w:rPr>
          <w:t xml:space="preserve">Legislative Council of Hong Kong</w:t>
        </w:r>
      </w:hyperlink>
      <w:r>
        <w:t xml:space="preserve">)</w:t>
      </w:r>
    </w:p>
    <w:bookmarkEnd w:id="255"/>
    <w:bookmarkStart w:id="256" w:name="X7ecd4cc2027acde7f8c146ae07a9128f72fc74e"/>
    <w:p>
      <w:pPr>
        <w:pStyle w:val="Heading2"/>
      </w:pPr>
      <w:r>
        <w:t xml:space="preserve">B) “Specified critical infrastructure” — which regulator applies</w:t>
      </w:r>
    </w:p>
    <w:p>
      <w:pPr>
        <w:pStyle w:val="FirstParagraph"/>
      </w:pPr>
      <w:r>
        <w:t xml:space="preserve">For a</w:t>
      </w:r>
      <w:r>
        <w:t xml:space="preserve"> </w:t>
      </w:r>
      <w:r>
        <w:rPr>
          <w:b/>
          <w:bCs/>
        </w:rPr>
        <w:t xml:space="preserve">critical infrastructure</w:t>
      </w:r>
      <w:r>
        <w:t xml:space="preserve"> </w:t>
      </w:r>
      <w:r>
        <w:t xml:space="preserve">to be a</w:t>
      </w:r>
      <w:r>
        <w:t xml:space="preserve"> </w:t>
      </w:r>
      <w:r>
        <w:rPr>
          <w:b/>
          <w:bCs/>
        </w:rPr>
        <w:t xml:space="preserve">specified critical infrastructure</w:t>
      </w:r>
      <w:r>
        <w:t xml:space="preserve"> </w:t>
      </w:r>
      <w:r>
        <w:t xml:space="preserve">(section 2(3)):</w:t>
      </w:r>
    </w:p>
    <w:p>
      <w:pPr>
        <w:pStyle w:val="Compact"/>
        <w:numPr>
          <w:ilvl w:val="0"/>
          <w:numId w:val="1213"/>
        </w:numPr>
      </w:pPr>
      <w:r>
        <w:t xml:space="preserve">it must be</w:t>
      </w:r>
      <w:r>
        <w:t xml:space="preserve"> </w:t>
      </w:r>
      <w:r>
        <w:rPr>
          <w:b/>
          <w:bCs/>
        </w:rPr>
        <w:t xml:space="preserve">related to</w:t>
      </w:r>
      <w:r>
        <w:t xml:space="preserve"> </w:t>
      </w:r>
      <w:r>
        <w:t xml:space="preserve">a sector in</w:t>
      </w:r>
      <w:r>
        <w:t xml:space="preserve"> </w:t>
      </w:r>
      <w:r>
        <w:rPr>
          <w:b/>
          <w:bCs/>
        </w:rPr>
        <w:t xml:space="preserve">Schedule 1</w:t>
      </w:r>
      <w:r>
        <w:t xml:space="preserve">, and</w:t>
      </w:r>
    </w:p>
    <w:p>
      <w:pPr>
        <w:pStyle w:val="Compact"/>
        <w:numPr>
          <w:ilvl w:val="0"/>
          <w:numId w:val="1213"/>
        </w:numPr>
      </w:pPr>
      <w:r>
        <w:t xml:space="preserve">it is specified</w:t>
      </w:r>
      <w:r>
        <w:t xml:space="preserve"> </w:t>
      </w:r>
      <w:r>
        <w:rPr>
          <w:b/>
          <w:bCs/>
        </w:rPr>
        <w:t xml:space="preserve">for a designated authority</w:t>
      </w:r>
      <w:r>
        <w:t xml:space="preserve"> </w:t>
      </w:r>
      <w:r>
        <w:t xml:space="preserve">if it is related to a sector in</w:t>
      </w:r>
      <w:r>
        <w:t xml:space="preserve"> </w:t>
      </w:r>
      <w:r>
        <w:rPr>
          <w:b/>
          <w:bCs/>
        </w:rPr>
        <w:t xml:space="preserve">Schedule 2</w:t>
      </w:r>
      <w:r>
        <w:t xml:space="preserve"> </w:t>
      </w:r>
      <w:r>
        <w:t xml:space="preserve">and is operated by a</w:t>
      </w:r>
      <w:r>
        <w:t xml:space="preserve"> </w:t>
      </w:r>
      <w:r>
        <w:rPr>
          <w:b/>
          <w:bCs/>
        </w:rPr>
        <w:t xml:space="preserve">regulated organization</w:t>
      </w:r>
      <w:r>
        <w:t xml:space="preserve"> </w:t>
      </w:r>
      <w:r>
        <w:t xml:space="preserve">in Schedule 2; otherwise it is specified</w:t>
      </w:r>
      <w:r>
        <w:t xml:space="preserve"> </w:t>
      </w:r>
      <w:r>
        <w:rPr>
          <w:b/>
          <w:bCs/>
        </w:rPr>
        <w:t xml:space="preserve">for the Commissioner</w:t>
      </w:r>
      <w:r>
        <w:t xml:space="preserve">. (</w:t>
      </w:r>
      <w:hyperlink r:id="rId48">
        <w:r>
          <w:rPr>
            <w:rStyle w:val="Hyperlink"/>
          </w:rPr>
          <w:t xml:space="preserve">Legislative Council of Hong Kong</w:t>
        </w:r>
      </w:hyperlink>
      <w:r>
        <w:t xml:space="preserve">)</w:t>
      </w:r>
    </w:p>
    <w:p>
      <w:pPr>
        <w:pStyle w:val="FirstParagraph"/>
      </w:pPr>
      <w:r>
        <w:rPr>
          <w:b/>
          <w:bCs/>
        </w:rPr>
        <w:t xml:space="preserve">Designated authorities in Schedule 2:</w:t>
      </w:r>
    </w:p>
    <w:p>
      <w:pPr>
        <w:pStyle w:val="Compact"/>
        <w:numPr>
          <w:ilvl w:val="0"/>
          <w:numId w:val="1214"/>
        </w:numPr>
      </w:pPr>
      <w:r>
        <w:rPr>
          <w:b/>
          <w:bCs/>
        </w:rPr>
        <w:t xml:space="preserve">Monetary Authority</w:t>
      </w:r>
      <w:r>
        <w:t xml:space="preserve"> </w:t>
      </w:r>
      <w:r>
        <w:t xml:space="preserve">(for</w:t>
      </w:r>
      <w:r>
        <w:t xml:space="preserve"> </w:t>
      </w:r>
      <w:r>
        <w:rPr>
          <w:b/>
          <w:bCs/>
        </w:rPr>
        <w:t xml:space="preserve">Banking and financial services</w:t>
      </w:r>
      <w:r>
        <w:t xml:space="preserve">)</w:t>
      </w:r>
    </w:p>
    <w:p>
      <w:pPr>
        <w:pStyle w:val="Compact"/>
        <w:numPr>
          <w:ilvl w:val="0"/>
          <w:numId w:val="1214"/>
        </w:numPr>
      </w:pPr>
      <w:r>
        <w:rPr>
          <w:b/>
          <w:bCs/>
        </w:rPr>
        <w:t xml:space="preserve">Communications Authority</w:t>
      </w:r>
      <w:r>
        <w:t xml:space="preserve"> </w:t>
      </w:r>
      <w:r>
        <w:t xml:space="preserve">(for</w:t>
      </w:r>
      <w:r>
        <w:t xml:space="preserve"> </w:t>
      </w:r>
      <w:r>
        <w:rPr>
          <w:b/>
          <w:bCs/>
        </w:rPr>
        <w:t xml:space="preserve">Telecommunications and broadcasting services</w:t>
      </w:r>
      <w:r>
        <w:t xml:space="preserve">) (</w:t>
      </w:r>
      <w:hyperlink r:id="rId48">
        <w:r>
          <w:rPr>
            <w:rStyle w:val="Hyperlink"/>
          </w:rPr>
          <w:t xml:space="preserve">Legislative Council of Hong Kong</w:t>
        </w:r>
      </w:hyperlink>
      <w:r>
        <w:t xml:space="preserve">)</w:t>
      </w:r>
    </w:p>
    <w:p>
      <w:pPr>
        <w:pStyle w:val="FirstParagraph"/>
      </w:pPr>
      <w:r>
        <w:rPr>
          <w:b/>
          <w:bCs/>
        </w:rPr>
        <w:t xml:space="preserve">Regulating authority rule (section 5):</w:t>
      </w:r>
      <w:r>
        <w:t xml:space="preserve"> </w:t>
      </w:r>
      <w:r>
        <w:t xml:space="preserve">the</w:t>
      </w:r>
      <w:r>
        <w:t xml:space="preserve"> </w:t>
      </w:r>
      <w:r>
        <w:rPr>
          <w:b/>
          <w:bCs/>
        </w:rPr>
        <w:t xml:space="preserve">Commissioner</w:t>
      </w:r>
      <w:r>
        <w:t xml:space="preserve"> </w:t>
      </w:r>
      <w:r>
        <w:t xml:space="preserve">is the regulating authority for CI operators</w:t>
      </w:r>
      <w:r>
        <w:t xml:space="preserve"> </w:t>
      </w:r>
      <w:r>
        <w:rPr>
          <w:b/>
          <w:bCs/>
        </w:rPr>
        <w:t xml:space="preserve">unless</w:t>
      </w:r>
      <w:r>
        <w:t xml:space="preserve"> </w:t>
      </w:r>
      <w:r>
        <w:t xml:space="preserve">the operator operates a specified critical infrastructure specified for a</w:t>
      </w:r>
      <w:r>
        <w:t xml:space="preserve"> </w:t>
      </w:r>
      <w:r>
        <w:rPr>
          <w:b/>
          <w:bCs/>
        </w:rPr>
        <w:t xml:space="preserve">designated authority</w:t>
      </w:r>
      <w:r>
        <w:t xml:space="preserve">, in which case the</w:t>
      </w:r>
      <w:r>
        <w:t xml:space="preserve"> </w:t>
      </w:r>
      <w:r>
        <w:rPr>
          <w:b/>
          <w:bCs/>
        </w:rPr>
        <w:t xml:space="preserve">designated authority</w:t>
      </w:r>
      <w:r>
        <w:t xml:space="preserve"> </w:t>
      </w:r>
      <w:r>
        <w:t xml:space="preserve">regulates that operator. (</w:t>
      </w:r>
      <w:hyperlink r:id="rId48">
        <w:r>
          <w:rPr>
            <w:rStyle w:val="Hyperlink"/>
          </w:rPr>
          <w:t xml:space="preserve">Legislative Council of Hong Kong</w:t>
        </w:r>
      </w:hyperlink>
      <w:r>
        <w:t xml:space="preserve">)</w:t>
      </w:r>
    </w:p>
    <w:bookmarkEnd w:id="256"/>
    <w:bookmarkStart w:id="257" w:name="X8522dd88498526baa74dccf23b30a1c827d4e6e"/>
    <w:p>
      <w:pPr>
        <w:pStyle w:val="Heading2"/>
      </w:pPr>
      <w:r>
        <w:t xml:space="preserve">C) CI operator — designation test (section 12)</w:t>
      </w:r>
    </w:p>
    <w:p>
      <w:pPr>
        <w:pStyle w:val="FirstParagraph"/>
      </w:pPr>
      <w:r>
        <w:t xml:space="preserve">A regulating authority may</w:t>
      </w:r>
      <w:r>
        <w:t xml:space="preserve"> </w:t>
      </w:r>
      <w:r>
        <w:rPr>
          <w:b/>
          <w:bCs/>
        </w:rPr>
        <w:t xml:space="preserve">designate an organization</w:t>
      </w:r>
      <w:r>
        <w:t xml:space="preserve"> </w:t>
      </w:r>
      <w:r>
        <w:t xml:space="preserve">as a</w:t>
      </w:r>
      <w:r>
        <w:t xml:space="preserve"> </w:t>
      </w:r>
      <w:r>
        <w:rPr>
          <w:b/>
          <w:bCs/>
        </w:rPr>
        <w:t xml:space="preserve">CI operator</w:t>
      </w:r>
      <w:r>
        <w:t xml:space="preserve"> </w:t>
      </w:r>
      <w:r>
        <w:t xml:space="preserve">if the authority determines the organization has</w:t>
      </w:r>
      <w:r>
        <w:t xml:space="preserve"> </w:t>
      </w:r>
      <w:r>
        <w:rPr>
          <w:b/>
          <w:bCs/>
        </w:rPr>
        <w:t xml:space="preserve">ownership or control</w:t>
      </w:r>
      <w:r>
        <w:t xml:space="preserve"> </w:t>
      </w:r>
      <w:r>
        <w:t xml:space="preserve">in relation to the</w:t>
      </w:r>
      <w:r>
        <w:t xml:space="preserve"> </w:t>
      </w:r>
      <w:r>
        <w:rPr>
          <w:b/>
          <w:bCs/>
        </w:rPr>
        <w:t xml:space="preserve">operation</w:t>
      </w:r>
      <w:r>
        <w:t xml:space="preserve"> </w:t>
      </w:r>
      <w:r>
        <w:t xml:space="preserve">of the whole or part of a specified critical infrastructure, including (examples listed in section 12(2)):</w:t>
      </w:r>
    </w:p>
    <w:p>
      <w:pPr>
        <w:pStyle w:val="Compact"/>
        <w:numPr>
          <w:ilvl w:val="0"/>
          <w:numId w:val="1215"/>
        </w:numPr>
      </w:pPr>
      <w:r>
        <w:t xml:space="preserve">ownership/control of the whole/part of the infrastructure;</w:t>
      </w:r>
    </w:p>
    <w:p>
      <w:pPr>
        <w:pStyle w:val="Compact"/>
        <w:numPr>
          <w:ilvl w:val="0"/>
          <w:numId w:val="1215"/>
        </w:numPr>
      </w:pPr>
      <w:r>
        <w:t xml:space="preserve">operation of the whole/part;</w:t>
      </w:r>
    </w:p>
    <w:p>
      <w:pPr>
        <w:pStyle w:val="Compact"/>
        <w:numPr>
          <w:ilvl w:val="0"/>
          <w:numId w:val="1215"/>
        </w:numPr>
      </w:pPr>
      <w:r>
        <w:t xml:space="preserve">ability to</w:t>
      </w:r>
      <w:r>
        <w:t xml:space="preserve"> </w:t>
      </w:r>
      <w:r>
        <w:rPr>
          <w:b/>
          <w:bCs/>
        </w:rPr>
        <w:t xml:space="preserve">direct or influence</w:t>
      </w:r>
      <w:r>
        <w:t xml:space="preserve"> </w:t>
      </w:r>
      <w:r>
        <w:t xml:space="preserve">the operation. (</w:t>
      </w:r>
      <w:hyperlink r:id="rId48">
        <w:r>
          <w:rPr>
            <w:rStyle w:val="Hyperlink"/>
          </w:rPr>
          <w:t xml:space="preserve">Legislative Council of Hong Kong</w:t>
        </w:r>
      </w:hyperlink>
      <w:r>
        <w:t xml:space="preserve">)</w:t>
      </w:r>
    </w:p>
    <w:p>
      <w:pPr>
        <w:pStyle w:val="FirstParagraph"/>
      </w:pPr>
      <w:r>
        <w:t xml:space="preserve">In deciding whether to designate, section 12(3) lists factors including:</w:t>
      </w:r>
    </w:p>
    <w:p>
      <w:pPr>
        <w:pStyle w:val="Compact"/>
        <w:numPr>
          <w:ilvl w:val="0"/>
          <w:numId w:val="1216"/>
        </w:numPr>
      </w:pPr>
      <w:r>
        <w:rPr>
          <w:b/>
          <w:bCs/>
        </w:rPr>
        <w:t xml:space="preserve">degree of ownership or control</w:t>
      </w:r>
      <w:r>
        <w:t xml:space="preserve"> </w:t>
      </w:r>
      <w:r>
        <w:t xml:space="preserve">in relation to operation;</w:t>
      </w:r>
    </w:p>
    <w:p>
      <w:pPr>
        <w:pStyle w:val="Compact"/>
        <w:numPr>
          <w:ilvl w:val="0"/>
          <w:numId w:val="1216"/>
        </w:numPr>
      </w:pPr>
      <w:r>
        <w:t xml:space="preserve">whether the organization can</w:t>
      </w:r>
      <w:r>
        <w:t xml:space="preserve"> </w:t>
      </w:r>
      <w:r>
        <w:rPr>
          <w:b/>
          <w:bCs/>
        </w:rPr>
        <w:t xml:space="preserve">direct or influence</w:t>
      </w:r>
      <w:r>
        <w:t xml:space="preserve"> </w:t>
      </w:r>
      <w:r>
        <w:t xml:space="preserve">the operation;</w:t>
      </w:r>
    </w:p>
    <w:p>
      <w:pPr>
        <w:pStyle w:val="Compact"/>
        <w:numPr>
          <w:ilvl w:val="0"/>
          <w:numId w:val="1216"/>
        </w:numPr>
      </w:pPr>
      <w:r>
        <w:t xml:space="preserve">any other factor the authority considers relevant. (</w:t>
      </w:r>
      <w:hyperlink r:id="rId48">
        <w:r>
          <w:rPr>
            <w:rStyle w:val="Hyperlink"/>
          </w:rPr>
          <w:t xml:space="preserve">Legislative Council of Hong Kong</w:t>
        </w:r>
      </w:hyperlink>
      <w:r>
        <w:t xml:space="preserve">)</w:t>
      </w:r>
    </w:p>
    <w:bookmarkEnd w:id="257"/>
    <w:bookmarkStart w:id="258" w:name="Xe59908ce1fbd31047e58cf115152314a78bd548"/>
    <w:p>
      <w:pPr>
        <w:pStyle w:val="Heading2"/>
      </w:pPr>
      <w:r>
        <w:t xml:space="preserve">D) Critical computer system — designation test (section 13)</w:t>
      </w:r>
    </w:p>
    <w:p>
      <w:pPr>
        <w:pStyle w:val="FirstParagraph"/>
      </w:pPr>
      <w:r>
        <w:t xml:space="preserve">A regulating authority may</w:t>
      </w:r>
      <w:r>
        <w:t xml:space="preserve"> </w:t>
      </w:r>
      <w:r>
        <w:rPr>
          <w:b/>
          <w:bCs/>
        </w:rPr>
        <w:t xml:space="preserve">designate a computer system</w:t>
      </w:r>
      <w:r>
        <w:t xml:space="preserve"> </w:t>
      </w:r>
      <w:r>
        <w:t xml:space="preserve">as a</w:t>
      </w:r>
      <w:r>
        <w:t xml:space="preserve"> </w:t>
      </w:r>
      <w:r>
        <w:rPr>
          <w:b/>
          <w:bCs/>
        </w:rPr>
        <w:t xml:space="preserve">critical computer system</w:t>
      </w:r>
      <w:r>
        <w:t xml:space="preserve"> </w:t>
      </w:r>
      <w:r>
        <w:t xml:space="preserve">of a specified critical infrastructure if (section 13(1)):</w:t>
      </w:r>
    </w:p>
    <w:p>
      <w:pPr>
        <w:pStyle w:val="Compact"/>
        <w:numPr>
          <w:ilvl w:val="0"/>
          <w:numId w:val="1217"/>
        </w:numPr>
      </w:pPr>
      <w:r>
        <w:t xml:space="preserve">it is a computer system</w:t>
      </w:r>
      <w:r>
        <w:t xml:space="preserve"> </w:t>
      </w:r>
      <w:r>
        <w:rPr>
          <w:b/>
          <w:bCs/>
        </w:rPr>
        <w:t xml:space="preserve">operated by</w:t>
      </w:r>
      <w:r>
        <w:t xml:space="preserve"> </w:t>
      </w:r>
      <w:r>
        <w:t xml:space="preserve">the CI operator or another person;</w:t>
      </w:r>
    </w:p>
    <w:p>
      <w:pPr>
        <w:pStyle w:val="Compact"/>
        <w:numPr>
          <w:ilvl w:val="0"/>
          <w:numId w:val="1217"/>
        </w:numPr>
      </w:pPr>
      <w:r>
        <w:t xml:space="preserve">it is</w:t>
      </w:r>
      <w:r>
        <w:t xml:space="preserve"> </w:t>
      </w:r>
      <w:r>
        <w:rPr>
          <w:b/>
          <w:bCs/>
        </w:rPr>
        <w:t xml:space="preserve">accessible by the CI operator in or from Hong Kong</w:t>
      </w:r>
      <w:r>
        <w:t xml:space="preserve">; and</w:t>
      </w:r>
    </w:p>
    <w:p>
      <w:pPr>
        <w:pStyle w:val="Compact"/>
        <w:numPr>
          <w:ilvl w:val="0"/>
          <w:numId w:val="1217"/>
        </w:numPr>
      </w:pPr>
      <w:r>
        <w:t xml:space="preserve">it is</w:t>
      </w:r>
      <w:r>
        <w:t xml:space="preserve"> </w:t>
      </w:r>
      <w:r>
        <w:rPr>
          <w:b/>
          <w:bCs/>
        </w:rPr>
        <w:t xml:space="preserve">essential to the core function</w:t>
      </w:r>
      <w:r>
        <w:t xml:space="preserve"> </w:t>
      </w:r>
      <w:r>
        <w:t xml:space="preserve">of the infrastructure. (</w:t>
      </w:r>
      <w:hyperlink r:id="rId48">
        <w:r>
          <w:rPr>
            <w:rStyle w:val="Hyperlink"/>
          </w:rPr>
          <w:t xml:space="preserve">Legislative Council of Hong Kong</w:t>
        </w:r>
      </w:hyperlink>
      <w:r>
        <w:t xml:space="preserve">)</w:t>
      </w:r>
    </w:p>
    <w:p>
      <w:pPr>
        <w:pStyle w:val="FirstParagraph"/>
      </w:pPr>
      <w:r>
        <w:t xml:space="preserve">In designating, section 13(2) lists factors including:</w:t>
      </w:r>
    </w:p>
    <w:p>
      <w:pPr>
        <w:pStyle w:val="Compact"/>
        <w:numPr>
          <w:ilvl w:val="0"/>
          <w:numId w:val="1218"/>
        </w:numPr>
      </w:pPr>
      <w:r>
        <w:t xml:space="preserve">extent to which the system is essential to the core function;</w:t>
      </w:r>
    </w:p>
    <w:p>
      <w:pPr>
        <w:pStyle w:val="Compact"/>
        <w:numPr>
          <w:ilvl w:val="0"/>
          <w:numId w:val="1218"/>
        </w:numPr>
      </w:pPr>
      <w:r>
        <w:t xml:space="preserve">whether it can be substituted;</w:t>
      </w:r>
    </w:p>
    <w:p>
      <w:pPr>
        <w:pStyle w:val="Compact"/>
        <w:numPr>
          <w:ilvl w:val="0"/>
          <w:numId w:val="1218"/>
        </w:numPr>
      </w:pPr>
      <w:r>
        <w:t xml:space="preserve">effect of compromise on operation/provision of essential service;</w:t>
      </w:r>
    </w:p>
    <w:p>
      <w:pPr>
        <w:pStyle w:val="Compact"/>
        <w:numPr>
          <w:ilvl w:val="0"/>
          <w:numId w:val="1218"/>
        </w:numPr>
      </w:pPr>
      <w:r>
        <w:t xml:space="preserve">connectivity/exposure;</w:t>
      </w:r>
    </w:p>
    <w:p>
      <w:pPr>
        <w:pStyle w:val="Compact"/>
        <w:numPr>
          <w:ilvl w:val="0"/>
          <w:numId w:val="1218"/>
        </w:numPr>
      </w:pPr>
      <w:r>
        <w:t xml:space="preserve">other factor the authority considers relevant. (</w:t>
      </w:r>
      <w:hyperlink r:id="rId48">
        <w:r>
          <w:rPr>
            <w:rStyle w:val="Hyperlink"/>
          </w:rPr>
          <w:t xml:space="preserve">Legislative Council of Hong Kong</w:t>
        </w:r>
      </w:hyperlink>
      <w:r>
        <w:t xml:space="preserve">)</w:t>
      </w:r>
    </w:p>
    <w:bookmarkEnd w:id="258"/>
    <w:bookmarkStart w:id="259" w:name="obligations-on-ci-operators-part-4"/>
    <w:p>
      <w:pPr>
        <w:pStyle w:val="Heading2"/>
      </w:pPr>
      <w:r>
        <w:t xml:space="preserve">Obligations on CI operators (Part 4)</w:t>
      </w:r>
    </w:p>
    <w:bookmarkEnd w:id="259"/>
    <w:bookmarkStart w:id="260" w:name="category-structure-definitions"/>
    <w:p>
      <w:pPr>
        <w:pStyle w:val="Heading2"/>
      </w:pPr>
      <w:r>
        <w:t xml:space="preserve">Category structure (definitions)</w:t>
      </w:r>
    </w:p>
    <w:p>
      <w:pPr>
        <w:pStyle w:val="Compact"/>
        <w:numPr>
          <w:ilvl w:val="0"/>
          <w:numId w:val="1219"/>
        </w:numPr>
      </w:pPr>
      <w:r>
        <w:rPr>
          <w:b/>
          <w:bCs/>
        </w:rPr>
        <w:t xml:space="preserve">Category 1 obligation:</w:t>
      </w:r>
      <w:r>
        <w:t xml:space="preserve"> </w:t>
      </w:r>
      <w:r>
        <w:t xml:space="preserve">an obligation in</w:t>
      </w:r>
      <w:r>
        <w:t xml:space="preserve"> </w:t>
      </w:r>
      <w:r>
        <w:rPr>
          <w:b/>
          <w:bCs/>
        </w:rPr>
        <w:t xml:space="preserve">Division 1 of Part 4</w:t>
      </w:r>
      <w:r>
        <w:t xml:space="preserve"> </w:t>
      </w:r>
      <w:r>
        <w:t xml:space="preserve">(</w:t>
      </w:r>
      <w:hyperlink r:id="rId48">
        <w:r>
          <w:rPr>
            <w:rStyle w:val="Hyperlink"/>
          </w:rPr>
          <w:t xml:space="preserve">Legislative Council of Hong Kong</w:t>
        </w:r>
      </w:hyperlink>
      <w:r>
        <w:t xml:space="preserve">)</w:t>
      </w:r>
    </w:p>
    <w:p>
      <w:pPr>
        <w:pStyle w:val="Compact"/>
        <w:numPr>
          <w:ilvl w:val="0"/>
          <w:numId w:val="1219"/>
        </w:numPr>
      </w:pPr>
      <w:r>
        <w:rPr>
          <w:b/>
          <w:bCs/>
        </w:rPr>
        <w:t xml:space="preserve">Category 2 obligation:</w:t>
      </w:r>
      <w:r>
        <w:t xml:space="preserve"> </w:t>
      </w:r>
      <w:r>
        <w:t xml:space="preserve">an obligation in</w:t>
      </w:r>
      <w:r>
        <w:t xml:space="preserve"> </w:t>
      </w:r>
      <w:r>
        <w:rPr>
          <w:b/>
          <w:bCs/>
        </w:rPr>
        <w:t xml:space="preserve">Division 2 of Part 4</w:t>
      </w:r>
      <w:r>
        <w:t xml:space="preserve"> </w:t>
      </w:r>
      <w:r>
        <w:t xml:space="preserve">(</w:t>
      </w:r>
      <w:hyperlink r:id="rId48">
        <w:r>
          <w:rPr>
            <w:rStyle w:val="Hyperlink"/>
          </w:rPr>
          <w:t xml:space="preserve">Legislative Council of Hong Kong</w:t>
        </w:r>
      </w:hyperlink>
      <w:r>
        <w:t xml:space="preserve">)</w:t>
      </w:r>
    </w:p>
    <w:p>
      <w:pPr>
        <w:pStyle w:val="Compact"/>
        <w:numPr>
          <w:ilvl w:val="0"/>
          <w:numId w:val="1219"/>
        </w:numPr>
      </w:pPr>
      <w:r>
        <w:rPr>
          <w:b/>
          <w:bCs/>
        </w:rPr>
        <w:t xml:space="preserve">Category 3 obligation:</w:t>
      </w:r>
      <w:r>
        <w:t xml:space="preserve"> </w:t>
      </w:r>
      <w:r>
        <w:t xml:space="preserve">an obligation in</w:t>
      </w:r>
      <w:r>
        <w:t xml:space="preserve"> </w:t>
      </w:r>
      <w:r>
        <w:rPr>
          <w:b/>
          <w:bCs/>
        </w:rPr>
        <w:t xml:space="preserve">Division 3 of Part 4</w:t>
      </w:r>
      <w:r>
        <w:t xml:space="preserve"> </w:t>
      </w:r>
      <w:r>
        <w:t xml:space="preserve">(</w:t>
      </w:r>
      <w:hyperlink r:id="rId48">
        <w:r>
          <w:rPr>
            <w:rStyle w:val="Hyperlink"/>
          </w:rPr>
          <w:t xml:space="preserve">Legislative Council of Hong Kong</w:t>
        </w:r>
      </w:hyperlink>
      <w:r>
        <w:t xml:space="preserve">)</w:t>
      </w:r>
    </w:p>
    <w:bookmarkEnd w:id="260"/>
    <w:bookmarkStart w:id="261" w:name="category-1-obligations-examples"/>
    <w:p>
      <w:pPr>
        <w:pStyle w:val="Heading2"/>
      </w:pPr>
      <w:r>
        <w:t xml:space="preserve">Category 1 obligations (examples)</w:t>
      </w:r>
    </w:p>
    <w:p>
      <w:pPr>
        <w:pStyle w:val="FirstParagraph"/>
      </w:pPr>
      <w:r>
        <w:rPr>
          <w:b/>
          <w:bCs/>
        </w:rPr>
        <w:t xml:space="preserve">Section 19 — Office in Hong Kong / contact means:</w:t>
      </w:r>
      <w:r>
        <w:t xml:space="preserve"> </w:t>
      </w:r>
      <w:r>
        <w:t xml:space="preserve">CI operator must</w:t>
      </w:r>
      <w:r>
        <w:t xml:space="preserve"> </w:t>
      </w:r>
      <w:r>
        <w:rPr>
          <w:b/>
          <w:bCs/>
        </w:rPr>
        <w:t xml:space="preserve">maintain an office in Hong Kong</w:t>
      </w:r>
      <w:r>
        <w:t xml:space="preserve"> </w:t>
      </w:r>
      <w:r>
        <w:t xml:space="preserve">and</w:t>
      </w:r>
      <w:r>
        <w:t xml:space="preserve"> </w:t>
      </w:r>
      <w:r>
        <w:rPr>
          <w:b/>
          <w:bCs/>
        </w:rPr>
        <w:t xml:space="preserve">provide the regulating authority</w:t>
      </w:r>
      <w:r>
        <w:t xml:space="preserve"> </w:t>
      </w:r>
      <w:r>
        <w:t xml:space="preserve">with (among other items) the</w:t>
      </w:r>
      <w:r>
        <w:t xml:space="preserve"> </w:t>
      </w:r>
      <w:r>
        <w:rPr>
          <w:b/>
          <w:bCs/>
        </w:rPr>
        <w:t xml:space="preserve">address</w:t>
      </w:r>
      <w:r>
        <w:t xml:space="preserve">, and the</w:t>
      </w:r>
      <w:r>
        <w:t xml:space="preserve"> </w:t>
      </w:r>
      <w:r>
        <w:rPr>
          <w:b/>
          <w:bCs/>
        </w:rPr>
        <w:t xml:space="preserve">means</w:t>
      </w:r>
      <w:r>
        <w:t xml:space="preserve"> </w:t>
      </w:r>
      <w:r>
        <w:t xml:space="preserve">by which the operator may be contacted. (</w:t>
      </w:r>
      <w:hyperlink r:id="rId48">
        <w:r>
          <w:rPr>
            <w:rStyle w:val="Hyperlink"/>
          </w:rPr>
          <w:t xml:space="preserve">Legislative Council of Hong Kong</w:t>
        </w:r>
      </w:hyperlink>
      <w:r>
        <w:t xml:space="preserve">)</w:t>
      </w:r>
    </w:p>
    <w:p>
      <w:pPr>
        <w:pStyle w:val="BodyText"/>
      </w:pPr>
      <w:r>
        <w:rPr>
          <w:b/>
          <w:bCs/>
        </w:rPr>
        <w:t xml:space="preserve">Section 21 — Computer-system security management unit:</w:t>
      </w:r>
      <w:r>
        <w:t xml:space="preserve"> </w:t>
      </w:r>
      <w:r>
        <w:t xml:space="preserve">CI operator must</w:t>
      </w:r>
      <w:r>
        <w:t xml:space="preserve"> </w:t>
      </w:r>
      <w:r>
        <w:rPr>
          <w:b/>
          <w:bCs/>
        </w:rPr>
        <w:t xml:space="preserve">establish a unit</w:t>
      </w:r>
      <w:r>
        <w:t xml:space="preserve"> </w:t>
      </w:r>
      <w:r>
        <w:t xml:space="preserve">(however described) responsible for computer-system security of critical computer systems and must provide specified particulars to the regulating authority. (</w:t>
      </w:r>
      <w:hyperlink r:id="rId48">
        <w:r>
          <w:rPr>
            <w:rStyle w:val="Hyperlink"/>
          </w:rPr>
          <w:t xml:space="preserve">Legislative Council of Hong Kong</w:t>
        </w:r>
      </w:hyperlink>
      <w:r>
        <w:t xml:space="preserve">)</w:t>
      </w:r>
    </w:p>
    <w:bookmarkEnd w:id="261"/>
    <w:bookmarkStart w:id="262" w:name="X0f5fb86e5521d77cb240fcaefe600ecac4fe541"/>
    <w:p>
      <w:pPr>
        <w:pStyle w:val="Heading2"/>
      </w:pPr>
      <w:r>
        <w:t xml:space="preserve">Category 2 obligations (management plan + change notification + risk assessment + audit)</w:t>
      </w:r>
    </w:p>
    <w:p>
      <w:pPr>
        <w:pStyle w:val="FirstParagraph"/>
      </w:pPr>
      <w:r>
        <w:rPr>
          <w:b/>
          <w:bCs/>
        </w:rPr>
        <w:t xml:space="preserve">Section 22 — Notify certain events within 1 month:</w:t>
      </w:r>
      <w:r>
        <w:t xml:space="preserve"> </w:t>
      </w:r>
      <w:r>
        <w:t xml:space="preserve">if events listed in section 22(2) occur (including material change to design/configuration/security/operation of a critical computer system; removal of a critical computer system; adding an accessible system essential to core function; or change making an existing accessible system essential to core function), the CI operator must</w:t>
      </w:r>
      <w:r>
        <w:t xml:space="preserve"> </w:t>
      </w:r>
      <w:r>
        <w:rPr>
          <w:b/>
          <w:bCs/>
        </w:rPr>
        <w:t xml:space="preserve">notify</w:t>
      </w:r>
      <w:r>
        <w:t xml:space="preserve"> </w:t>
      </w:r>
      <w:r>
        <w:t xml:space="preserve">the regulating authority</w:t>
      </w:r>
      <w:r>
        <w:t xml:space="preserve"> </w:t>
      </w:r>
      <w:r>
        <w:rPr>
          <w:b/>
          <w:bCs/>
        </w:rPr>
        <w:t xml:space="preserve">within 1 month</w:t>
      </w:r>
      <w:r>
        <w:t xml:space="preserve"> </w:t>
      </w:r>
      <w:r>
        <w:t xml:space="preserve">of the event. (</w:t>
      </w:r>
      <w:hyperlink r:id="rId48">
        <w:r>
          <w:rPr>
            <w:rStyle w:val="Hyperlink"/>
          </w:rPr>
          <w:t xml:space="preserve">Legislative Council of Hong Kong</w:t>
        </w:r>
      </w:hyperlink>
      <w:r>
        <w:t xml:space="preserve">)</w:t>
      </w:r>
    </w:p>
    <w:p>
      <w:pPr>
        <w:pStyle w:val="BodyText"/>
      </w:pPr>
      <w:r>
        <w:rPr>
          <w:b/>
          <w:bCs/>
        </w:rPr>
        <w:t xml:space="preserve">Section 23 — Submit &amp; implement a computer-system security management plan (3 months):</w:t>
      </w:r>
      <w:r>
        <w:t xml:space="preserve"> </w:t>
      </w:r>
      <w:r>
        <w:t xml:space="preserve">CI operator must submit the plan</w:t>
      </w:r>
      <w:r>
        <w:t xml:space="preserve"> </w:t>
      </w:r>
      <w:r>
        <w:rPr>
          <w:b/>
          <w:bCs/>
        </w:rPr>
        <w:t xml:space="preserve">within 3 months after the operator’s designation date</w:t>
      </w:r>
      <w:r>
        <w:t xml:space="preserve"> </w:t>
      </w:r>
      <w:r>
        <w:t xml:space="preserve">(extendable on application), and implement it; the plan must cover all matters in</w:t>
      </w:r>
      <w:r>
        <w:t xml:space="preserve"> </w:t>
      </w:r>
      <w:r>
        <w:rPr>
          <w:b/>
          <w:bCs/>
        </w:rPr>
        <w:t xml:space="preserve">Schedule 3</w:t>
      </w:r>
      <w:r>
        <w:t xml:space="preserve">; revisions must be submitted</w:t>
      </w:r>
      <w:r>
        <w:t xml:space="preserve"> </w:t>
      </w:r>
      <w:r>
        <w:rPr>
          <w:b/>
          <w:bCs/>
        </w:rPr>
        <w:t xml:space="preserve">within 1 month</w:t>
      </w:r>
      <w:r>
        <w:t xml:space="preserve"> </w:t>
      </w:r>
      <w:r>
        <w:t xml:space="preserve">of revision. (</w:t>
      </w:r>
      <w:hyperlink r:id="rId48">
        <w:r>
          <w:rPr>
            <w:rStyle w:val="Hyperlink"/>
          </w:rPr>
          <w:t xml:space="preserve">Legislative Council of Hong Kong</w:t>
        </w:r>
      </w:hyperlink>
      <w:r>
        <w:t xml:space="preserve">)</w:t>
      </w:r>
    </w:p>
    <w:p>
      <w:pPr>
        <w:pStyle w:val="BodyText"/>
      </w:pPr>
      <w:r>
        <w:rPr>
          <w:b/>
          <w:bCs/>
        </w:rPr>
        <w:t xml:space="preserve">Section 24 — Risk assessments (first within 12 months; then annually):</w:t>
      </w:r>
    </w:p>
    <w:p>
      <w:pPr>
        <w:pStyle w:val="Compact"/>
        <w:numPr>
          <w:ilvl w:val="0"/>
          <w:numId w:val="1220"/>
        </w:numPr>
      </w:pPr>
      <w:r>
        <w:t xml:space="preserve">first risk assessment:</w:t>
      </w:r>
      <w:r>
        <w:t xml:space="preserve"> </w:t>
      </w:r>
      <w:r>
        <w:rPr>
          <w:b/>
          <w:bCs/>
        </w:rPr>
        <w:t xml:space="preserve">within 12 months</w:t>
      </w:r>
      <w:r>
        <w:t xml:space="preserve"> </w:t>
      </w:r>
      <w:r>
        <w:t xml:space="preserve">after designation date;</w:t>
      </w:r>
    </w:p>
    <w:p>
      <w:pPr>
        <w:pStyle w:val="Compact"/>
        <w:numPr>
          <w:ilvl w:val="0"/>
          <w:numId w:val="1220"/>
        </w:numPr>
      </w:pPr>
      <w:r>
        <w:t xml:space="preserve">subsequent:</w:t>
      </w:r>
      <w:r>
        <w:t xml:space="preserve"> </w:t>
      </w:r>
      <w:r>
        <w:rPr>
          <w:b/>
          <w:bCs/>
        </w:rPr>
        <w:t xml:space="preserve">at least once every 12 months</w:t>
      </w:r>
      <w:r>
        <w:t xml:space="preserve"> </w:t>
      </w:r>
      <w:r>
        <w:t xml:space="preserve">after expiry of the first period;</w:t>
      </w:r>
    </w:p>
    <w:p>
      <w:pPr>
        <w:pStyle w:val="Compact"/>
        <w:numPr>
          <w:ilvl w:val="0"/>
          <w:numId w:val="1220"/>
        </w:numPr>
      </w:pPr>
      <w:r>
        <w:t xml:space="preserve">report to regulator:</w:t>
      </w:r>
      <w:r>
        <w:t xml:space="preserve"> </w:t>
      </w:r>
      <w:r>
        <w:rPr>
          <w:b/>
          <w:bCs/>
        </w:rPr>
        <w:t xml:space="preserve">within 3 months</w:t>
      </w:r>
      <w:r>
        <w:t xml:space="preserve"> </w:t>
      </w:r>
      <w:r>
        <w:t xml:space="preserve">after expiry of the period for conducting the assessment (extendable on application). (</w:t>
      </w:r>
      <w:hyperlink r:id="rId48">
        <w:r>
          <w:rPr>
            <w:rStyle w:val="Hyperlink"/>
          </w:rPr>
          <w:t xml:space="preserve">Legislative Council of Hong Kong</w:t>
        </w:r>
      </w:hyperlink>
      <w:r>
        <w:t xml:space="preserve">)</w:t>
      </w:r>
    </w:p>
    <w:p>
      <w:pPr>
        <w:pStyle w:val="FirstParagraph"/>
      </w:pPr>
      <w:r>
        <w:rPr>
          <w:b/>
          <w:bCs/>
        </w:rPr>
        <w:t xml:space="preserve">Section 25 — Audits (first within 24 months; then every 24 months):</w:t>
      </w:r>
    </w:p>
    <w:p>
      <w:pPr>
        <w:pStyle w:val="Compact"/>
        <w:numPr>
          <w:ilvl w:val="0"/>
          <w:numId w:val="1221"/>
        </w:numPr>
      </w:pPr>
      <w:r>
        <w:t xml:space="preserve">first audit:</w:t>
      </w:r>
      <w:r>
        <w:t xml:space="preserve"> </w:t>
      </w:r>
      <w:r>
        <w:rPr>
          <w:b/>
          <w:bCs/>
        </w:rPr>
        <w:t xml:space="preserve">within 24 months</w:t>
      </w:r>
      <w:r>
        <w:t xml:space="preserve"> </w:t>
      </w:r>
      <w:r>
        <w:t xml:space="preserve">after designation date;</w:t>
      </w:r>
    </w:p>
    <w:p>
      <w:pPr>
        <w:pStyle w:val="Compact"/>
        <w:numPr>
          <w:ilvl w:val="0"/>
          <w:numId w:val="1221"/>
        </w:numPr>
      </w:pPr>
      <w:r>
        <w:t xml:space="preserve">subsequent:</w:t>
      </w:r>
      <w:r>
        <w:t xml:space="preserve"> </w:t>
      </w:r>
      <w:r>
        <w:rPr>
          <w:b/>
          <w:bCs/>
        </w:rPr>
        <w:t xml:space="preserve">at least once every 24 months</w:t>
      </w:r>
      <w:r>
        <w:t xml:space="preserve"> </w:t>
      </w:r>
      <w:r>
        <w:t xml:space="preserve">after expiry of the first period;</w:t>
      </w:r>
    </w:p>
    <w:p>
      <w:pPr>
        <w:pStyle w:val="Compact"/>
        <w:numPr>
          <w:ilvl w:val="0"/>
          <w:numId w:val="1221"/>
        </w:numPr>
      </w:pPr>
      <w:r>
        <w:t xml:space="preserve">report to regulator:</w:t>
      </w:r>
      <w:r>
        <w:t xml:space="preserve"> </w:t>
      </w:r>
      <w:r>
        <w:rPr>
          <w:b/>
          <w:bCs/>
        </w:rPr>
        <w:t xml:space="preserve">within 3 months</w:t>
      </w:r>
      <w:r>
        <w:t xml:space="preserve"> </w:t>
      </w:r>
      <w:r>
        <w:t xml:space="preserve">after expiry of the period for carrying out the audit (extendable on application). (</w:t>
      </w:r>
      <w:hyperlink r:id="rId48">
        <w:r>
          <w:rPr>
            <w:rStyle w:val="Hyperlink"/>
          </w:rPr>
          <w:t xml:space="preserve">Legislative Council of Hong Kong</w:t>
        </w:r>
      </w:hyperlink>
      <w:r>
        <w:t xml:space="preserve">)</w:t>
      </w:r>
    </w:p>
    <w:bookmarkEnd w:id="262"/>
    <w:bookmarkStart w:id="263" w:name="X9fc88b4c3c5c32b3c6fb8495a21c8dbda222e79"/>
    <w:p>
      <w:pPr>
        <w:pStyle w:val="Heading2"/>
      </w:pPr>
      <w:r>
        <w:t xml:space="preserve">Category 3 obligations (drills + emergency response plan + incident reporting)</w:t>
      </w:r>
    </w:p>
    <w:p>
      <w:pPr>
        <w:pStyle w:val="FirstParagraph"/>
      </w:pPr>
      <w:r>
        <w:rPr>
          <w:b/>
          <w:bCs/>
        </w:rPr>
        <w:t xml:space="preserve">Section 26 — Participation in drills:</w:t>
      </w:r>
      <w:r>
        <w:t xml:space="preserve"> </w:t>
      </w:r>
      <w:r>
        <w:t xml:space="preserve">Commissioner may require a CI operator to participate in a computer-system security drill (after reasonable notice). (</w:t>
      </w:r>
      <w:hyperlink r:id="rId48">
        <w:r>
          <w:rPr>
            <w:rStyle w:val="Hyperlink"/>
          </w:rPr>
          <w:t xml:space="preserve">Legislative Council of Hong Kong</w:t>
        </w:r>
      </w:hyperlink>
      <w:r>
        <w:t xml:space="preserve">)</w:t>
      </w:r>
    </w:p>
    <w:p>
      <w:pPr>
        <w:pStyle w:val="BodyText"/>
      </w:pPr>
      <w:r>
        <w:rPr>
          <w:b/>
          <w:bCs/>
        </w:rPr>
        <w:t xml:space="preserve">Section 27 — Emergency response plan (3 months):</w:t>
      </w:r>
      <w:r>
        <w:t xml:space="preserve"> </w:t>
      </w:r>
      <w:r>
        <w:t xml:space="preserve">CI operator must submit an emergency response plan to the Commissioner</w:t>
      </w:r>
      <w:r>
        <w:t xml:space="preserve"> </w:t>
      </w:r>
      <w:r>
        <w:rPr>
          <w:b/>
          <w:bCs/>
        </w:rPr>
        <w:t xml:space="preserve">within 3 months</w:t>
      </w:r>
      <w:r>
        <w:t xml:space="preserve"> </w:t>
      </w:r>
      <w:r>
        <w:t xml:space="preserve">after designation date (extendable on application), revisions within</w:t>
      </w:r>
      <w:r>
        <w:t xml:space="preserve"> </w:t>
      </w:r>
      <w:r>
        <w:rPr>
          <w:b/>
          <w:bCs/>
        </w:rPr>
        <w:t xml:space="preserve">1 month</w:t>
      </w:r>
      <w:r>
        <w:t xml:space="preserve">, and must implement the plan; the plan must cover matters in</w:t>
      </w:r>
      <w:r>
        <w:t xml:space="preserve"> </w:t>
      </w:r>
      <w:r>
        <w:rPr>
          <w:b/>
          <w:bCs/>
        </w:rPr>
        <w:t xml:space="preserve">Part 2 of Schedule 3</w:t>
      </w:r>
      <w:r>
        <w:t xml:space="preserve">. (</w:t>
      </w:r>
      <w:hyperlink r:id="rId48">
        <w:r>
          <w:rPr>
            <w:rStyle w:val="Hyperlink"/>
          </w:rPr>
          <w:t xml:space="preserve">Legislative Council of Hong Kong</w:t>
        </w:r>
      </w:hyperlink>
      <w:r>
        <w:t xml:space="preserve">)</w:t>
      </w:r>
    </w:p>
    <w:p>
      <w:pPr>
        <w:pStyle w:val="BodyText"/>
      </w:pPr>
      <w:r>
        <w:rPr>
          <w:b/>
          <w:bCs/>
        </w:rPr>
        <w:t xml:space="preserve">Section 28 — Notify incidents + follow-on written report (Schedule 6 times):</w:t>
      </w:r>
    </w:p>
    <w:p>
      <w:pPr>
        <w:pStyle w:val="Compact"/>
        <w:numPr>
          <w:ilvl w:val="0"/>
          <w:numId w:val="1222"/>
        </w:numPr>
      </w:pPr>
      <w:r>
        <w:t xml:space="preserve">notification must be made “as soon as practicable” and</w:t>
      </w:r>
      <w:r>
        <w:t xml:space="preserve"> </w:t>
      </w:r>
      <w:r>
        <w:rPr>
          <w:b/>
          <w:bCs/>
        </w:rPr>
        <w:t xml:space="preserve">within the specified time</w:t>
      </w:r>
      <w:r>
        <w:t xml:space="preserve">;</w:t>
      </w:r>
    </w:p>
    <w:p>
      <w:pPr>
        <w:pStyle w:val="Compact"/>
        <w:numPr>
          <w:ilvl w:val="0"/>
          <w:numId w:val="1222"/>
        </w:numPr>
      </w:pPr>
      <w:r>
        <w:t xml:space="preserve">if initial notice not in specified form/way, a written record must be submitted;</w:t>
      </w:r>
    </w:p>
    <w:p>
      <w:pPr>
        <w:pStyle w:val="Compact"/>
        <w:numPr>
          <w:ilvl w:val="0"/>
          <w:numId w:val="1222"/>
        </w:numPr>
      </w:pPr>
      <w:r>
        <w:t xml:space="preserve">CI operator must further submit a written report within the specified time. (</w:t>
      </w:r>
      <w:hyperlink r:id="rId48">
        <w:r>
          <w:rPr>
            <w:rStyle w:val="Hyperlink"/>
          </w:rPr>
          <w:t xml:space="preserve">Legislative Council of Hong Kong</w:t>
        </w:r>
      </w:hyperlink>
      <w:r>
        <w:t xml:space="preserve">)</w:t>
      </w:r>
    </w:p>
    <w:p>
      <w:pPr>
        <w:pStyle w:val="FirstParagraph"/>
      </w:pPr>
      <w:r>
        <w:rPr>
          <w:b/>
          <w:bCs/>
        </w:rPr>
        <w:t xml:space="preserve">Schedule 6 — specified times (examples shown in the schedule table):</w:t>
      </w:r>
    </w:p>
    <w:p>
      <w:pPr>
        <w:pStyle w:val="Compact"/>
        <w:numPr>
          <w:ilvl w:val="0"/>
          <w:numId w:val="1223"/>
        </w:numPr>
      </w:pPr>
      <w:r>
        <w:rPr>
          <w:b/>
          <w:bCs/>
        </w:rPr>
        <w:t xml:space="preserve">within 12 hours</w:t>
      </w:r>
      <w:r>
        <w:t xml:space="preserve"> </w:t>
      </w:r>
      <w:r>
        <w:t xml:space="preserve">in the circumstances set out in item 1(a);</w:t>
      </w:r>
    </w:p>
    <w:p>
      <w:pPr>
        <w:pStyle w:val="Compact"/>
        <w:numPr>
          <w:ilvl w:val="0"/>
          <w:numId w:val="1223"/>
        </w:numPr>
      </w:pPr>
      <w:r>
        <w:rPr>
          <w:b/>
          <w:bCs/>
        </w:rPr>
        <w:t xml:space="preserve">within 48 hours</w:t>
      </w:r>
      <w:r>
        <w:t xml:space="preserve"> </w:t>
      </w:r>
      <w:r>
        <w:t xml:space="preserve">in item 1(b);</w:t>
      </w:r>
    </w:p>
    <w:p>
      <w:pPr>
        <w:pStyle w:val="Compact"/>
        <w:numPr>
          <w:ilvl w:val="0"/>
          <w:numId w:val="1223"/>
        </w:numPr>
      </w:pPr>
      <w:r>
        <w:rPr>
          <w:b/>
          <w:bCs/>
        </w:rPr>
        <w:t xml:space="preserve">within 14 days</w:t>
      </w:r>
      <w:r>
        <w:t xml:space="preserve"> </w:t>
      </w:r>
      <w:r>
        <w:t xml:space="preserve">for the written report in item 2. (</w:t>
      </w:r>
      <w:hyperlink r:id="rId48">
        <w:r>
          <w:rPr>
            <w:rStyle w:val="Hyperlink"/>
          </w:rPr>
          <w:t xml:space="preserve">Legislative Council of Hong Kong</w:t>
        </w:r>
      </w:hyperlink>
      <w:r>
        <w:t xml:space="preserve">)</w:t>
      </w:r>
    </w:p>
    <w:bookmarkEnd w:id="263"/>
    <w:bookmarkStart w:id="264" w:name="health"/>
    <w:p>
      <w:pPr>
        <w:pStyle w:val="Heading2"/>
      </w:pPr>
      <w:r>
        <w:t xml:space="preserve">HEALTH</w:t>
      </w:r>
    </w:p>
    <w:p>
      <w:pPr>
        <w:pStyle w:val="FirstParagraph"/>
      </w:pPr>
      <w:r>
        <w:t xml:space="preserve">There is</w:t>
      </w:r>
      <w:r>
        <w:t xml:space="preserve"> </w:t>
      </w:r>
      <w:r>
        <w:rPr>
          <w:b/>
          <w:bCs/>
        </w:rPr>
        <w:t xml:space="preserve">one explicit health-specific element</w:t>
      </w:r>
      <w:r>
        <w:t xml:space="preserve"> </w:t>
      </w:r>
      <w:r>
        <w:t xml:space="preserve">in the Ordinance, and the rest is written in</w:t>
      </w:r>
      <w:r>
        <w:t xml:space="preserve"> </w:t>
      </w:r>
      <w:r>
        <w:rPr>
          <w:b/>
          <w:bCs/>
        </w:rPr>
        <w:t xml:space="preserve">sector-neutral</w:t>
      </w:r>
      <w:r>
        <w:t xml:space="preserve"> </w:t>
      </w:r>
      <w:r>
        <w:t xml:space="preserve">terms.</w:t>
      </w:r>
    </w:p>
    <w:p>
      <w:pPr>
        <w:pStyle w:val="Compact"/>
        <w:numPr>
          <w:ilvl w:val="0"/>
          <w:numId w:val="1224"/>
        </w:numPr>
      </w:pPr>
      <w:r>
        <w:rPr>
          <w:b/>
          <w:bCs/>
        </w:rPr>
        <w:t xml:space="preserve">Healthcare is explicitly a “sector” for CIs</w:t>
      </w:r>
    </w:p>
    <w:p>
      <w:pPr>
        <w:pStyle w:val="Compact"/>
        <w:numPr>
          <w:ilvl w:val="1"/>
          <w:numId w:val="1225"/>
        </w:numPr>
      </w:pPr>
      <w:r>
        <w:rPr>
          <w:b/>
          <w:bCs/>
        </w:rPr>
        <w:t xml:space="preserve">Schedule 1</w:t>
      </w:r>
      <w:r>
        <w:t xml:space="preserve"> </w:t>
      </w:r>
      <w:r>
        <w:t xml:space="preserve">lists</w:t>
      </w:r>
      <w:r>
        <w:t xml:space="preserve"> </w:t>
      </w:r>
      <w:r>
        <w:rPr>
          <w:b/>
          <w:bCs/>
        </w:rPr>
        <w:t xml:space="preserve">“Healthcare services”</w:t>
      </w:r>
      <w:r>
        <w:t xml:space="preserve"> </w:t>
      </w:r>
      <w:r>
        <w:t xml:space="preserve">as a</w:t>
      </w:r>
      <w:r>
        <w:t xml:space="preserve"> </w:t>
      </w:r>
      <w:r>
        <w:rPr>
          <w:b/>
          <w:bCs/>
        </w:rPr>
        <w:t xml:space="preserve">sector specified for the definition of “critical infrastructure.”</w:t>
      </w:r>
      <w:r>
        <w:t xml:space="preserve"> </w:t>
      </w:r>
      <w:r>
        <w:t xml:space="preserve">(</w:t>
      </w:r>
      <w:hyperlink r:id="rId48">
        <w:r>
          <w:rPr>
            <w:rStyle w:val="Hyperlink"/>
          </w:rPr>
          <w:t xml:space="preserve">Legislative Council of Hong Kong</w:t>
        </w:r>
      </w:hyperlink>
      <w:r>
        <w:t xml:space="preserve">)</w:t>
      </w:r>
    </w:p>
    <w:p>
      <w:pPr>
        <w:pStyle w:val="Compact"/>
        <w:numPr>
          <w:ilvl w:val="0"/>
          <w:numId w:val="1224"/>
        </w:numPr>
      </w:pPr>
      <w:r>
        <w:rPr>
          <w:b/>
          <w:bCs/>
        </w:rPr>
        <w:t xml:space="preserve">No health-specific “designated authority” is listed</w:t>
      </w:r>
    </w:p>
    <w:p>
      <w:pPr>
        <w:pStyle w:val="Compact"/>
        <w:numPr>
          <w:ilvl w:val="1"/>
          <w:numId w:val="1226"/>
        </w:numPr>
      </w:pPr>
      <w:r>
        <w:rPr>
          <w:b/>
          <w:bCs/>
        </w:rPr>
        <w:t xml:space="preserve">Schedule 2</w:t>
      </w:r>
      <w:r>
        <w:t xml:space="preserve"> </w:t>
      </w:r>
      <w:r>
        <w:t xml:space="preserve">specifies designated authorities for only:</w:t>
      </w:r>
    </w:p>
    <w:p>
      <w:pPr>
        <w:pStyle w:val="Compact"/>
        <w:numPr>
          <w:ilvl w:val="2"/>
          <w:numId w:val="1227"/>
        </w:numPr>
      </w:pPr>
      <w:r>
        <w:rPr>
          <w:b/>
          <w:bCs/>
        </w:rPr>
        <w:t xml:space="preserve">Monetary Authority</w:t>
      </w:r>
      <w:r>
        <w:t xml:space="preserve"> </w:t>
      </w:r>
      <w:r>
        <w:t xml:space="preserve">— sector:</w:t>
      </w:r>
      <w:r>
        <w:t xml:space="preserve"> </w:t>
      </w:r>
      <w:r>
        <w:rPr>
          <w:b/>
          <w:bCs/>
        </w:rPr>
        <w:t xml:space="preserve">Banking and financial services</w:t>
      </w:r>
    </w:p>
    <w:p>
      <w:pPr>
        <w:pStyle w:val="Compact"/>
        <w:numPr>
          <w:ilvl w:val="2"/>
          <w:numId w:val="1227"/>
        </w:numPr>
      </w:pPr>
      <w:r>
        <w:rPr>
          <w:b/>
          <w:bCs/>
        </w:rPr>
        <w:t xml:space="preserve">Communications Authority</w:t>
      </w:r>
      <w:r>
        <w:t xml:space="preserve"> </w:t>
      </w:r>
      <w:r>
        <w:t xml:space="preserve">— sector:</w:t>
      </w:r>
      <w:r>
        <w:t xml:space="preserve"> </w:t>
      </w:r>
      <w:r>
        <w:rPr>
          <w:b/>
          <w:bCs/>
        </w:rPr>
        <w:t xml:space="preserve">Telecommunications and broadcasting services</w:t>
      </w:r>
      <w:r>
        <w:t xml:space="preserve"> </w:t>
      </w:r>
      <w:r>
        <w:t xml:space="preserve">(</w:t>
      </w:r>
      <w:hyperlink r:id="rId48">
        <w:r>
          <w:rPr>
            <w:rStyle w:val="Hyperlink"/>
          </w:rPr>
          <w:t xml:space="preserve">Legislative Council of Hong Kong</w:t>
        </w:r>
      </w:hyperlink>
      <w:r>
        <w:t xml:space="preserve">)</w:t>
      </w:r>
    </w:p>
    <w:p>
      <w:pPr>
        <w:pStyle w:val="Compact"/>
        <w:numPr>
          <w:ilvl w:val="0"/>
          <w:numId w:val="1224"/>
        </w:numPr>
      </w:pPr>
      <w:r>
        <w:rPr>
          <w:b/>
          <w:bCs/>
        </w:rPr>
        <w:t xml:space="preserve">Obligations are framed for “CI operators” generally (not a health-only sub-regime)</w:t>
      </w:r>
    </w:p>
    <w:p>
      <w:pPr>
        <w:pStyle w:val="Compact"/>
        <w:numPr>
          <w:ilvl w:val="1"/>
          <w:numId w:val="1228"/>
        </w:numPr>
      </w:pPr>
      <w:r>
        <w:t xml:space="preserve">The Ordinance structures compliance as</w:t>
      </w:r>
      <w:r>
        <w:t xml:space="preserve"> </w:t>
      </w:r>
      <w:r>
        <w:rPr>
          <w:b/>
          <w:bCs/>
        </w:rPr>
        <w:t xml:space="preserve">“Part 4 — Obligations of CI Operator”</w:t>
      </w:r>
      <w:r>
        <w:t xml:space="preserve"> </w:t>
      </w:r>
      <w:r>
        <w:t xml:space="preserve">(with Divisions for organization, prevention, and incident reporting/response). (</w:t>
      </w:r>
      <w:hyperlink r:id="rId48">
        <w:r>
          <w:rPr>
            <w:rStyle w:val="Hyperlink"/>
          </w:rPr>
          <w:t xml:space="preserve">Legislative Council of Hong Kong</w:t>
        </w:r>
      </w:hyperlink>
      <w:r>
        <w:t xml:space="preserve">)</w:t>
      </w:r>
    </w:p>
    <w:p>
      <w:pPr>
        <w:pStyle w:val="FirstParagraph"/>
      </w:pPr>
      <w:r>
        <w:t xml:space="preserve">So, the</w:t>
      </w:r>
      <w:r>
        <w:t xml:space="preserve"> </w:t>
      </w:r>
      <w:r>
        <w:rPr>
          <w:b/>
          <w:bCs/>
        </w:rPr>
        <w:t xml:space="preserve">health-specific hook</w:t>
      </w:r>
      <w:r>
        <w:t xml:space="preserve"> </w:t>
      </w:r>
      <w:r>
        <w:t xml:space="preserve">is the inclusion of</w:t>
      </w:r>
      <w:r>
        <w:t xml:space="preserve"> </w:t>
      </w:r>
      <w:r>
        <w:rPr>
          <w:b/>
          <w:bCs/>
        </w:rPr>
        <w:t xml:space="preserve">“Healthcare services”</w:t>
      </w:r>
      <w:r>
        <w:t xml:space="preserve"> </w:t>
      </w:r>
      <w:r>
        <w:t xml:space="preserve">in</w:t>
      </w:r>
      <w:r>
        <w:t xml:space="preserve"> </w:t>
      </w:r>
      <w:r>
        <w:rPr>
          <w:b/>
          <w:bCs/>
        </w:rPr>
        <w:t xml:space="preserve">Schedule 1</w:t>
      </w:r>
      <w:r>
        <w:t xml:space="preserve">; the remaining designation/obligation machinery is expressed at the</w:t>
      </w:r>
      <w:r>
        <w:t xml:space="preserve"> </w:t>
      </w:r>
      <w:r>
        <w:rPr>
          <w:b/>
          <w:bCs/>
        </w:rPr>
        <w:t xml:space="preserve">CI operator / critical computer system</w:t>
      </w:r>
      <w:r>
        <w:t xml:space="preserve"> </w:t>
      </w:r>
      <w:r>
        <w:t xml:space="preserve">level. (</w:t>
      </w:r>
      <w:hyperlink r:id="rId48">
        <w:r>
          <w:rPr>
            <w:rStyle w:val="Hyperlink"/>
          </w:rPr>
          <w:t xml:space="preserve">Legislative Council of Hong Kong</w:t>
        </w:r>
      </w:hyperlink>
      <w:r>
        <w:t xml:space="preserve">)</w:t>
      </w:r>
    </w:p>
    <w:bookmarkEnd w:id="264"/>
    <w:bookmarkStart w:id="267" w:name="references-hong-kong"/>
    <w:p>
      <w:pPr>
        <w:pStyle w:val="Heading2"/>
      </w:pPr>
      <w:r>
        <w:t xml:space="preserve">References (Hong Kong)</w:t>
      </w:r>
    </w:p>
    <w:p>
      <w:pPr>
        <w:pStyle w:val="Compact"/>
        <w:numPr>
          <w:ilvl w:val="0"/>
          <w:numId w:val="1229"/>
        </w:numPr>
      </w:pPr>
      <w:r>
        <w:rPr>
          <w:b/>
          <w:bCs/>
        </w:rPr>
        <w:t xml:space="preserve">Legislative Council of Hong Kong.</w:t>
      </w:r>
      <w:r>
        <w:t xml:space="preserve"> </w:t>
      </w:r>
      <w:r>
        <w:rPr>
          <w:b/>
          <w:bCs/>
        </w:rPr>
        <w:t xml:space="preserve">Protection of Critical Infrastructures (Computer Systems) Ordinance (Ord. No. 4 of 2025)</w:t>
      </w:r>
      <w:r>
        <w:t xml:space="preserve">. (</w:t>
      </w:r>
      <w:hyperlink r:id="rId265">
        <w:r>
          <w:rPr>
            <w:rStyle w:val="Hyperlink"/>
          </w:rPr>
          <w:t xml:space="preserve">LegCo</w:t>
        </w:r>
      </w:hyperlink>
      <w:r>
        <w:t xml:space="preserve">)</w:t>
      </w:r>
    </w:p>
    <w:p>
      <w:pPr>
        <w:pStyle w:val="Compact"/>
        <w:numPr>
          <w:ilvl w:val="0"/>
          <w:numId w:val="1229"/>
        </w:numPr>
      </w:pPr>
      <w:r>
        <w:rPr>
          <w:b/>
          <w:bCs/>
        </w:rPr>
        <w:t xml:space="preserve">Communications Authority.</w:t>
      </w:r>
      <w:r>
        <w:t xml:space="preserve"> </w:t>
      </w:r>
      <w:r>
        <w:rPr>
          <w:b/>
          <w:bCs/>
        </w:rPr>
        <w:t xml:space="preserve">Hong Kong Government: PCICSO Commencement Notice</w:t>
      </w:r>
      <w:r>
        <w:t xml:space="preserve">. (</w:t>
      </w:r>
      <w:hyperlink r:id="rId266">
        <w:r>
          <w:rPr>
            <w:rStyle w:val="Hyperlink"/>
          </w:rPr>
          <w:t xml:space="preserve">link</w:t>
        </w:r>
      </w:hyperlink>
      <w:r>
        <w:t xml:space="preserve">)</w:t>
      </w:r>
    </w:p>
    <w:p>
      <w:pPr>
        <w:sectPr>
          <w:footerReference w:type="first" r:id="rId13"/>
          <w:footerReference w:type="default" r:id="rId11"/>
          <w:footerReference w:type="even" r:id="rId10"/>
          <w:type w:val="nextPage"/>
        </w:sectPr>
      </w:pPr>
    </w:p>
    <w:bookmarkEnd w:id="267"/>
    <w:bookmarkEnd w:id="268"/>
    <w:bookmarkStart w:id="287" w:name="israel"/>
    <w:p>
      <w:pPr>
        <w:pStyle w:val="Heading1"/>
      </w:pPr>
      <w:r>
        <w:t xml:space="preserve">ISRAEL</w:t>
      </w:r>
    </w:p>
    <w:bookmarkStart w:id="269" w:name="X9e946d71519e190f02d548f2a401808da7a4716"/>
    <w:p>
      <w:pPr>
        <w:pStyle w:val="Heading2"/>
      </w:pPr>
      <w:r>
        <w:t xml:space="preserve">Final categories (what is “highest critical / protected”)</w:t>
      </w:r>
    </w:p>
    <w:p>
      <w:pPr>
        <w:pStyle w:val="Compact"/>
        <w:numPr>
          <w:ilvl w:val="0"/>
          <w:numId w:val="1230"/>
        </w:numPr>
      </w:pPr>
      <w:r>
        <w:rPr>
          <w:b/>
          <w:bCs/>
        </w:rPr>
        <w:t xml:space="preserve">“מאגרים שחלה עליהם רמת האבטחה הגבוהה”</w:t>
      </w:r>
      <w:r>
        <w:t xml:space="preserve"> </w:t>
      </w:r>
      <w:r>
        <w:t xml:space="preserve">(“databases to which the</w:t>
      </w:r>
      <w:r>
        <w:t xml:space="preserve"> </w:t>
      </w:r>
      <w:r>
        <w:rPr>
          <w:b/>
          <w:bCs/>
        </w:rPr>
        <w:t xml:space="preserve">high security level</w:t>
      </w:r>
      <w:r>
        <w:t xml:space="preserve"> </w:t>
      </w:r>
      <w:r>
        <w:t xml:space="preserve">applies”) —</w:t>
      </w:r>
      <w:r>
        <w:t xml:space="preserve"> </w:t>
      </w:r>
      <w:r>
        <w:rPr>
          <w:b/>
          <w:bCs/>
        </w:rPr>
        <w:t xml:space="preserve">Protection of Privacy Regulations (Data Security), 5777–2017</w:t>
      </w:r>
      <w:r>
        <w:t xml:space="preserve"> </w:t>
      </w:r>
      <w:r>
        <w:t xml:space="preserve">(תקנות הגנת הפרטיות (אבטחת מידע), תשע”ז–2017).</w:t>
      </w:r>
    </w:p>
    <w:p>
      <w:pPr>
        <w:pStyle w:val="Compact"/>
        <w:numPr>
          <w:ilvl w:val="0"/>
          <w:numId w:val="1230"/>
        </w:numPr>
      </w:pPr>
      <w:r>
        <w:rPr>
          <w:b/>
          <w:bCs/>
        </w:rPr>
        <w:t xml:space="preserve">“אירוע אבטחה חמור”</w:t>
      </w:r>
      <w:r>
        <w:t xml:space="preserve"> </w:t>
      </w:r>
      <w:r>
        <w:t xml:space="preserve">(“</w:t>
      </w:r>
      <w:r>
        <w:rPr>
          <w:b/>
          <w:bCs/>
        </w:rPr>
        <w:t xml:space="preserve">severe security incident</w:t>
      </w:r>
      <w:r>
        <w:t xml:space="preserve">”) — defined in</w:t>
      </w:r>
      <w:r>
        <w:t xml:space="preserve"> </w:t>
      </w:r>
      <w:r>
        <w:rPr>
          <w:b/>
          <w:bCs/>
        </w:rPr>
        <w:t xml:space="preserve">Protection of Privacy Regulations (Data Security), 5777–2017</w:t>
      </w:r>
      <w:r>
        <w:t xml:space="preserve">.</w:t>
      </w:r>
    </w:p>
    <w:p>
      <w:pPr>
        <w:pStyle w:val="Compact"/>
        <w:numPr>
          <w:ilvl w:val="0"/>
          <w:numId w:val="1230"/>
        </w:numPr>
      </w:pPr>
      <w:r>
        <w:t xml:space="preserve">(Additional legal category used for public bodies’ security duties):</w:t>
      </w:r>
      <w:r>
        <w:t xml:space="preserve"> </w:t>
      </w:r>
      <w:r>
        <w:rPr>
          <w:b/>
          <w:bCs/>
        </w:rPr>
        <w:t xml:space="preserve">“פעולות אבטחה”</w:t>
      </w:r>
      <w:r>
        <w:t xml:space="preserve"> </w:t>
      </w:r>
      <w:r>
        <w:t xml:space="preserve">(“security actions”), explicitly including</w:t>
      </w:r>
      <w:r>
        <w:t xml:space="preserve"> </w:t>
      </w:r>
      <w:r>
        <w:rPr>
          <w:b/>
          <w:bCs/>
        </w:rPr>
        <w:t xml:space="preserve">information-security-related activity</w:t>
      </w:r>
      <w:r>
        <w:t xml:space="preserve"> </w:t>
      </w:r>
      <w:r>
        <w:t xml:space="preserve">—</w:t>
      </w:r>
      <w:r>
        <w:t xml:space="preserve"> </w:t>
      </w:r>
      <w:r>
        <w:rPr>
          <w:b/>
          <w:bCs/>
        </w:rPr>
        <w:t xml:space="preserve">Law for Regulating Security in Public Bodies, 5758–1998</w:t>
      </w:r>
      <w:r>
        <w:t xml:space="preserve"> </w:t>
      </w:r>
      <w:r>
        <w:t xml:space="preserve">(חוק להסדרת הביטחון בגופים ציבוריים, התשנ”ח–1998).</w:t>
      </w:r>
    </w:p>
    <w:bookmarkEnd w:id="269"/>
    <w:bookmarkStart w:id="270" w:name="X009e871774ca2a8b246a723cee596bf472078e0"/>
    <w:p>
      <w:pPr>
        <w:pStyle w:val="Heading2"/>
      </w:pPr>
      <w:r>
        <w:t xml:space="preserve">Exact legal / regulatory criteria (what triggers inclusion)</w:t>
      </w:r>
    </w:p>
    <w:bookmarkEnd w:id="270"/>
    <w:bookmarkStart w:id="271" w:name="X19aafc30f00bea5a86da109ee6cecd23e219116"/>
    <w:p>
      <w:pPr>
        <w:pStyle w:val="Heading2"/>
      </w:pPr>
      <w:r>
        <w:t xml:space="preserve">Subsection A (The Definition): the specific text defining the scope</w:t>
      </w:r>
    </w:p>
    <w:p>
      <w:pPr>
        <w:pStyle w:val="FirstParagraph"/>
      </w:pPr>
      <w:r>
        <w:rPr>
          <w:b/>
          <w:bCs/>
        </w:rPr>
        <w:t xml:space="preserve">1) Database security levels (basic / medium / high)</w:t>
      </w:r>
      <w:r>
        <w:t xml:space="preserve"> </w:t>
      </w:r>
      <w:r>
        <w:t xml:space="preserve">— definitions (Data Security Regulations, 2017):</w:t>
      </w:r>
    </w:p>
    <w:p>
      <w:pPr>
        <w:pStyle w:val="Compact"/>
        <w:numPr>
          <w:ilvl w:val="0"/>
          <w:numId w:val="1231"/>
        </w:numPr>
      </w:pPr>
      <w:r>
        <w:rPr>
          <w:b/>
          <w:bCs/>
        </w:rPr>
        <w:t xml:space="preserve">“מאגרים שחלה עליהם רמת האבטחה הבסיסית”</w:t>
      </w:r>
      <w:r>
        <w:t xml:space="preserve"> </w:t>
      </w:r>
      <w:r>
        <w:t xml:space="preserve">— databases</w:t>
      </w:r>
      <w:r>
        <w:t xml:space="preserve"> </w:t>
      </w:r>
      <w:r>
        <w:rPr>
          <w:b/>
          <w:bCs/>
        </w:rPr>
        <w:t xml:space="preserve">not</w:t>
      </w:r>
      <w:r>
        <w:t xml:space="preserve"> </w:t>
      </w:r>
      <w:r>
        <w:t xml:space="preserve">listed in the First or Second Schedule and not managed by an individual.</w:t>
      </w:r>
    </w:p>
    <w:p>
      <w:pPr>
        <w:pStyle w:val="Compact"/>
        <w:numPr>
          <w:ilvl w:val="0"/>
          <w:numId w:val="1231"/>
        </w:numPr>
      </w:pPr>
      <w:r>
        <w:rPr>
          <w:b/>
          <w:bCs/>
        </w:rPr>
        <w:t xml:space="preserve">“מאגרים שחלה עליהם רמת האבטחה הבינונית”</w:t>
      </w:r>
      <w:r>
        <w:t xml:space="preserve"> </w:t>
      </w:r>
      <w:r>
        <w:t xml:space="preserve">— databases of the types listed in the</w:t>
      </w:r>
      <w:r>
        <w:t xml:space="preserve"> </w:t>
      </w:r>
      <w:r>
        <w:rPr>
          <w:b/>
          <w:bCs/>
        </w:rPr>
        <w:t xml:space="preserve">First Schedule</w:t>
      </w:r>
      <w:r>
        <w:t xml:space="preserve"> </w:t>
      </w:r>
      <w:r>
        <w:t xml:space="preserve">(and not managed by an individual).</w:t>
      </w:r>
    </w:p>
    <w:p>
      <w:pPr>
        <w:pStyle w:val="Compact"/>
        <w:numPr>
          <w:ilvl w:val="0"/>
          <w:numId w:val="1231"/>
        </w:numPr>
      </w:pPr>
      <w:r>
        <w:rPr>
          <w:b/>
          <w:bCs/>
        </w:rPr>
        <w:t xml:space="preserve">“מאגרים שחלה עליהם רמת האבטחה הגבוהה”</w:t>
      </w:r>
      <w:r>
        <w:t xml:space="preserve"> </w:t>
      </w:r>
      <w:r>
        <w:t xml:space="preserve">— databases of the types listed in the</w:t>
      </w:r>
      <w:r>
        <w:t xml:space="preserve"> </w:t>
      </w:r>
      <w:r>
        <w:rPr>
          <w:b/>
          <w:bCs/>
        </w:rPr>
        <w:t xml:space="preserve">Second Schedule</w:t>
      </w:r>
      <w:r>
        <w:t xml:space="preserve">.</w:t>
      </w:r>
    </w:p>
    <w:p>
      <w:pPr>
        <w:pStyle w:val="FirstParagraph"/>
      </w:pPr>
      <w:r>
        <w:rPr>
          <w:b/>
          <w:bCs/>
        </w:rPr>
        <w:t xml:space="preserve">2) Severe security incident (“אירוע אבטחה חמור”)</w:t>
      </w:r>
      <w:r>
        <w:t xml:space="preserve"> </w:t>
      </w:r>
      <w:r>
        <w:t xml:space="preserve">— definition (Data Security Regulations, 2017):</w:t>
      </w:r>
    </w:p>
    <w:p>
      <w:pPr>
        <w:pStyle w:val="Compact"/>
        <w:numPr>
          <w:ilvl w:val="0"/>
          <w:numId w:val="1232"/>
        </w:numPr>
      </w:pPr>
      <w:r>
        <w:t xml:space="preserve">For a</w:t>
      </w:r>
      <w:r>
        <w:t xml:space="preserve"> </w:t>
      </w:r>
      <w:r>
        <w:rPr>
          <w:b/>
          <w:bCs/>
        </w:rPr>
        <w:t xml:space="preserve">high-security-level</w:t>
      </w:r>
      <w:r>
        <w:t xml:space="preserve"> </w:t>
      </w:r>
      <w:r>
        <w:t xml:space="preserve">database: “אירוע שנעשה בו שימוש במידע מן המאגר, בלא הרשאה או בחריגה מהרשאה או שנעשתה פגיעה בשלמות המידע” (unauthorized use / use beyond authorization, or integrity impairment).</w:t>
      </w:r>
    </w:p>
    <w:p>
      <w:pPr>
        <w:pStyle w:val="Compact"/>
        <w:numPr>
          <w:ilvl w:val="0"/>
          <w:numId w:val="1232"/>
        </w:numPr>
      </w:pPr>
      <w:r>
        <w:t xml:space="preserve">For a</w:t>
      </w:r>
      <w:r>
        <w:t xml:space="preserve"> </w:t>
      </w:r>
      <w:r>
        <w:rPr>
          <w:b/>
          <w:bCs/>
        </w:rPr>
        <w:t xml:space="preserve">medium-security-level</w:t>
      </w:r>
      <w:r>
        <w:t xml:space="preserve"> </w:t>
      </w:r>
      <w:r>
        <w:t xml:space="preserve">database: “אירוע שנעשה בו שימוש בחלק מהותי מן המאגר…” (unauthorized use / beyond authorization, or integrity impairment</w:t>
      </w:r>
      <w:r>
        <w:t xml:space="preserve"> </w:t>
      </w:r>
      <w:r>
        <w:rPr>
          <w:b/>
          <w:bCs/>
        </w:rPr>
        <w:t xml:space="preserve">regarding a substantial part of the database</w:t>
      </w:r>
      <w:r>
        <w:t xml:space="preserve">).</w:t>
      </w:r>
    </w:p>
    <w:p>
      <w:pPr>
        <w:pStyle w:val="FirstParagraph"/>
      </w:pPr>
      <w:r>
        <w:rPr>
          <w:b/>
          <w:bCs/>
        </w:rPr>
        <w:t xml:space="preserve">3) Public-body security actions include information-security actions</w:t>
      </w:r>
      <w:r>
        <w:t xml:space="preserve"> </w:t>
      </w:r>
      <w:r>
        <w:t xml:space="preserve">(Security in Public Bodies Law, 1998):</w:t>
      </w:r>
    </w:p>
    <w:p>
      <w:pPr>
        <w:pStyle w:val="Compact"/>
        <w:numPr>
          <w:ilvl w:val="0"/>
          <w:numId w:val="1233"/>
        </w:numPr>
      </w:pPr>
      <w:r>
        <w:t xml:space="preserve">“פעולות אבטחה” includes “פעילות לאבטחת מידע שחשיפתו עלולה לפגוע בבטחון המדינה” (activity to secure information whose exposure may harm state security).</w:t>
      </w:r>
    </w:p>
    <w:bookmarkEnd w:id="271"/>
    <w:bookmarkStart w:id="272" w:name="X12ec41d06d0f8f0e5ac268dff1bdb3531a2d9e9"/>
    <w:p>
      <w:pPr>
        <w:pStyle w:val="Heading2"/>
      </w:pPr>
      <w:r>
        <w:t xml:space="preserve">Subsection B (The Thresholds): quantitative or qualitative tests</w:t>
      </w:r>
    </w:p>
    <w:p>
      <w:pPr>
        <w:pStyle w:val="FirstParagraph"/>
      </w:pPr>
      <w:r>
        <w:rPr>
          <w:b/>
          <w:bCs/>
        </w:rPr>
        <w:t xml:space="preserve">Severe security incident thresholds</w:t>
      </w:r>
      <w:r>
        <w:t xml:space="preserve"> </w:t>
      </w:r>
      <w:r>
        <w:t xml:space="preserve">are explicitly differentiated by the database’s security level:</w:t>
      </w:r>
    </w:p>
    <w:p>
      <w:pPr>
        <w:pStyle w:val="Compact"/>
        <w:numPr>
          <w:ilvl w:val="0"/>
          <w:numId w:val="1234"/>
        </w:numPr>
      </w:pPr>
      <w:r>
        <w:rPr>
          <w:b/>
          <w:bCs/>
        </w:rPr>
        <w:t xml:space="preserve">High level</w:t>
      </w:r>
      <w:r>
        <w:t xml:space="preserve">: unauthorized use (or beyond authorization) of</w:t>
      </w:r>
      <w:r>
        <w:t xml:space="preserve"> </w:t>
      </w:r>
      <w:r>
        <w:rPr>
          <w:b/>
          <w:bCs/>
        </w:rPr>
        <w:t xml:space="preserve">information from the database</w:t>
      </w:r>
      <w:r>
        <w:t xml:space="preserve">, or</w:t>
      </w:r>
      <w:r>
        <w:t xml:space="preserve"> </w:t>
      </w:r>
      <w:r>
        <w:rPr>
          <w:b/>
          <w:bCs/>
        </w:rPr>
        <w:t xml:space="preserve">integrity impairment</w:t>
      </w:r>
      <w:r>
        <w:t xml:space="preserve"> </w:t>
      </w:r>
      <w:r>
        <w:t xml:space="preserve">(no “substantial part” qualifier).</w:t>
      </w:r>
    </w:p>
    <w:p>
      <w:pPr>
        <w:pStyle w:val="Compact"/>
        <w:numPr>
          <w:ilvl w:val="0"/>
          <w:numId w:val="1234"/>
        </w:numPr>
      </w:pPr>
      <w:r>
        <w:rPr>
          <w:b/>
          <w:bCs/>
        </w:rPr>
        <w:t xml:space="preserve">Medium level</w:t>
      </w:r>
      <w:r>
        <w:t xml:space="preserve">: unauthorized use (or beyond authorization) of a</w:t>
      </w:r>
      <w:r>
        <w:t xml:space="preserve"> </w:t>
      </w:r>
      <w:r>
        <w:rPr>
          <w:b/>
          <w:bCs/>
        </w:rPr>
        <w:t xml:space="preserve">“חלק מהותי”</w:t>
      </w:r>
      <w:r>
        <w:t xml:space="preserve"> </w:t>
      </w:r>
      <w:r>
        <w:t xml:space="preserve">(“substantial part”) of the database, or integrity impairment regarding a substantial part.</w:t>
      </w:r>
    </w:p>
    <w:bookmarkEnd w:id="272"/>
    <w:bookmarkStart w:id="273" w:name="grading-tiering-scheme-7"/>
    <w:p>
      <w:pPr>
        <w:pStyle w:val="Heading2"/>
      </w:pPr>
      <w:r>
        <w:t xml:space="preserve">Grading / tiering scheme</w:t>
      </w:r>
    </w:p>
    <w:p>
      <w:pPr>
        <w:pStyle w:val="FirstParagraph"/>
      </w:pPr>
      <w:r>
        <w:rPr>
          <w:b/>
          <w:bCs/>
        </w:rPr>
        <w:t xml:space="preserve">Tiered scheme (3 levels)</w:t>
      </w:r>
      <w:r>
        <w:t xml:space="preserve"> </w:t>
      </w:r>
      <w:r>
        <w:t xml:space="preserve">under the Data Security Regulations:</w:t>
      </w:r>
    </w:p>
    <w:p>
      <w:pPr>
        <w:pStyle w:val="Compact"/>
        <w:numPr>
          <w:ilvl w:val="0"/>
          <w:numId w:val="1235"/>
        </w:numPr>
      </w:pPr>
      <w:r>
        <w:rPr>
          <w:b/>
          <w:bCs/>
        </w:rPr>
        <w:t xml:space="preserve">Basic / Medium / High security level</w:t>
      </w:r>
      <w:r>
        <w:t xml:space="preserve"> </w:t>
      </w:r>
      <w:r>
        <w:t xml:space="preserve">categorization for databases, defined via inclusion in the First / Second Schedules (and exclusions for individually managed databases).</w:t>
      </w:r>
    </w:p>
    <w:bookmarkEnd w:id="273"/>
    <w:bookmarkStart w:id="274" w:name="X43d7f8a5d05c59429f1b5d9995631bcfcbd622d"/>
    <w:p>
      <w:pPr>
        <w:pStyle w:val="Heading2"/>
      </w:pPr>
      <w:r>
        <w:t xml:space="preserve">Incident reporting tests and thresholds</w:t>
      </w:r>
    </w:p>
    <w:bookmarkEnd w:id="274"/>
    <w:bookmarkStart w:id="275" w:name="deadlines-24-hour-72-hour-rules"/>
    <w:p>
      <w:pPr>
        <w:pStyle w:val="Heading2"/>
      </w:pPr>
      <w:r>
        <w:t xml:space="preserve">Deadlines: 24-hour / 72-hour rules</w:t>
      </w:r>
    </w:p>
    <w:p>
      <w:pPr>
        <w:pStyle w:val="FirstParagraph"/>
      </w:pPr>
      <w:r>
        <w:rPr>
          <w:b/>
          <w:bCs/>
        </w:rPr>
        <w:t xml:space="preserve">No 24h/72h deadline text located in the accessible primary regulatory text used below</w:t>
      </w:r>
      <w:r>
        <w:t xml:space="preserve"> </w:t>
      </w:r>
      <w:r>
        <w:t xml:space="preserve">(Data Security Regulations). The regulation uses</w:t>
      </w:r>
      <w:r>
        <w:t xml:space="preserve"> </w:t>
      </w:r>
      <w:r>
        <w:rPr>
          <w:b/>
          <w:bCs/>
        </w:rPr>
        <w:t xml:space="preserve">“באופן מיידי”</w:t>
      </w:r>
      <w:r>
        <w:t xml:space="preserve"> </w:t>
      </w:r>
      <w:r>
        <w:t xml:space="preserve">(“immediately”) for notification to the Registrar in the severe-incident case.</w:t>
      </w:r>
    </w:p>
    <w:bookmarkEnd w:id="275"/>
    <w:bookmarkStart w:id="276" w:name="X19e7c27dd3214063473079c155ef35a52edc480"/>
    <w:p>
      <w:pPr>
        <w:pStyle w:val="Heading2"/>
      </w:pPr>
      <w:r>
        <w:t xml:space="preserve">Triggers: what counts as a reportable incident</w:t>
      </w:r>
    </w:p>
    <w:p>
      <w:pPr>
        <w:pStyle w:val="FirstParagraph"/>
      </w:pPr>
      <w:r>
        <w:rPr>
          <w:b/>
          <w:bCs/>
        </w:rPr>
        <w:t xml:space="preserve">Trigger + duty (Data Security Regulations, Regulation 11(ד))</w:t>
      </w:r>
      <w:r>
        <w:t xml:space="preserve">:</w:t>
      </w:r>
    </w:p>
    <w:p>
      <w:pPr>
        <w:numPr>
          <w:ilvl w:val="0"/>
          <w:numId w:val="1236"/>
        </w:numPr>
      </w:pPr>
      <w:r>
        <w:t xml:space="preserve">“אירע אירוע אבטחה חמור – (1) יודיע על כך בעל המאגר לרשם באופן מיידי…”</w:t>
      </w:r>
    </w:p>
    <w:p>
      <w:pPr>
        <w:numPr>
          <w:ilvl w:val="0"/>
          <w:numId w:val="1000"/>
        </w:numPr>
      </w:pPr>
      <w:r>
        <w:t xml:space="preserve">(If a severe security incident occurred — (1) the database owner shall notify the Registrar</w:t>
      </w:r>
      <w:r>
        <w:t xml:space="preserve"> </w:t>
      </w:r>
      <w:r>
        <w:rPr>
          <w:b/>
          <w:bCs/>
        </w:rPr>
        <w:t xml:space="preserve">immediately</w:t>
      </w:r>
      <w:r>
        <w:t xml:space="preserve">…).</w:t>
      </w:r>
    </w:p>
    <w:p>
      <w:pPr>
        <w:pStyle w:val="FirstParagraph"/>
      </w:pPr>
      <w:r>
        <w:rPr>
          <w:b/>
          <w:bCs/>
        </w:rPr>
        <w:t xml:space="preserve">Registrar-directed notification to data subjects (Data Security Regulations, Regulation 11(ד)(2))</w:t>
      </w:r>
      <w:r>
        <w:t xml:space="preserve">:</w:t>
      </w:r>
    </w:p>
    <w:p>
      <w:pPr>
        <w:pStyle w:val="Compact"/>
        <w:numPr>
          <w:ilvl w:val="0"/>
          <w:numId w:val="1237"/>
        </w:numPr>
      </w:pPr>
      <w:r>
        <w:t xml:space="preserve">The Registrar may instruct the database owner (with certain statutory exceptions) —</w:t>
      </w:r>
      <w:r>
        <w:t xml:space="preserve"> </w:t>
      </w:r>
      <w:r>
        <w:rPr>
          <w:b/>
          <w:bCs/>
        </w:rPr>
        <w:t xml:space="preserve">after consulting</w:t>
      </w:r>
      <w:r>
        <w:t xml:space="preserve"> </w:t>
      </w:r>
      <w:r>
        <w:t xml:space="preserve">the head of the national cyber authority (“ראש הרשות הלאומית להגנת הסייבר”) — to notify affected data subjects (“נושא מידע”).</w:t>
      </w:r>
    </w:p>
    <w:bookmarkEnd w:id="276"/>
    <w:bookmarkStart w:id="277" w:name="Xeec63e1d2bbba35a9c71189ff74121c41b249a7"/>
    <w:p>
      <w:pPr>
        <w:pStyle w:val="Heading2"/>
      </w:pPr>
      <w:r>
        <w:t xml:space="preserve">Health information systems “most likely” designated</w:t>
      </w:r>
    </w:p>
    <w:bookmarkEnd w:id="277"/>
    <w:bookmarkStart w:id="278" w:name="X01692540e2c17e72978df186a57f26807db519b"/>
    <w:p>
      <w:pPr>
        <w:pStyle w:val="Heading2"/>
      </w:pPr>
      <w:r>
        <w:t xml:space="preserve">What is explicit in accessible primary sources</w:t>
      </w:r>
    </w:p>
    <w:p>
      <w:pPr>
        <w:pStyle w:val="FirstParagraph"/>
      </w:pPr>
      <w:r>
        <w:rPr>
          <w:b/>
          <w:bCs/>
        </w:rPr>
        <w:t xml:space="preserve">Healthcare entities referenced as part of “health organizations” (State Comptroller report)</w:t>
      </w:r>
      <w:r>
        <w:t xml:space="preserve">:</w:t>
      </w:r>
    </w:p>
    <w:p>
      <w:pPr>
        <w:pStyle w:val="Compact"/>
        <w:numPr>
          <w:ilvl w:val="0"/>
          <w:numId w:val="1238"/>
        </w:numPr>
      </w:pPr>
      <w:r>
        <w:t xml:space="preserve">The State Comptroller report cites a Ministry of Health definition of</w:t>
      </w:r>
      <w:r>
        <w:t xml:space="preserve"> </w:t>
      </w:r>
      <w:r>
        <w:rPr>
          <w:b/>
          <w:bCs/>
        </w:rPr>
        <w:t xml:space="preserve">“ארגון בריאות”</w:t>
      </w:r>
      <w:r>
        <w:t xml:space="preserve"> </w:t>
      </w:r>
      <w:r>
        <w:t xml:space="preserve">(“health organization”) including: the Ministry of Health, health funds (HMOs), medical institutions (including hospitals), pharmacies, evacuation and rescue organizations, clinics, and other organizations licensed by the Ministry of Health.</w:t>
      </w:r>
    </w:p>
    <w:p>
      <w:pPr>
        <w:pStyle w:val="FirstParagraph"/>
      </w:pPr>
      <w:r>
        <w:rPr>
          <w:b/>
          <w:bCs/>
        </w:rPr>
        <w:t xml:space="preserve">Databases that include information subject to professional confidentiality</w:t>
      </w:r>
      <w:r>
        <w:t xml:space="preserve"> </w:t>
      </w:r>
      <w:r>
        <w:t xml:space="preserve">are explicitly carved out from the “individually managed database” category (Data Security Regulations):</w:t>
      </w:r>
    </w:p>
    <w:p>
      <w:pPr>
        <w:pStyle w:val="Compact"/>
        <w:numPr>
          <w:ilvl w:val="0"/>
          <w:numId w:val="1239"/>
        </w:numPr>
      </w:pPr>
      <w:r>
        <w:t xml:space="preserve">“מאגר מידע הכולל מידע שבעל המאגר כפוף בשלו לחובת סודיות מקצועית לפי דין או לפי עקרונות של אתיקה מקצועית” (a database including information subject to professional confidentiality by law or professional ethics).</w:t>
      </w:r>
    </w:p>
    <w:bookmarkEnd w:id="278"/>
    <w:bookmarkStart w:id="279" w:name="evidence-based-inference"/>
    <w:p>
      <w:pPr>
        <w:pStyle w:val="Heading2"/>
      </w:pPr>
      <w:r>
        <w:t xml:space="preserve">Evidence-based inference</w:t>
      </w:r>
    </w:p>
    <w:p>
      <w:pPr>
        <w:pStyle w:val="FirstParagraph"/>
      </w:pPr>
      <w:r>
        <w:t xml:space="preserve">Based on (a) the explicit scope of “health organizations” above and (b) the Data Security Regulations’ database-security-level framework, examples of</w:t>
      </w:r>
      <w:r>
        <w:t xml:space="preserve"> </w:t>
      </w:r>
      <w:r>
        <w:rPr>
          <w:b/>
          <w:bCs/>
        </w:rPr>
        <w:t xml:space="preserve">health-sector information systems that commonly operate as “databases” containing professionally confidential health information</w:t>
      </w:r>
      <w:r>
        <w:t xml:space="preserve"> </w:t>
      </w:r>
      <w:r>
        <w:t xml:space="preserve">include:</w:t>
      </w:r>
      <w:r>
        <w:t xml:space="preserve"> </w:t>
      </w:r>
      <w:r>
        <w:rPr>
          <w:b/>
          <w:bCs/>
        </w:rPr>
        <w:t xml:space="preserve">EHR/EMR databases, hospital information systems, laboratory information systems, radiology/PACS archives, pharmacy systems, appointment &amp; admissions systems, emergency dispatch/ambulance care records, and national/regional registries</w:t>
      </w:r>
      <w:r>
        <w:t xml:space="preserve">.</w:t>
      </w:r>
    </w:p>
    <w:p>
      <w:pPr>
        <w:pStyle w:val="BodyText"/>
      </w:pPr>
      <w:r>
        <w:t xml:space="preserve">This list is</w:t>
      </w:r>
      <w:r>
        <w:t xml:space="preserve"> </w:t>
      </w:r>
      <w:r>
        <w:rPr>
          <w:b/>
          <w:bCs/>
        </w:rPr>
        <w:t xml:space="preserve">not</w:t>
      </w:r>
      <w:r>
        <w:t xml:space="preserve"> </w:t>
      </w:r>
      <w:r>
        <w:t xml:space="preserve">a designation list from Israeli law; it is an inference about typical systems that store the regulated classes of information described above.</w:t>
      </w:r>
    </w:p>
    <w:bookmarkEnd w:id="279"/>
    <w:bookmarkStart w:id="280" w:name="public-vs-confidential-8"/>
    <w:p>
      <w:pPr>
        <w:pStyle w:val="Heading2"/>
      </w:pPr>
      <w:r>
        <w:t xml:space="preserve">Public vs Confidential</w:t>
      </w:r>
    </w:p>
    <w:p>
      <w:pPr>
        <w:pStyle w:val="FirstParagraph"/>
      </w:pPr>
      <w:r>
        <w:rPr>
          <w:b/>
          <w:bCs/>
        </w:rPr>
        <w:t xml:space="preserve">Public (located and cited):</w:t>
      </w:r>
    </w:p>
    <w:p>
      <w:pPr>
        <w:pStyle w:val="Compact"/>
        <w:numPr>
          <w:ilvl w:val="0"/>
          <w:numId w:val="1240"/>
        </w:numPr>
      </w:pPr>
      <w:r>
        <w:rPr>
          <w:b/>
          <w:bCs/>
        </w:rPr>
        <w:t xml:space="preserve">Security in Public Bodies Law (1998)</w:t>
      </w:r>
      <w:r>
        <w:t xml:space="preserve"> </w:t>
      </w:r>
      <w:r>
        <w:t xml:space="preserve">— statutory definitions including “security actions” that explicitly include securing sensitive information whose exposure may harm state security.</w:t>
      </w:r>
    </w:p>
    <w:p>
      <w:pPr>
        <w:pStyle w:val="Compact"/>
        <w:numPr>
          <w:ilvl w:val="0"/>
          <w:numId w:val="1240"/>
        </w:numPr>
      </w:pPr>
      <w:r>
        <w:rPr>
          <w:b/>
          <w:bCs/>
        </w:rPr>
        <w:t xml:space="preserve">Protection of Privacy Regulations (Data Security) (2017)</w:t>
      </w:r>
      <w:r>
        <w:t xml:space="preserve"> </w:t>
      </w:r>
      <w:r>
        <w:t xml:space="preserve">— definitions of security levels; definition of “severe security incident”; immediate notification duty to the Registrar; possible Registrar-directed notification to data subjects after consultation with the national cyber authority.</w:t>
      </w:r>
    </w:p>
    <w:p>
      <w:pPr>
        <w:pStyle w:val="FirstParagraph"/>
      </w:pPr>
      <w:r>
        <w:rPr>
          <w:b/>
          <w:bCs/>
        </w:rPr>
        <w:t xml:space="preserve">Confidential (not contained in the accessible legal texts above):</w:t>
      </w:r>
    </w:p>
    <w:p>
      <w:pPr>
        <w:pStyle w:val="Compact"/>
        <w:numPr>
          <w:ilvl w:val="0"/>
          <w:numId w:val="1241"/>
        </w:numPr>
      </w:pPr>
      <w:r>
        <w:t xml:space="preserve">The cited laws/regulations above</w:t>
      </w:r>
      <w:r>
        <w:t xml:space="preserve"> </w:t>
      </w:r>
      <w:r>
        <w:rPr>
          <w:b/>
          <w:bCs/>
        </w:rPr>
        <w:t xml:space="preserve">do not themselves publish a list</w:t>
      </w:r>
      <w:r>
        <w:t xml:space="preserve"> </w:t>
      </w:r>
      <w:r>
        <w:t xml:space="preserve">of specific designated entities or systems as “critical infrastructure.” (No such list appears within the cited sections of the statutes/regulations.)</w:t>
      </w:r>
    </w:p>
    <w:bookmarkEnd w:id="280"/>
    <w:bookmarkStart w:id="281" w:name="latest-updates-20252026-4"/>
    <w:p>
      <w:pPr>
        <w:pStyle w:val="Heading2"/>
      </w:pPr>
      <w:r>
        <w:t xml:space="preserve">Latest updates (2025–2026)</w:t>
      </w:r>
    </w:p>
    <w:p>
      <w:pPr>
        <w:pStyle w:val="Compact"/>
        <w:numPr>
          <w:ilvl w:val="0"/>
          <w:numId w:val="1242"/>
        </w:numPr>
      </w:pPr>
      <w:r>
        <w:rPr>
          <w:b/>
          <w:bCs/>
        </w:rPr>
        <w:t xml:space="preserve">Privacy Protection Law (Amendment No. 13), 2024</w:t>
      </w:r>
      <w:r>
        <w:t xml:space="preserve"> </w:t>
      </w:r>
      <w:r>
        <w:t xml:space="preserve">(חוק הגנת הפרטיות (תיקון מס’ 13), התשפ”ד–2024) was published in Israel’s Book of Laws (“ספר החוקים”) on</w:t>
      </w:r>
      <w:r>
        <w:t xml:space="preserve"> </w:t>
      </w:r>
      <w:r>
        <w:rPr>
          <w:b/>
          <w:bCs/>
        </w:rPr>
        <w:t xml:space="preserve">14 Aug 2024</w:t>
      </w:r>
      <w:r>
        <w:t xml:space="preserve"> </w:t>
      </w:r>
      <w:r>
        <w:t xml:space="preserve">and is identified as Amendment No. 13 in that publication.</w:t>
      </w:r>
    </w:p>
    <w:p>
      <w:pPr>
        <w:pStyle w:val="Compact"/>
        <w:numPr>
          <w:ilvl w:val="0"/>
          <w:numId w:val="1242"/>
        </w:numPr>
      </w:pPr>
      <w:r>
        <w:t xml:space="preserve">Accessible sources discussing commencement state that</w:t>
      </w:r>
      <w:r>
        <w:t xml:space="preserve"> </w:t>
      </w:r>
      <w:r>
        <w:rPr>
          <w:b/>
          <w:bCs/>
        </w:rPr>
        <w:t xml:space="preserve">Amendment 13 enters into force on 14 Aug 2025</w:t>
      </w:r>
      <w:r>
        <w:t xml:space="preserve"> </w:t>
      </w:r>
      <w:r>
        <w:t xml:space="preserve">(one year after publication).</w:t>
      </w:r>
    </w:p>
    <w:bookmarkEnd w:id="281"/>
    <w:bookmarkStart w:id="286" w:name="references-israel"/>
    <w:p>
      <w:pPr>
        <w:pStyle w:val="Heading2"/>
      </w:pPr>
      <w:r>
        <w:t xml:space="preserve">References (Israel)</w:t>
      </w:r>
    </w:p>
    <w:p>
      <w:pPr>
        <w:pStyle w:val="Compact"/>
        <w:numPr>
          <w:ilvl w:val="0"/>
          <w:numId w:val="1243"/>
        </w:numPr>
      </w:pPr>
      <w:r>
        <w:rPr>
          <w:b/>
          <w:bCs/>
        </w:rPr>
        <w:t xml:space="preserve">The Knesset.</w:t>
      </w:r>
      <w:r>
        <w:t xml:space="preserve"> </w:t>
      </w:r>
      <w:r>
        <w:rPr>
          <w:b/>
          <w:bCs/>
        </w:rPr>
        <w:t xml:space="preserve">Regulation of Security in Public Bodies Law, 5758–1998</w:t>
      </w:r>
      <w:r>
        <w:t xml:space="preserve"> </w:t>
      </w:r>
      <w:r>
        <w:t xml:space="preserve">(חוק להסדרת הביטחון בגופים ציבוריים). (</w:t>
      </w:r>
      <w:hyperlink r:id="rId282">
        <w:r>
          <w:rPr>
            <w:rStyle w:val="Hyperlink"/>
          </w:rPr>
          <w:t xml:space="preserve">link</w:t>
        </w:r>
      </w:hyperlink>
      <w:r>
        <w:t xml:space="preserve">)</w:t>
      </w:r>
    </w:p>
    <w:p>
      <w:pPr>
        <w:pStyle w:val="Compact"/>
        <w:numPr>
          <w:ilvl w:val="0"/>
          <w:numId w:val="1243"/>
        </w:numPr>
      </w:pPr>
      <w:r>
        <w:rPr>
          <w:b/>
          <w:bCs/>
        </w:rPr>
        <w:t xml:space="preserve">Israel Privacy Protection Authority.</w:t>
      </w:r>
      <w:r>
        <w:t xml:space="preserve"> </w:t>
      </w:r>
      <w:r>
        <w:rPr>
          <w:b/>
          <w:bCs/>
        </w:rPr>
        <w:t xml:space="preserve">Protection of Privacy Regulations (Data Security), 5777–2017</w:t>
      </w:r>
      <w:r>
        <w:t xml:space="preserve">. (</w:t>
      </w:r>
      <w:hyperlink r:id="rId283">
        <w:r>
          <w:rPr>
            <w:rStyle w:val="Hyperlink"/>
          </w:rPr>
          <w:t xml:space="preserve">English translation</w:t>
        </w:r>
      </w:hyperlink>
      <w:r>
        <w:t xml:space="preserve">)</w:t>
      </w:r>
    </w:p>
    <w:p>
      <w:pPr>
        <w:pStyle w:val="Compact"/>
        <w:numPr>
          <w:ilvl w:val="0"/>
          <w:numId w:val="1243"/>
        </w:numPr>
      </w:pPr>
      <w:r>
        <w:rPr>
          <w:b/>
          <w:bCs/>
        </w:rPr>
        <w:t xml:space="preserve">State Comptroller of Israel.</w:t>
      </w:r>
      <w:r>
        <w:t xml:space="preserve"> </w:t>
      </w:r>
      <w:r>
        <w:rPr>
          <w:b/>
          <w:bCs/>
        </w:rPr>
        <w:t xml:space="preserve">Annual Report: Healthcare Cybersecurity</w:t>
      </w:r>
      <w:r>
        <w:t xml:space="preserve">. (</w:t>
      </w:r>
      <w:hyperlink r:id="rId284">
        <w:r>
          <w:rPr>
            <w:rStyle w:val="Hyperlink"/>
          </w:rPr>
          <w:t xml:space="preserve">link</w:t>
        </w:r>
      </w:hyperlink>
      <w:r>
        <w:t xml:space="preserve">)</w:t>
      </w:r>
    </w:p>
    <w:p>
      <w:pPr>
        <w:pStyle w:val="Compact"/>
        <w:numPr>
          <w:ilvl w:val="0"/>
          <w:numId w:val="1243"/>
        </w:numPr>
      </w:pPr>
      <w:r>
        <w:rPr>
          <w:b/>
          <w:bCs/>
        </w:rPr>
        <w:t xml:space="preserve">The Knesset.</w:t>
      </w:r>
      <w:r>
        <w:t xml:space="preserve"> </w:t>
      </w:r>
      <w:r>
        <w:rPr>
          <w:b/>
          <w:bCs/>
        </w:rPr>
        <w:t xml:space="preserve">Privacy Protection Law (Amendment No. 13), 2024</w:t>
      </w:r>
      <w:r>
        <w:t xml:space="preserve">. (</w:t>
      </w:r>
      <w:hyperlink r:id="rId285">
        <w:r>
          <w:rPr>
            <w:rStyle w:val="Hyperlink"/>
          </w:rPr>
          <w:t xml:space="preserve">link</w:t>
        </w:r>
      </w:hyperlink>
      <w:r>
        <w:t xml:space="preserve">)</w:t>
      </w:r>
    </w:p>
    <w:p>
      <w:pPr>
        <w:sectPr>
          <w:footerReference w:type="first" r:id="rId13"/>
          <w:footerReference w:type="default" r:id="rId11"/>
          <w:footerReference w:type="even" r:id="rId10"/>
          <w:type w:val="nextPage"/>
        </w:sectPr>
      </w:pPr>
    </w:p>
    <w:bookmarkEnd w:id="286"/>
    <w:bookmarkEnd w:id="287"/>
    <w:bookmarkStart w:id="290" w:name="X5a24a6d14bc8f340bbf04e6465a7388a3fabab2"/>
    <w:p>
      <w:pPr>
        <w:pStyle w:val="Heading1"/>
      </w:pPr>
      <w:r>
        <w:t xml:space="preserve">Part 2: Comparative Synthesis &amp; Framework Design Recommendations</w:t>
      </w:r>
    </w:p>
    <w:bookmarkStart w:id="288" w:name="comparative-framework-overview"/>
    <w:p>
      <w:pPr>
        <w:pStyle w:val="Heading2"/>
      </w:pPr>
      <w:r>
        <w:t xml:space="preserve">Comparative Framework Overview</w:t>
      </w:r>
    </w:p>
    <w:p>
      <w:pPr>
        <w:pStyle w:val="FirstParagraph"/>
      </w:pPr>
      <w:r>
        <w:t xml:space="preserve">This study provides deep-dive analysis of</w:t>
      </w:r>
      <w:r>
        <w:t xml:space="preserve"> </w:t>
      </w:r>
      <w:r>
        <w:rPr>
          <w:b/>
          <w:bCs/>
        </w:rPr>
        <w:t xml:space="preserve">17 jurisdictions</w:t>
      </w:r>
      <w:r>
        <w:t xml:space="preserve"> </w:t>
      </w:r>
      <w:r>
        <w:t xml:space="preserve">with detailed chapter coverage, plus an additional</w:t>
      </w:r>
      <w:r>
        <w:t xml:space="preserve"> </w:t>
      </w:r>
      <w:r>
        <w:rPr>
          <w:b/>
          <w:bCs/>
        </w:rPr>
        <w:t xml:space="preserve">20+ countries</w:t>
      </w:r>
      <w:r>
        <w:t xml:space="preserve"> </w:t>
      </w:r>
      <w:r>
        <w:t xml:space="preserve">surveyed in the multi-region overview table.</w:t>
      </w:r>
    </w:p>
    <w:bookmarkEnd w:id="288"/>
    <w:bookmarkStart w:id="289" w:name="deep-dive-jurisdictions-17-countries"/>
    <w:p>
      <w:pPr>
        <w:pStyle w:val="Heading2"/>
      </w:pPr>
      <w:r>
        <w:t xml:space="preserve">Deep-Dive Jurisdictions (17 Countries)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Country/Region</w:t>
            </w:r>
          </w:p>
        </w:tc>
        <w:tc>
          <w:tcPr/>
          <w:p>
            <w:pPr>
              <w:pStyle w:val="Compact"/>
              <w:jc w:val="left"/>
            </w:pPr>
            <w:r>
              <w:t xml:space="preserve">Designation Model</w:t>
            </w:r>
          </w:p>
        </w:tc>
        <w:tc>
          <w:tcPr/>
          <w:p>
            <w:pPr>
              <w:pStyle w:val="Compact"/>
              <w:jc w:val="left"/>
            </w:pPr>
            <w:r>
              <w:t xml:space="preserve">Transparency</w:t>
            </w:r>
          </w:p>
        </w:tc>
        <w:tc>
          <w:tcPr/>
          <w:p>
            <w:pPr>
              <w:pStyle w:val="Compact"/>
              <w:jc w:val="left"/>
            </w:pPr>
            <w:r>
              <w:t xml:space="preserve">Explicit Thresholds</w:t>
            </w:r>
          </w:p>
        </w:tc>
        <w:tc>
          <w:tcPr/>
          <w:p>
            <w:pPr>
              <w:pStyle w:val="Compact"/>
              <w:jc w:val="left"/>
            </w:pPr>
            <w:r>
              <w:t xml:space="preserve">2025-2026 Updates</w:t>
            </w:r>
          </w:p>
        </w:tc>
      </w:tr>
      <w:tr>
        <w:tc>
          <w:tcPr/>
          <w:p>
            <w:pPr>
              <w:pStyle w:val="Compact"/>
              <w:jc w:val="left"/>
            </w:pPr>
            <w:r>
              <w:rPr>
                <w:b/>
                <w:bCs/>
              </w:rPr>
              <w:t xml:space="preserve">USA</w:t>
            </w:r>
          </w:p>
        </w:tc>
        <w:tc>
          <w:tcPr/>
          <w:p>
            <w:pPr>
              <w:pStyle w:val="Compact"/>
              <w:jc w:val="left"/>
            </w:pPr>
            <w:r>
              <w:t xml:space="preserve">Sector-level (HPH sector)</w:t>
            </w:r>
          </w:p>
        </w:tc>
        <w:tc>
          <w:tcPr/>
          <w:p>
            <w:pPr>
              <w:pStyle w:val="Compact"/>
              <w:jc w:val="left"/>
            </w:pPr>
            <w:r>
              <w:t xml:space="preserve">Frameworks public, priorities confidential</w:t>
            </w:r>
          </w:p>
        </w:tc>
        <w:tc>
          <w:tcPr/>
          <w:p>
            <w:pPr>
              <w:pStyle w:val="Compact"/>
              <w:jc w:val="left"/>
            </w:pPr>
            <w:r>
              <w:t xml:space="preserve">No (voluntary, qualitative)</w:t>
            </w:r>
          </w:p>
        </w:tc>
        <w:tc>
          <w:tcPr/>
          <w:p>
            <w:pPr>
              <w:pStyle w:val="Compact"/>
              <w:jc w:val="left"/>
            </w:pPr>
            <w:r>
              <w:rPr>
                <w:b/>
                <w:bCs/>
              </w:rPr>
              <w:t xml:space="preserve">CIRCIA final rule expected (May 2026), 72-hr incident/24-hr ransom reporting</w:t>
            </w:r>
          </w:p>
        </w:tc>
      </w:tr>
      <w:tr>
        <w:tc>
          <w:tcPr/>
          <w:p>
            <w:pPr>
              <w:pStyle w:val="Compact"/>
              <w:jc w:val="left"/>
            </w:pPr>
            <w:r>
              <w:rPr>
                <w:b/>
                <w:bCs/>
              </w:rPr>
              <w:t xml:space="preserve">Australia</w:t>
            </w:r>
          </w:p>
        </w:tc>
        <w:tc>
          <w:tcPr/>
          <w:p>
            <w:pPr>
              <w:pStyle w:val="Compact"/>
              <w:jc w:val="left"/>
            </w:pPr>
            <w:r>
              <w:t xml:space="preserve">Asset-level (ICU hospitals)</w:t>
            </w:r>
          </w:p>
        </w:tc>
        <w:tc>
          <w:tcPr/>
          <w:p>
            <w:pPr>
              <w:pStyle w:val="Compact"/>
              <w:jc w:val="left"/>
            </w:pPr>
            <w:r>
              <w:t xml:space="preserve">Criteria fully public, SoNS confidential</w:t>
            </w:r>
          </w:p>
        </w:tc>
        <w:tc>
          <w:tcPr/>
          <w:p>
            <w:pPr>
              <w:pStyle w:val="Compact"/>
              <w:jc w:val="left"/>
            </w:pPr>
            <w:r>
              <w:rPr>
                <w:b/>
                <w:bCs/>
              </w:rPr>
              <w:t xml:space="preserve">Yes (ICU presence)</w:t>
            </w:r>
          </w:p>
        </w:tc>
        <w:tc>
          <w:tcPr/>
          <w:p>
            <w:pPr>
              <w:pStyle w:val="Compact"/>
              <w:jc w:val="left"/>
            </w:pPr>
            <w:r>
              <w:rPr>
                <w:b/>
                <w:bCs/>
              </w:rPr>
              <w:t xml:space="preserve">Ransomware payment reporting (May 2025), strict enforcement (Jan 2026)</w:t>
            </w:r>
          </w:p>
        </w:tc>
      </w:tr>
      <w:tr>
        <w:tc>
          <w:tcPr/>
          <w:p>
            <w:pPr>
              <w:pStyle w:val="Compact"/>
              <w:jc w:val="left"/>
            </w:pPr>
            <w:r>
              <w:rPr>
                <w:b/>
                <w:bCs/>
              </w:rPr>
              <w:t xml:space="preserve">EU (NIS2)</w:t>
            </w:r>
          </w:p>
        </w:tc>
        <w:tc>
          <w:tcPr/>
          <w:p>
            <w:pPr>
              <w:pStyle w:val="Compact"/>
              <w:jc w:val="left"/>
            </w:pPr>
            <w:r>
              <w:t xml:space="preserve">Entity-level (Essential/Important)</w:t>
            </w:r>
          </w:p>
        </w:tc>
        <w:tc>
          <w:tcPr/>
          <w:p>
            <w:pPr>
              <w:pStyle w:val="Compact"/>
              <w:jc w:val="left"/>
            </w:pPr>
            <w:r>
              <w:t xml:space="preserve">Criteria fully public, lists vary by state</w:t>
            </w:r>
          </w:p>
        </w:tc>
        <w:tc>
          <w:tcPr/>
          <w:p>
            <w:pPr>
              <w:pStyle w:val="Compact"/>
              <w:jc w:val="left"/>
            </w:pPr>
            <w:r>
              <w:rPr>
                <w:b/>
                <w:bCs/>
              </w:rPr>
              <w:t xml:space="preserve">Yes (≥50 employees, €10M)</w:t>
            </w:r>
          </w:p>
        </w:tc>
        <w:tc>
          <w:tcPr/>
          <w:p>
            <w:pPr>
              <w:pStyle w:val="Compact"/>
              <w:jc w:val="left"/>
            </w:pPr>
            <w:r>
              <w:rPr>
                <w:b/>
                <w:bCs/>
              </w:rPr>
              <w:t xml:space="preserve">CER Directive (July 2026 deadline), all-hazard resilience</w:t>
            </w:r>
          </w:p>
        </w:tc>
      </w:tr>
      <w:tr>
        <w:tc>
          <w:tcPr/>
          <w:p>
            <w:pPr>
              <w:pStyle w:val="Compact"/>
              <w:jc w:val="left"/>
            </w:pPr>
            <w:r>
              <w:rPr>
                <w:b/>
                <w:bCs/>
              </w:rPr>
              <w:t xml:space="preserve">Canada</w:t>
            </w:r>
          </w:p>
        </w:tc>
        <w:tc>
          <w:tcPr/>
          <w:p>
            <w:pPr>
              <w:pStyle w:val="Compact"/>
              <w:jc w:val="left"/>
            </w:pPr>
            <w:r>
              <w:t xml:space="preserve">Sector-based (10 CI sectors)</w:t>
            </w:r>
          </w:p>
        </w:tc>
        <w:tc>
          <w:tcPr/>
          <w:p>
            <w:pPr>
              <w:pStyle w:val="Compact"/>
              <w:jc w:val="left"/>
            </w:pPr>
            <w:r>
              <w:t xml:space="preserve">CI definition public</w:t>
            </w:r>
          </w:p>
        </w:tc>
        <w:tc>
          <w:tcPr/>
          <w:p>
            <w:pPr>
              <w:pStyle w:val="Compact"/>
              <w:jc w:val="left"/>
            </w:pPr>
            <w:r>
              <w:t xml:space="preserve">No (qualitative)</w:t>
            </w:r>
          </w:p>
        </w:tc>
        <w:tc>
          <w:tcPr/>
          <w:p>
            <w:pPr>
              <w:pStyle w:val="Compact"/>
              <w:jc w:val="left"/>
            </w:pPr>
            <w:r>
              <w:rPr>
                <w:b/>
                <w:bCs/>
              </w:rPr>
              <w:t xml:space="preserve">Bill C-8/CCSPA proposed (72-hr reporting)</w:t>
            </w:r>
          </w:p>
        </w:tc>
      </w:tr>
      <w:tr>
        <w:tc>
          <w:tcPr/>
          <w:p>
            <w:pPr>
              <w:pStyle w:val="Compact"/>
              <w:jc w:val="left"/>
            </w:pPr>
            <w:r>
              <w:rPr>
                <w:b/>
                <w:bCs/>
              </w:rPr>
              <w:t xml:space="preserve">UK</w:t>
            </w:r>
          </w:p>
        </w:tc>
        <w:tc>
          <w:tcPr/>
          <w:p>
            <w:pPr>
              <w:pStyle w:val="Compact"/>
              <w:jc w:val="left"/>
            </w:pPr>
            <w:r>
              <w:t xml:space="preserve">Entity-level (OES)</w:t>
            </w:r>
          </w:p>
        </w:tc>
        <w:tc>
          <w:tcPr/>
          <w:p>
            <w:pPr>
              <w:pStyle w:val="Compact"/>
              <w:jc w:val="left"/>
            </w:pPr>
            <w:r>
              <w:t xml:space="preserve">Criteria public, lists confidential</w:t>
            </w:r>
          </w:p>
        </w:tc>
        <w:tc>
          <w:tcPr/>
          <w:p>
            <w:pPr>
              <w:pStyle w:val="Compact"/>
              <w:jc w:val="left"/>
            </w:pPr>
            <w:r>
              <w:rPr>
                <w:b/>
                <w:bCs/>
              </w:rPr>
              <w:t xml:space="preserve">Yes (incident thresholds most explicit globally)</w:t>
            </w:r>
          </w:p>
        </w:tc>
        <w:tc>
          <w:tcPr/>
          <w:p>
            <w:pPr>
              <w:pStyle w:val="Compact"/>
              <w:jc w:val="left"/>
            </w:pPr>
            <w:r>
              <w:rPr>
                <w:b/>
                <w:bCs/>
              </w:rPr>
              <w:t xml:space="preserve">Cyber Security Bill (Nov 2025), expands to MSPs/suppliers, 24-hr reporting</w:t>
            </w:r>
          </w:p>
        </w:tc>
      </w:tr>
      <w:tr>
        <w:tc>
          <w:tcPr/>
          <w:p>
            <w:pPr>
              <w:pStyle w:val="Compact"/>
              <w:jc w:val="left"/>
            </w:pPr>
            <w:r>
              <w:rPr>
                <w:b/>
                <w:bCs/>
              </w:rPr>
              <w:t xml:space="preserve">Germany</w:t>
            </w:r>
          </w:p>
        </w:tc>
        <w:tc>
          <w:tcPr/>
          <w:p>
            <w:pPr>
              <w:pStyle w:val="Compact"/>
              <w:jc w:val="left"/>
            </w:pPr>
            <w:r>
              <w:t xml:space="preserve">System/entity (KRITIS + NIS2)</w:t>
            </w:r>
          </w:p>
        </w:tc>
        <w:tc>
          <w:tcPr/>
          <w:p>
            <w:pPr>
              <w:pStyle w:val="Compact"/>
              <w:jc w:val="left"/>
            </w:pPr>
            <w:r>
              <w:rPr>
                <w:b/>
                <w:bCs/>
              </w:rPr>
              <w:t xml:space="preserve">High (thresholds public)</w:t>
            </w:r>
          </w:p>
        </w:tc>
        <w:tc>
          <w:tcPr/>
          <w:p>
            <w:pPr>
              <w:pStyle w:val="Compact"/>
              <w:jc w:val="left"/>
            </w:pPr>
            <w:r>
              <w:rPr>
                <w:b/>
                <w:bCs/>
              </w:rPr>
              <w:t xml:space="preserve">Yes (30,000 inpatient cases/year)</w:t>
            </w:r>
          </w:p>
        </w:tc>
        <w:tc>
          <w:tcPr/>
          <w:p>
            <w:pPr>
              <w:pStyle w:val="Compact"/>
              <w:jc w:val="left"/>
            </w:pPr>
            <w:r>
              <w:rPr>
                <w:b/>
                <w:bCs/>
              </w:rPr>
              <w:t xml:space="preserve">NIS2 implementation law in force (6 Dec 2025)</w:t>
            </w:r>
          </w:p>
        </w:tc>
      </w:tr>
      <w:tr>
        <w:tc>
          <w:tcPr/>
          <w:p>
            <w:pPr>
              <w:pStyle w:val="Compact"/>
              <w:jc w:val="left"/>
            </w:pPr>
            <w:r>
              <w:rPr>
                <w:b/>
                <w:bCs/>
              </w:rPr>
              <w:t xml:space="preserve">Singapore</w:t>
            </w:r>
          </w:p>
        </w:tc>
        <w:tc>
          <w:tcPr/>
          <w:p>
            <w:pPr>
              <w:pStyle w:val="Compact"/>
              <w:jc w:val="left"/>
            </w:pPr>
            <w:r>
              <w:t xml:space="preserve">System-level (individual CII)</w:t>
            </w:r>
          </w:p>
        </w:tc>
        <w:tc>
          <w:tcPr/>
          <w:p>
            <w:pPr>
              <w:pStyle w:val="Compact"/>
              <w:jc w:val="left"/>
            </w:pPr>
            <w:r>
              <w:t xml:space="preserve">Criteria public, lists confidential</w:t>
            </w:r>
          </w:p>
        </w:tc>
        <w:tc>
          <w:tcPr/>
          <w:p>
            <w:pPr>
              <w:pStyle w:val="Compact"/>
              <w:jc w:val="left"/>
            </w:pPr>
            <w:r>
              <w:t xml:space="preserve">No (qualitative</w:t>
            </w:r>
            <w:r>
              <w:t xml:space="preserve"> </w:t>
            </w:r>
            <w:r>
              <w:t xml:space="preserve">“debilitating”</w:t>
            </w:r>
            <w:r>
              <w:t xml:space="preserve">)</w:t>
            </w:r>
          </w:p>
        </w:tc>
        <w:tc>
          <w:tcPr/>
          <w:p>
            <w:pPr>
              <w:pStyle w:val="Compact"/>
              <w:jc w:val="left"/>
            </w:pPr>
            <w:r>
              <w:t xml:space="preserve">No major updates</w:t>
            </w:r>
          </w:p>
        </w:tc>
      </w:tr>
      <w:tr>
        <w:tc>
          <w:tcPr/>
          <w:p>
            <w:pPr>
              <w:pStyle w:val="Compact"/>
              <w:jc w:val="left"/>
            </w:pPr>
            <w:r>
              <w:rPr>
                <w:b/>
                <w:bCs/>
              </w:rPr>
              <w:t xml:space="preserve">New Zealand</w:t>
            </w:r>
          </w:p>
        </w:tc>
        <w:tc>
          <w:tcPr/>
          <w:p>
            <w:pPr>
              <w:pStyle w:val="Compact"/>
              <w:jc w:val="left"/>
            </w:pPr>
            <w:r>
              <w:t xml:space="preserve">Risk-based (HISO segmentation)</w:t>
            </w:r>
          </w:p>
        </w:tc>
        <w:tc>
          <w:tcPr/>
          <w:p>
            <w:pPr>
              <w:pStyle w:val="Compact"/>
              <w:jc w:val="left"/>
            </w:pPr>
            <w:r>
              <w:t xml:space="preserve">Partially public</w:t>
            </w:r>
          </w:p>
        </w:tc>
        <w:tc>
          <w:tcPr/>
          <w:p>
            <w:pPr>
              <w:pStyle w:val="Compact"/>
              <w:jc w:val="left"/>
            </w:pPr>
            <w:r>
              <w:t xml:space="preserve">No (qualitative, developing)</w:t>
            </w:r>
          </w:p>
        </w:tc>
        <w:tc>
          <w:tcPr/>
          <w:p>
            <w:pPr>
              <w:pStyle w:val="Compact"/>
              <w:jc w:val="left"/>
            </w:pPr>
            <w:r>
              <w:rPr>
                <w:b/>
                <w:bCs/>
              </w:rPr>
              <w:t xml:space="preserve">PSR GOV framework (1 Oct 2025)</w:t>
            </w:r>
          </w:p>
        </w:tc>
      </w:tr>
      <w:tr>
        <w:tc>
          <w:tcPr/>
          <w:p>
            <w:pPr>
              <w:pStyle w:val="Compact"/>
              <w:jc w:val="left"/>
            </w:pPr>
            <w:r>
              <w:rPr>
                <w:b/>
                <w:bCs/>
              </w:rPr>
              <w:t xml:space="preserve">Japan</w:t>
            </w:r>
          </w:p>
        </w:tc>
        <w:tc>
          <w:tcPr/>
          <w:p>
            <w:pPr>
              <w:pStyle w:val="Compact"/>
              <w:jc w:val="left"/>
            </w:pPr>
            <w:r>
              <w:t xml:space="preserve">Entity-level (discretionary)</w:t>
            </w:r>
          </w:p>
        </w:tc>
        <w:tc>
          <w:tcPr/>
          <w:p>
            <w:pPr>
              <w:pStyle w:val="Compact"/>
              <w:jc w:val="left"/>
            </w:pPr>
            <w:r>
              <w:t xml:space="preserve">Medium (hospital categories public)</w:t>
            </w:r>
          </w:p>
        </w:tc>
        <w:tc>
          <w:tcPr/>
          <w:p>
            <w:pPr>
              <w:pStyle w:val="Compact"/>
              <w:jc w:val="left"/>
            </w:pPr>
            <w:r>
              <w:t xml:space="preserve">No (qualitative</w:t>
            </w:r>
            <w:r>
              <w:t xml:space="preserve"> </w:t>
            </w:r>
            <w:r>
              <w:t xml:space="preserve">“excluding small scale”</w:t>
            </w:r>
            <w:r>
              <w:t xml:space="preserve">)</w:t>
            </w:r>
          </w:p>
        </w:tc>
        <w:tc>
          <w:tcPr/>
          <w:p>
            <w:pPr>
              <w:pStyle w:val="Compact"/>
              <w:jc w:val="left"/>
            </w:pPr>
            <w:r>
              <w:t xml:space="preserve">No major updates</w:t>
            </w:r>
          </w:p>
        </w:tc>
      </w:tr>
      <w:tr>
        <w:tc>
          <w:tcPr/>
          <w:p>
            <w:pPr>
              <w:pStyle w:val="Compact"/>
              <w:jc w:val="left"/>
            </w:pPr>
            <w:r>
              <w:rPr>
                <w:b/>
                <w:bCs/>
              </w:rPr>
              <w:t xml:space="preserve">China</w:t>
            </w:r>
          </w:p>
        </w:tc>
        <w:tc>
          <w:tcPr/>
          <w:p>
            <w:pPr>
              <w:pStyle w:val="Compact"/>
              <w:jc w:val="left"/>
            </w:pPr>
            <w:r>
              <w:t xml:space="preserve">System/entity (CII + MLPS)</w:t>
            </w:r>
          </w:p>
        </w:tc>
        <w:tc>
          <w:tcPr/>
          <w:p>
            <w:pPr>
              <w:pStyle w:val="Compact"/>
              <w:jc w:val="left"/>
            </w:pPr>
            <w:r>
              <w:t xml:space="preserve">Low (general criteria only)</w:t>
            </w:r>
          </w:p>
        </w:tc>
        <w:tc>
          <w:tcPr/>
          <w:p>
            <w:pPr>
              <w:pStyle w:val="Compact"/>
              <w:jc w:val="left"/>
            </w:pPr>
            <w:r>
              <w:t xml:space="preserve">No (party-state discretion)</w:t>
            </w:r>
          </w:p>
        </w:tc>
        <w:tc>
          <w:tcPr/>
          <w:p>
            <w:pPr>
              <w:pStyle w:val="Compact"/>
              <w:jc w:val="left"/>
            </w:pPr>
            <w:r>
              <w:t xml:space="preserve">No major updates</w:t>
            </w:r>
          </w:p>
        </w:tc>
      </w:tr>
      <w:tr>
        <w:tc>
          <w:tcPr/>
          <w:p>
            <w:pPr>
              <w:pStyle w:val="Compact"/>
              <w:jc w:val="left"/>
            </w:pPr>
            <w:r>
              <w:rPr>
                <w:b/>
                <w:bCs/>
              </w:rPr>
              <w:t xml:space="preserve">South Korea</w:t>
            </w:r>
          </w:p>
        </w:tc>
        <w:tc>
          <w:tcPr/>
          <w:p>
            <w:pPr>
              <w:pStyle w:val="Compact"/>
              <w:jc w:val="left"/>
            </w:pPr>
            <w:r>
              <w:t xml:space="preserve">Designation-based (CIIC)</w:t>
            </w:r>
          </w:p>
        </w:tc>
        <w:tc>
          <w:tcPr/>
          <w:p>
            <w:pPr>
              <w:pStyle w:val="Compact"/>
              <w:jc w:val="left"/>
            </w:pPr>
            <w:r>
              <w:rPr>
                <w:b/>
                <w:bCs/>
              </w:rPr>
              <w:t xml:space="preserve">High (Official Gazette publication)</w:t>
            </w:r>
          </w:p>
        </w:tc>
        <w:tc>
          <w:tcPr/>
          <w:p>
            <w:pPr>
              <w:pStyle w:val="Compact"/>
              <w:jc w:val="left"/>
            </w:pPr>
            <w:r>
              <w:t xml:space="preserve">No (5-factor qualitative test)</w:t>
            </w:r>
          </w:p>
        </w:tc>
        <w:tc>
          <w:tcPr/>
          <w:p>
            <w:pPr>
              <w:pStyle w:val="Compact"/>
              <w:jc w:val="left"/>
            </w:pPr>
            <w:r>
              <w:t xml:space="preserve">No major updates</w:t>
            </w:r>
          </w:p>
        </w:tc>
      </w:tr>
      <w:tr>
        <w:tc>
          <w:tcPr/>
          <w:p>
            <w:pPr>
              <w:pStyle w:val="Compact"/>
              <w:jc w:val="left"/>
            </w:pPr>
            <w:r>
              <w:rPr>
                <w:b/>
                <w:bCs/>
              </w:rPr>
              <w:t xml:space="preserve">France</w:t>
            </w:r>
          </w:p>
        </w:tc>
        <w:tc>
          <w:tcPr/>
          <w:p>
            <w:pPr>
              <w:pStyle w:val="Compact"/>
              <w:jc w:val="left"/>
            </w:pPr>
            <w:r>
              <w:t xml:space="preserve">Entity-level (OIV/SAIV)</w:t>
            </w:r>
          </w:p>
        </w:tc>
        <w:tc>
          <w:tcPr/>
          <w:p>
            <w:pPr>
              <w:pStyle w:val="Compact"/>
              <w:jc w:val="left"/>
            </w:pPr>
            <w:r>
              <w:t xml:space="preserve">Criteria public, lists confidential</w:t>
            </w:r>
          </w:p>
        </w:tc>
        <w:tc>
          <w:tcPr/>
          <w:p>
            <w:pPr>
              <w:pStyle w:val="Compact"/>
              <w:jc w:val="left"/>
            </w:pPr>
            <w:r>
              <w:t xml:space="preserve">No (qualitative)</w:t>
            </w:r>
          </w:p>
        </w:tc>
        <w:tc>
          <w:tcPr/>
          <w:p>
            <w:pPr>
              <w:pStyle w:val="Compact"/>
              <w:jc w:val="left"/>
            </w:pPr>
            <w:r>
              <w:t xml:space="preserve">No major updates</w:t>
            </w:r>
          </w:p>
        </w:tc>
      </w:tr>
      <w:tr>
        <w:tc>
          <w:tcPr/>
          <w:p>
            <w:pPr>
              <w:pStyle w:val="Compact"/>
              <w:jc w:val="left"/>
            </w:pPr>
            <w:r>
              <w:rPr>
                <w:b/>
                <w:bCs/>
              </w:rPr>
              <w:t xml:space="preserve">Norway</w:t>
            </w:r>
          </w:p>
        </w:tc>
        <w:tc>
          <w:tcPr/>
          <w:p>
            <w:pPr>
              <w:pStyle w:val="Compact"/>
              <w:jc w:val="left"/>
            </w:pPr>
            <w:r>
              <w:t xml:space="preserve">Entity-level (socially important services)</w:t>
            </w:r>
          </w:p>
        </w:tc>
        <w:tc>
          <w:tcPr/>
          <w:p>
            <w:pPr>
              <w:pStyle w:val="Compact"/>
              <w:jc w:val="left"/>
            </w:pPr>
            <w:r>
              <w:t xml:space="preserve">Criteria public</w:t>
            </w:r>
          </w:p>
        </w:tc>
        <w:tc>
          <w:tcPr/>
          <w:p>
            <w:pPr>
              <w:pStyle w:val="Compact"/>
              <w:jc w:val="left"/>
            </w:pPr>
            <w:r>
              <w:t xml:space="preserve">No (qualitative</w:t>
            </w:r>
            <w:r>
              <w:t xml:space="preserve"> </w:t>
            </w:r>
            <w:r>
              <w:t xml:space="preserve">“significantly disruptive”</w:t>
            </w:r>
            <w:r>
              <w:t xml:space="preserve">)</w:t>
            </w:r>
          </w:p>
        </w:tc>
        <w:tc>
          <w:tcPr/>
          <w:p>
            <w:pPr>
              <w:pStyle w:val="Compact"/>
              <w:jc w:val="left"/>
            </w:pPr>
            <w:r>
              <w:rPr>
                <w:b/>
                <w:bCs/>
              </w:rPr>
              <w:t xml:space="preserve">Digital Security Act in force (1 Oct 2025), 24h/72h reporting</w:t>
            </w:r>
          </w:p>
        </w:tc>
      </w:tr>
      <w:tr>
        <w:tc>
          <w:tcPr/>
          <w:p>
            <w:pPr>
              <w:pStyle w:val="Compact"/>
              <w:jc w:val="left"/>
            </w:pPr>
            <w:r>
              <w:rPr>
                <w:b/>
                <w:bCs/>
              </w:rPr>
              <w:t xml:space="preserve">Switzerland</w:t>
            </w:r>
          </w:p>
        </w:tc>
        <w:tc>
          <w:tcPr/>
          <w:p>
            <w:pPr>
              <w:pStyle w:val="Compact"/>
              <w:jc w:val="left"/>
            </w:pPr>
            <w:r>
              <w:t xml:space="preserve">Entity-level (CI operators)</w:t>
            </w:r>
          </w:p>
        </w:tc>
        <w:tc>
          <w:tcPr/>
          <w:p>
            <w:pPr>
              <w:pStyle w:val="Compact"/>
              <w:jc w:val="left"/>
            </w:pPr>
            <w:r>
              <w:t xml:space="preserve">Criteria public, entities via permits</w:t>
            </w:r>
          </w:p>
        </w:tc>
        <w:tc>
          <w:tcPr/>
          <w:p>
            <w:pPr>
              <w:pStyle w:val="Compact"/>
              <w:jc w:val="left"/>
            </w:pPr>
            <w:r>
              <w:t xml:space="preserve">No (qualitative, category-based)</w:t>
            </w:r>
          </w:p>
        </w:tc>
        <w:tc>
          <w:tcPr/>
          <w:p>
            <w:pPr>
              <w:pStyle w:val="Compact"/>
              <w:jc w:val="left"/>
            </w:pPr>
            <w:r>
              <w:rPr>
                <w:b/>
                <w:bCs/>
              </w:rPr>
              <w:t xml:space="preserve">Cybersecurity Ordinance (CSV) in force (1 Apr 2025), 24h reporting</w:t>
            </w:r>
          </w:p>
        </w:tc>
      </w:tr>
      <w:tr>
        <w:tc>
          <w:tcPr/>
          <w:p>
            <w:pPr>
              <w:pStyle w:val="Compact"/>
              <w:jc w:val="left"/>
            </w:pPr>
            <w:r>
              <w:rPr>
                <w:b/>
                <w:bCs/>
              </w:rPr>
              <w:t xml:space="preserve">Taiwan</w:t>
            </w:r>
          </w:p>
        </w:tc>
        <w:tc>
          <w:tcPr/>
          <w:p>
            <w:pPr>
              <w:pStyle w:val="Compact"/>
              <w:jc w:val="left"/>
            </w:pPr>
            <w:r>
              <w:t xml:space="preserve">Designation-based (CI providers)</w:t>
            </w:r>
          </w:p>
        </w:tc>
        <w:tc>
          <w:tcPr/>
          <w:p>
            <w:pPr>
              <w:pStyle w:val="Compact"/>
              <w:jc w:val="left"/>
            </w:pPr>
            <w:r>
              <w:t xml:space="preserve">Criteria public</w:t>
            </w:r>
          </w:p>
        </w:tc>
        <w:tc>
          <w:tcPr/>
          <w:p>
            <w:pPr>
              <w:pStyle w:val="Compact"/>
              <w:jc w:val="left"/>
            </w:pPr>
            <w:r>
              <w:t xml:space="preserve">No (administrative designation)</w:t>
            </w:r>
          </w:p>
        </w:tc>
        <w:tc>
          <w:tcPr/>
          <w:p>
            <w:pPr>
              <w:pStyle w:val="Compact"/>
              <w:jc w:val="left"/>
            </w:pPr>
            <w:r>
              <w:rPr>
                <w:b/>
                <w:bCs/>
              </w:rPr>
              <w:t xml:space="preserve">CSMA revised (24 Sept 2025), MoDA as authority</w:t>
            </w:r>
          </w:p>
        </w:tc>
      </w:tr>
      <w:tr>
        <w:tc>
          <w:tcPr/>
          <w:p>
            <w:pPr>
              <w:pStyle w:val="Compact"/>
              <w:jc w:val="left"/>
            </w:pPr>
            <w:r>
              <w:rPr>
                <w:b/>
                <w:bCs/>
              </w:rPr>
              <w:t xml:space="preserve">Thailand</w:t>
            </w:r>
          </w:p>
        </w:tc>
        <w:tc>
          <w:tcPr/>
          <w:p>
            <w:pPr>
              <w:pStyle w:val="Compact"/>
              <w:jc w:val="left"/>
            </w:pPr>
            <w:r>
              <w:t xml:space="preserve">Designation-based (CII orgs)</w:t>
            </w:r>
          </w:p>
        </w:tc>
        <w:tc>
          <w:tcPr/>
          <w:p>
            <w:pPr>
              <w:pStyle w:val="Compact"/>
              <w:jc w:val="left"/>
            </w:pPr>
            <w:r>
              <w:t xml:space="preserve">Criteria public (Gazette)</w:t>
            </w:r>
          </w:p>
        </w:tc>
        <w:tc>
          <w:tcPr/>
          <w:p>
            <w:pPr>
              <w:pStyle w:val="Compact"/>
              <w:jc w:val="left"/>
            </w:pPr>
            <w:r>
              <w:t xml:space="preserve">No (Committee notification)</w:t>
            </w:r>
          </w:p>
        </w:tc>
        <w:tc>
          <w:tcPr/>
          <w:p>
            <w:pPr>
              <w:pStyle w:val="Compact"/>
              <w:jc w:val="left"/>
            </w:pPr>
            <w:r>
              <w:t xml:space="preserve">No major updates cited</w:t>
            </w:r>
          </w:p>
        </w:tc>
      </w:tr>
      <w:tr>
        <w:tc>
          <w:tcPr/>
          <w:p>
            <w:pPr>
              <w:pStyle w:val="Compact"/>
              <w:jc w:val="left"/>
            </w:pPr>
            <w:r>
              <w:rPr>
                <w:b/>
                <w:bCs/>
              </w:rPr>
              <w:t xml:space="preserve">Hong Kong</w:t>
            </w:r>
          </w:p>
        </w:tc>
        <w:tc>
          <w:tcPr/>
          <w:p>
            <w:pPr>
              <w:pStyle w:val="Compact"/>
              <w:jc w:val="left"/>
            </w:pPr>
            <w:r>
              <w:t xml:space="preserve">Designation-based (CI operators)</w:t>
            </w:r>
          </w:p>
        </w:tc>
        <w:tc>
          <w:tcPr/>
          <w:p>
            <w:pPr>
              <w:pStyle w:val="Compact"/>
              <w:jc w:val="left"/>
            </w:pPr>
            <w:r>
              <w:rPr>
                <w:b/>
                <w:bCs/>
              </w:rPr>
              <w:t xml:space="preserve">High (criteria + obligations public)</w:t>
            </w:r>
          </w:p>
        </w:tc>
        <w:tc>
          <w:tcPr/>
          <w:p>
            <w:pPr>
              <w:pStyle w:val="Compact"/>
              <w:jc w:val="left"/>
            </w:pPr>
            <w:r>
              <w:t xml:space="preserve">No (qualitative</w:t>
            </w:r>
            <w:r>
              <w:t xml:space="preserve"> </w:t>
            </w:r>
            <w:r>
              <w:t xml:space="preserve">“essential to core function”</w:t>
            </w:r>
            <w:r>
              <w:t xml:space="preserve">)</w:t>
            </w:r>
          </w:p>
        </w:tc>
        <w:tc>
          <w:tcPr/>
          <w:p>
            <w:pPr>
              <w:pStyle w:val="Compact"/>
              <w:jc w:val="left"/>
            </w:pPr>
            <w:r>
              <w:rPr>
                <w:b/>
                <w:bCs/>
              </w:rPr>
              <w:t xml:space="preserve">CI Ordinance in force (1 Jan 2026), 12h/48h/14d reporting</w:t>
            </w:r>
          </w:p>
        </w:tc>
      </w:tr>
      <w:tr>
        <w:tc>
          <w:tcPr/>
          <w:p>
            <w:pPr>
              <w:pStyle w:val="Compact"/>
              <w:jc w:val="left"/>
            </w:pPr>
            <w:r>
              <w:rPr>
                <w:b/>
                <w:bCs/>
              </w:rPr>
              <w:t xml:space="preserve">Israel</w:t>
            </w:r>
          </w:p>
        </w:tc>
        <w:tc>
          <w:tcPr/>
          <w:p>
            <w:pPr>
              <w:pStyle w:val="Compact"/>
              <w:jc w:val="left"/>
            </w:pPr>
            <w:r>
              <w:t xml:space="preserve">Database security levels</w:t>
            </w:r>
          </w:p>
        </w:tc>
        <w:tc>
          <w:tcPr/>
          <w:p>
            <w:pPr>
              <w:pStyle w:val="Compact"/>
              <w:jc w:val="left"/>
            </w:pPr>
            <w:r>
              <w:t xml:space="preserve">Criteria public</w:t>
            </w:r>
          </w:p>
        </w:tc>
        <w:tc>
          <w:tcPr/>
          <w:p>
            <w:pPr>
              <w:pStyle w:val="Compact"/>
              <w:jc w:val="left"/>
            </w:pPr>
            <w:r>
              <w:rPr>
                <w:b/>
                <w:bCs/>
              </w:rPr>
              <w:t xml:space="preserve">Yes (3-tier: Basic/Medium/High)</w:t>
            </w:r>
          </w:p>
        </w:tc>
        <w:tc>
          <w:tcPr/>
          <w:p>
            <w:pPr>
              <w:pStyle w:val="Compact"/>
              <w:jc w:val="left"/>
            </w:pPr>
            <w:r>
              <w:rPr>
                <w:b/>
                <w:bCs/>
              </w:rPr>
              <w:t xml:space="preserve">Privacy Law Amendment 13 effective (14 Aug 2025)</w:t>
            </w:r>
          </w:p>
        </w:tc>
      </w:tr>
    </w:tbl>
    <w:p>
      <w:pPr>
        <w:sectPr>
          <w:footerReference w:type="first" r:id="rId13"/>
          <w:footerReference w:type="default" r:id="rId11"/>
          <w:footerReference w:type="even" r:id="rId10"/>
          <w:type w:val="nextPage"/>
        </w:sectPr>
      </w:pPr>
    </w:p>
    <w:bookmarkEnd w:id="289"/>
    <w:bookmarkEnd w:id="290"/>
    <w:bookmarkStart w:id="291" w:name="Xa8c9f6b3e6c704416a925bc4af05cee43dcee78"/>
    <w:p>
      <w:pPr>
        <w:pStyle w:val="Heading1"/>
      </w:pPr>
      <w:r>
        <w:t xml:space="preserve">Universal Health Information Systems Prioritized Globally</w:t>
      </w:r>
    </w:p>
    <w:p>
      <w:pPr>
        <w:pStyle w:val="FirstParagraph"/>
      </w:pPr>
      <w:r>
        <w:rPr>
          <w:b/>
          <w:bCs/>
        </w:rPr>
        <w:t xml:space="preserve">Across all 17 deep-dive jurisdictions, consistent prioritization emerges for:</w:t>
      </w:r>
    </w:p>
    <w:p>
      <w:pPr>
        <w:pStyle w:val="Compact"/>
        <w:numPr>
          <w:ilvl w:val="0"/>
          <w:numId w:val="1244"/>
        </w:numPr>
      </w:pPr>
      <w:r>
        <w:rPr>
          <w:b/>
          <w:bCs/>
        </w:rPr>
        <w:t xml:space="preserve">Emergency call-taking and ambulance dispatch</w:t>
      </w:r>
      <w:r>
        <w:t xml:space="preserve"> </w:t>
      </w:r>
      <w:r>
        <w:t xml:space="preserve">(111/112/119/911/999 + Computer Aided Dispatch)</w:t>
      </w:r>
      <w:r>
        <w:br/>
      </w:r>
    </w:p>
    <w:p>
      <w:pPr>
        <w:pStyle w:val="Compact"/>
        <w:numPr>
          <w:ilvl w:val="0"/>
          <w:numId w:val="1244"/>
        </w:numPr>
      </w:pPr>
      <w:r>
        <w:rPr>
          <w:b/>
          <w:bCs/>
        </w:rPr>
        <w:t xml:space="preserve">Major hospital core clinical systems</w:t>
      </w:r>
      <w:r>
        <w:t xml:space="preserve"> </w:t>
      </w:r>
      <w:r>
        <w:t xml:space="preserve">(EMR/EHR, EDIS, ICU monitoring)</w:t>
      </w:r>
      <w:r>
        <w:br/>
      </w:r>
    </w:p>
    <w:p>
      <w:pPr>
        <w:pStyle w:val="Compact"/>
        <w:numPr>
          <w:ilvl w:val="0"/>
          <w:numId w:val="1244"/>
        </w:numPr>
      </w:pPr>
      <w:r>
        <w:rPr>
          <w:b/>
          <w:bCs/>
        </w:rPr>
        <w:t xml:space="preserve">Intensive care unit systems</w:t>
      </w:r>
      <w:r>
        <w:t xml:space="preserve"> </w:t>
      </w:r>
      <w:r>
        <w:t xml:space="preserve">(explicitly: Australia, UK, Germany; implicitly: all others)</w:t>
      </w:r>
      <w:r>
        <w:br/>
      </w:r>
    </w:p>
    <w:p>
      <w:pPr>
        <w:pStyle w:val="Compact"/>
        <w:numPr>
          <w:ilvl w:val="0"/>
          <w:numId w:val="1244"/>
        </w:numPr>
      </w:pPr>
      <w:r>
        <w:rPr>
          <w:b/>
          <w:bCs/>
        </w:rPr>
        <w:t xml:space="preserve">Blood bank and transfusion services</w:t>
      </w:r>
      <w:r>
        <w:t xml:space="preserve"> </w:t>
      </w:r>
      <w:r>
        <w:t xml:space="preserve">(national/regional level)</w:t>
      </w:r>
      <w:r>
        <w:br/>
      </w:r>
    </w:p>
    <w:p>
      <w:pPr>
        <w:pStyle w:val="Compact"/>
        <w:numPr>
          <w:ilvl w:val="0"/>
          <w:numId w:val="1244"/>
        </w:numPr>
      </w:pPr>
      <w:r>
        <w:rPr>
          <w:b/>
          <w:bCs/>
        </w:rPr>
        <w:t xml:space="preserve">National/regional infectious disease surveillance</w:t>
      </w:r>
      <w:r>
        <w:br/>
      </w:r>
    </w:p>
    <w:p>
      <w:pPr>
        <w:pStyle w:val="Compact"/>
        <w:numPr>
          <w:ilvl w:val="0"/>
          <w:numId w:val="1244"/>
        </w:numPr>
      </w:pPr>
      <w:r>
        <w:rPr>
          <w:b/>
          <w:bCs/>
        </w:rPr>
        <w:t xml:space="preserve">National health information infrastructure</w:t>
      </w:r>
      <w:r>
        <w:t xml:space="preserve"> </w:t>
      </w:r>
      <w:r>
        <w:t xml:space="preserve">(where exists: electronic prescription, national EHR)</w:t>
      </w:r>
    </w:p>
    <w:p>
      <w:pPr>
        <w:pStyle w:val="FirstParagraph"/>
      </w:pPr>
      <w:r>
        <w:rPr>
          <w:b/>
          <w:bCs/>
        </w:rPr>
        <w:t xml:space="preserve">High but variable priority:</w:t>
      </w:r>
    </w:p>
    <w:p>
      <w:pPr>
        <w:pStyle w:val="Compact"/>
        <w:numPr>
          <w:ilvl w:val="0"/>
          <w:numId w:val="1245"/>
        </w:numPr>
      </w:pPr>
      <w:r>
        <w:t xml:space="preserve">Ambulance electronic patient care records (ePCR/ePRF)</w:t>
      </w:r>
      <w:r>
        <w:br/>
      </w:r>
    </w:p>
    <w:p>
      <w:pPr>
        <w:pStyle w:val="Compact"/>
        <w:numPr>
          <w:ilvl w:val="0"/>
          <w:numId w:val="1245"/>
        </w:numPr>
      </w:pPr>
      <w:r>
        <w:t xml:space="preserve">Operating theatre management and anesthesia systems</w:t>
      </w:r>
      <w:r>
        <w:br/>
      </w:r>
    </w:p>
    <w:p>
      <w:pPr>
        <w:pStyle w:val="Compact"/>
        <w:numPr>
          <w:ilvl w:val="0"/>
          <w:numId w:val="1245"/>
        </w:numPr>
      </w:pPr>
      <w:r>
        <w:t xml:space="preserve">Hospital laboratory information systems (LIMS)</w:t>
      </w:r>
      <w:r>
        <w:br/>
      </w:r>
    </w:p>
    <w:p>
      <w:pPr>
        <w:pStyle w:val="Compact"/>
        <w:numPr>
          <w:ilvl w:val="0"/>
          <w:numId w:val="1245"/>
        </w:numPr>
      </w:pPr>
      <w:r>
        <w:t xml:space="preserve">Pharmacy management and ePrescribing (hospital-based)</w:t>
      </w:r>
      <w:r>
        <w:br/>
      </w:r>
    </w:p>
    <w:p>
      <w:pPr>
        <w:pStyle w:val="Compact"/>
        <w:numPr>
          <w:ilvl w:val="0"/>
          <w:numId w:val="1245"/>
        </w:numPr>
      </w:pPr>
      <w:r>
        <w:t xml:space="preserve">Medical imaging systems (PACS/RIS in acute settings)</w:t>
      </w:r>
      <w:r>
        <w:br/>
      </w:r>
    </w:p>
    <w:p>
      <w:pPr>
        <w:pStyle w:val="Compact"/>
        <w:numPr>
          <w:ilvl w:val="0"/>
          <w:numId w:val="1245"/>
        </w:numPr>
      </w:pPr>
      <w:r>
        <w:t xml:space="preserve">National immunization registries</w:t>
      </w:r>
      <w:r>
        <w:br/>
      </w:r>
    </w:p>
    <w:p>
      <w:pPr>
        <w:pStyle w:val="Compact"/>
        <w:numPr>
          <w:ilvl w:val="0"/>
          <w:numId w:val="1245"/>
        </w:numPr>
      </w:pPr>
      <w:r>
        <w:t xml:space="preserve">Organ and tissue transplant allocation systems</w:t>
      </w:r>
    </w:p>
    <w:p>
      <w:pPr>
        <w:pStyle w:val="FirstParagraph"/>
      </w:pPr>
      <w:r>
        <w:rPr>
          <w:b/>
          <w:bCs/>
        </w:rPr>
        <w:t xml:space="preserve">Lower priority (but still important):</w:t>
      </w:r>
    </w:p>
    <w:p>
      <w:pPr>
        <w:pStyle w:val="Compact"/>
        <w:numPr>
          <w:ilvl w:val="0"/>
          <w:numId w:val="1246"/>
        </w:numPr>
      </w:pPr>
      <w:r>
        <w:t xml:space="preserve">Community hospital systems (if alternatives exist)</w:t>
      </w:r>
      <w:r>
        <w:br/>
      </w:r>
    </w:p>
    <w:p>
      <w:pPr>
        <w:pStyle w:val="Compact"/>
        <w:numPr>
          <w:ilvl w:val="0"/>
          <w:numId w:val="1246"/>
        </w:numPr>
      </w:pPr>
      <w:r>
        <w:t xml:space="preserve">Primary care / GP systems (unless sole provider)</w:t>
      </w:r>
      <w:r>
        <w:br/>
      </w:r>
    </w:p>
    <w:p>
      <w:pPr>
        <w:pStyle w:val="Compact"/>
        <w:numPr>
          <w:ilvl w:val="0"/>
          <w:numId w:val="1246"/>
        </w:numPr>
      </w:pPr>
      <w:r>
        <w:t xml:space="preserve">Outpatient specialty clinics</w:t>
      </w:r>
      <w:r>
        <w:br/>
      </w:r>
    </w:p>
    <w:p>
      <w:pPr>
        <w:pStyle w:val="Compact"/>
        <w:numPr>
          <w:ilvl w:val="0"/>
          <w:numId w:val="1246"/>
        </w:numPr>
      </w:pPr>
      <w:r>
        <w:t xml:space="preserve">Health research systems (non-pandemic)</w:t>
      </w:r>
      <w:r>
        <w:br/>
      </w:r>
    </w:p>
    <w:p>
      <w:pPr>
        <w:pStyle w:val="Compact"/>
        <w:numPr>
          <w:ilvl w:val="0"/>
          <w:numId w:val="1246"/>
        </w:numPr>
      </w:pPr>
      <w:r>
        <w:t xml:space="preserve">Administrative/billing systems</w:t>
      </w:r>
    </w:p>
    <w:p>
      <w:pPr>
        <w:sectPr>
          <w:footerReference w:type="first" r:id="rId13"/>
          <w:footerReference w:type="default" r:id="rId11"/>
          <w:footerReference w:type="even" r:id="rId10"/>
          <w:type w:val="nextPage"/>
        </w:sectPr>
      </w:pPr>
    </w:p>
    <w:bookmarkEnd w:id="291"/>
    <w:bookmarkStart w:id="297" w:name="emerging-global-trends-2025-2026"/>
    <w:p>
      <w:pPr>
        <w:pStyle w:val="Heading1"/>
      </w:pPr>
      <w:r>
        <w:t xml:space="preserve">Emerging Global Trends (2025-2026)</w:t>
      </w:r>
    </w:p>
    <w:bookmarkStart w:id="292" w:name="key-regulatory-milestones-2025-2026"/>
    <w:p>
      <w:pPr>
        <w:pStyle w:val="Heading2"/>
      </w:pPr>
      <w:r>
        <w:t xml:space="preserve">Key Regulatory Milestones (2025-2026)</w:t>
      </w:r>
    </w:p>
    <w:tbl>
      <w:tblPr>
        <w:tblStyle w:val="Table"/>
        <w:tblW w:type="pct" w:w="5000"/>
        <w:tblLayout w:type="fixed"/>
        <w:tblLook w:firstRow="1" w:lastRow="0" w:firstColumn="0" w:lastColumn="0" w:noHBand="0" w:noVBand="0" w:val="0020"/>
      </w:tblPr>
      <w:tblGrid>
        <w:gridCol w:w="1532"/>
        <w:gridCol w:w="3576"/>
        <w:gridCol w:w="2810"/>
      </w:tblGrid>
      <w:tr>
        <w:trPr>
          <w:tblHeader w:val="on"/>
        </w:trPr>
        <w:tc>
          <w:tcPr/>
          <w:p>
            <w:pPr>
              <w:pStyle w:val="Compact"/>
              <w:jc w:val="left"/>
            </w:pPr>
            <w:r>
              <w:t xml:space="preserve">Date</w:t>
            </w:r>
          </w:p>
        </w:tc>
        <w:tc>
          <w:tcPr/>
          <w:p>
            <w:pPr>
              <w:pStyle w:val="Compact"/>
              <w:jc w:val="left"/>
            </w:pPr>
            <w:r>
              <w:t xml:space="preserve">Jurisdiction</w:t>
            </w:r>
          </w:p>
        </w:tc>
        <w:tc>
          <w:tcPr/>
          <w:p>
            <w:pPr>
              <w:pStyle w:val="Compact"/>
              <w:jc w:val="left"/>
            </w:pPr>
            <w:r>
              <w:t xml:space="preserve">Milestone</w:t>
            </w:r>
          </w:p>
        </w:tc>
      </w:tr>
      <w:tr>
        <w:tc>
          <w:tcPr/>
          <w:p>
            <w:pPr>
              <w:pStyle w:val="Compact"/>
              <w:jc w:val="left"/>
            </w:pPr>
            <w:r>
              <w:rPr>
                <w:b/>
                <w:bCs/>
              </w:rPr>
              <w:t xml:space="preserve">1 Apr 2025</w:t>
            </w:r>
          </w:p>
        </w:tc>
        <w:tc>
          <w:tcPr/>
          <w:p>
            <w:pPr>
              <w:pStyle w:val="Compact"/>
              <w:jc w:val="left"/>
            </w:pPr>
            <w:r>
              <w:t xml:space="preserve">Switzerland</w:t>
            </w:r>
          </w:p>
        </w:tc>
        <w:tc>
          <w:tcPr/>
          <w:p>
            <w:pPr>
              <w:pStyle w:val="Compact"/>
              <w:jc w:val="left"/>
            </w:pPr>
            <w:r>
              <w:t xml:space="preserve">Cybersecurity Ordinance (CSV) enters into force; 24-hour reporting</w:t>
            </w:r>
          </w:p>
        </w:tc>
      </w:tr>
      <w:tr>
        <w:tc>
          <w:tcPr/>
          <w:p>
            <w:pPr>
              <w:pStyle w:val="Compact"/>
              <w:jc w:val="left"/>
            </w:pPr>
            <w:r>
              <w:rPr>
                <w:b/>
                <w:bCs/>
              </w:rPr>
              <w:t xml:space="preserve">30 May 2025</w:t>
            </w:r>
          </w:p>
        </w:tc>
        <w:tc>
          <w:tcPr/>
          <w:p>
            <w:pPr>
              <w:pStyle w:val="Compact"/>
              <w:jc w:val="left"/>
            </w:pPr>
            <w:r>
              <w:t xml:space="preserve">Australia</w:t>
            </w:r>
          </w:p>
        </w:tc>
        <w:tc>
          <w:tcPr/>
          <w:p>
            <w:pPr>
              <w:pStyle w:val="Compact"/>
              <w:jc w:val="left"/>
            </w:pPr>
            <w:r>
              <w:t xml:space="preserve">Mandatory ransomware payment reporting in effect</w:t>
            </w:r>
          </w:p>
        </w:tc>
      </w:tr>
      <w:tr>
        <w:tc>
          <w:tcPr/>
          <w:p>
            <w:pPr>
              <w:pStyle w:val="Compact"/>
              <w:jc w:val="left"/>
            </w:pPr>
            <w:r>
              <w:rPr>
                <w:b/>
                <w:bCs/>
              </w:rPr>
              <w:t xml:space="preserve">14 Aug 2025</w:t>
            </w:r>
          </w:p>
        </w:tc>
        <w:tc>
          <w:tcPr/>
          <w:p>
            <w:pPr>
              <w:pStyle w:val="Compact"/>
              <w:jc w:val="left"/>
            </w:pPr>
            <w:r>
              <w:t xml:space="preserve">Israel</w:t>
            </w:r>
          </w:p>
        </w:tc>
        <w:tc>
          <w:tcPr/>
          <w:p>
            <w:pPr>
              <w:pStyle w:val="Compact"/>
              <w:jc w:val="left"/>
            </w:pPr>
            <w:r>
              <w:t xml:space="preserve">Privacy Protection Law Amendment 13 enters into force</w:t>
            </w:r>
          </w:p>
        </w:tc>
      </w:tr>
      <w:tr>
        <w:tc>
          <w:tcPr/>
          <w:p>
            <w:pPr>
              <w:pStyle w:val="Compact"/>
              <w:jc w:val="left"/>
            </w:pPr>
            <w:r>
              <w:rPr>
                <w:b/>
                <w:bCs/>
              </w:rPr>
              <w:t xml:space="preserve">24 Sept 2025</w:t>
            </w:r>
          </w:p>
        </w:tc>
        <w:tc>
          <w:tcPr/>
          <w:p>
            <w:pPr>
              <w:pStyle w:val="Compact"/>
              <w:jc w:val="left"/>
            </w:pPr>
            <w:r>
              <w:t xml:space="preserve">Taiwan</w:t>
            </w:r>
          </w:p>
        </w:tc>
        <w:tc>
          <w:tcPr/>
          <w:p>
            <w:pPr>
              <w:pStyle w:val="Compact"/>
              <w:jc w:val="left"/>
            </w:pPr>
            <w:r>
              <w:t xml:space="preserve">Revised Cyber Security Management Act promulgated</w:t>
            </w:r>
          </w:p>
        </w:tc>
      </w:tr>
      <w:tr>
        <w:tc>
          <w:tcPr/>
          <w:p>
            <w:pPr>
              <w:pStyle w:val="Compact"/>
              <w:jc w:val="left"/>
            </w:pPr>
            <w:r>
              <w:rPr>
                <w:b/>
                <w:bCs/>
              </w:rPr>
              <w:t xml:space="preserve">1 Oct 2025</w:t>
            </w:r>
          </w:p>
        </w:tc>
        <w:tc>
          <w:tcPr/>
          <w:p>
            <w:pPr>
              <w:pStyle w:val="Compact"/>
              <w:jc w:val="left"/>
            </w:pPr>
            <w:r>
              <w:t xml:space="preserve">Norway</w:t>
            </w:r>
          </w:p>
        </w:tc>
        <w:tc>
          <w:tcPr/>
          <w:p>
            <w:pPr>
              <w:pStyle w:val="Compact"/>
              <w:jc w:val="left"/>
            </w:pPr>
            <w:r>
              <w:t xml:space="preserve">Digital Security Act and Regulations enter into force</w:t>
            </w:r>
          </w:p>
        </w:tc>
      </w:tr>
      <w:tr>
        <w:tc>
          <w:tcPr/>
          <w:p>
            <w:pPr>
              <w:pStyle w:val="Compact"/>
              <w:jc w:val="left"/>
            </w:pPr>
            <w:r>
              <w:rPr>
                <w:b/>
                <w:bCs/>
              </w:rPr>
              <w:t xml:space="preserve">1 Oct 2025</w:t>
            </w:r>
          </w:p>
        </w:tc>
        <w:tc>
          <w:tcPr/>
          <w:p>
            <w:pPr>
              <w:pStyle w:val="Compact"/>
              <w:jc w:val="left"/>
            </w:pPr>
            <w:r>
              <w:t xml:space="preserve">New Zealand</w:t>
            </w:r>
          </w:p>
        </w:tc>
        <w:tc>
          <w:tcPr/>
          <w:p>
            <w:pPr>
              <w:pStyle w:val="Compact"/>
              <w:jc w:val="left"/>
            </w:pPr>
            <w:r>
              <w:t xml:space="preserve">PSR GOV Policy Framework implemented</w:t>
            </w:r>
          </w:p>
        </w:tc>
      </w:tr>
      <w:tr>
        <w:tc>
          <w:tcPr/>
          <w:p>
            <w:pPr>
              <w:pStyle w:val="Compact"/>
              <w:jc w:val="left"/>
            </w:pPr>
            <w:r>
              <w:rPr>
                <w:b/>
                <w:bCs/>
              </w:rPr>
              <w:t xml:space="preserve">Nov 2025</w:t>
            </w:r>
          </w:p>
        </w:tc>
        <w:tc>
          <w:tcPr/>
          <w:p>
            <w:pPr>
              <w:pStyle w:val="Compact"/>
              <w:jc w:val="left"/>
            </w:pPr>
            <w:r>
              <w:t xml:space="preserve">UK</w:t>
            </w:r>
          </w:p>
        </w:tc>
        <w:tc>
          <w:tcPr/>
          <w:p>
            <w:pPr>
              <w:pStyle w:val="Compact"/>
              <w:jc w:val="left"/>
            </w:pPr>
            <w:r>
              <w:t xml:space="preserve">Cyber Security and Resilience Bill introduced</w:t>
            </w:r>
          </w:p>
        </w:tc>
      </w:tr>
      <w:tr>
        <w:tc>
          <w:tcPr/>
          <w:p>
            <w:pPr>
              <w:pStyle w:val="Compact"/>
              <w:jc w:val="left"/>
            </w:pPr>
            <w:r>
              <w:rPr>
                <w:b/>
                <w:bCs/>
              </w:rPr>
              <w:t xml:space="preserve">6 Dec 2025</w:t>
            </w:r>
          </w:p>
        </w:tc>
        <w:tc>
          <w:tcPr/>
          <w:p>
            <w:pPr>
              <w:pStyle w:val="Compact"/>
              <w:jc w:val="left"/>
            </w:pPr>
            <w:r>
              <w:t xml:space="preserve">Germany</w:t>
            </w:r>
          </w:p>
        </w:tc>
        <w:tc>
          <w:tcPr/>
          <w:p>
            <w:pPr>
              <w:pStyle w:val="Compact"/>
              <w:jc w:val="left"/>
            </w:pPr>
            <w:r>
              <w:t xml:space="preserve">NIS2 implementation law (NIS2UmsuCG) enters into force</w:t>
            </w:r>
          </w:p>
        </w:tc>
      </w:tr>
      <w:tr>
        <w:tc>
          <w:tcPr/>
          <w:p>
            <w:pPr>
              <w:pStyle w:val="Compact"/>
              <w:jc w:val="left"/>
            </w:pPr>
            <w:r>
              <w:rPr>
                <w:b/>
                <w:bCs/>
              </w:rPr>
              <w:t xml:space="preserve">1 Jan 2026</w:t>
            </w:r>
          </w:p>
        </w:tc>
        <w:tc>
          <w:tcPr/>
          <w:p>
            <w:pPr>
              <w:pStyle w:val="Compact"/>
              <w:jc w:val="left"/>
            </w:pPr>
            <w:r>
              <w:t xml:space="preserve">Australia</w:t>
            </w:r>
          </w:p>
        </w:tc>
        <w:tc>
          <w:tcPr/>
          <w:p>
            <w:pPr>
              <w:pStyle w:val="Compact"/>
              <w:jc w:val="left"/>
            </w:pPr>
            <w:r>
              <w:t xml:space="preserve">Strict enforcement posture begins</w:t>
            </w:r>
          </w:p>
        </w:tc>
      </w:tr>
      <w:tr>
        <w:tc>
          <w:tcPr/>
          <w:p>
            <w:pPr>
              <w:pStyle w:val="Compact"/>
              <w:jc w:val="left"/>
            </w:pPr>
            <w:r>
              <w:rPr>
                <w:b/>
                <w:bCs/>
              </w:rPr>
              <w:t xml:space="preserve">1 Jan 2026</w:t>
            </w:r>
          </w:p>
        </w:tc>
        <w:tc>
          <w:tcPr/>
          <w:p>
            <w:pPr>
              <w:pStyle w:val="Compact"/>
              <w:jc w:val="left"/>
            </w:pPr>
            <w:r>
              <w:t xml:space="preserve">Hong Kong</w:t>
            </w:r>
          </w:p>
        </w:tc>
        <w:tc>
          <w:tcPr/>
          <w:p>
            <w:pPr>
              <w:pStyle w:val="Compact"/>
              <w:jc w:val="left"/>
            </w:pPr>
            <w:r>
              <w:t xml:space="preserve">Protection of Critical Infrastructures Ordinance enters into force</w:t>
            </w:r>
          </w:p>
        </w:tc>
      </w:tr>
      <w:tr>
        <w:tc>
          <w:tcPr/>
          <w:p>
            <w:pPr>
              <w:pStyle w:val="Compact"/>
              <w:jc w:val="left"/>
            </w:pPr>
            <w:r>
              <w:rPr>
                <w:b/>
                <w:bCs/>
              </w:rPr>
              <w:t xml:space="preserve">May 2026</w:t>
            </w:r>
          </w:p>
        </w:tc>
        <w:tc>
          <w:tcPr/>
          <w:p>
            <w:pPr>
              <w:pStyle w:val="Compact"/>
              <w:jc w:val="left"/>
            </w:pPr>
            <w:r>
              <w:t xml:space="preserve">USA</w:t>
            </w:r>
          </w:p>
        </w:tc>
        <w:tc>
          <w:tcPr/>
          <w:p>
            <w:pPr>
              <w:pStyle w:val="Compact"/>
              <w:jc w:val="left"/>
            </w:pPr>
            <w:r>
              <w:t xml:space="preserve">CIRCIA final rule expected</w:t>
            </w:r>
          </w:p>
        </w:tc>
      </w:tr>
      <w:tr>
        <w:tc>
          <w:tcPr/>
          <w:p>
            <w:pPr>
              <w:pStyle w:val="Compact"/>
              <w:jc w:val="left"/>
            </w:pPr>
            <w:r>
              <w:rPr>
                <w:b/>
                <w:bCs/>
              </w:rPr>
              <w:t xml:space="preserve">17 July 2026</w:t>
            </w:r>
          </w:p>
        </w:tc>
        <w:tc>
          <w:tcPr/>
          <w:p>
            <w:pPr>
              <w:pStyle w:val="Compact"/>
              <w:jc w:val="left"/>
            </w:pPr>
            <w:r>
              <w:t xml:space="preserve">EU</w:t>
            </w:r>
          </w:p>
        </w:tc>
        <w:tc>
          <w:tcPr/>
          <w:p>
            <w:pPr>
              <w:pStyle w:val="Compact"/>
              <w:jc w:val="left"/>
            </w:pPr>
            <w:r>
              <w:t xml:space="preserve">CER Directive deadline for identifying critical entities</w:t>
            </w:r>
          </w:p>
        </w:tc>
      </w:tr>
    </w:tbl>
    <w:bookmarkEnd w:id="292"/>
    <w:bookmarkStart w:id="293" w:name="supply-chain-regulation-expansion"/>
    <w:p>
      <w:pPr>
        <w:pStyle w:val="Heading2"/>
      </w:pPr>
      <w:r>
        <w:t xml:space="preserve">1. Supply Chain Regulation Expansion</w:t>
      </w:r>
    </w:p>
    <w:p>
      <w:pPr>
        <w:pStyle w:val="Compact"/>
        <w:numPr>
          <w:ilvl w:val="0"/>
          <w:numId w:val="1247"/>
        </w:numPr>
      </w:pPr>
      <w:r>
        <w:rPr>
          <w:b/>
          <w:bCs/>
        </w:rPr>
        <w:t xml:space="preserve">UK</w:t>
      </w:r>
      <w:r>
        <w:t xml:space="preserve">: New Bill explicitly targets</w:t>
      </w:r>
      <w:r>
        <w:t xml:space="preserve"> </w:t>
      </w:r>
      <w:r>
        <w:rPr>
          <w:b/>
          <w:bCs/>
        </w:rPr>
        <w:t xml:space="preserve">Managed Service Providers (MSPs)</w:t>
      </w:r>
      <w:r>
        <w:t xml:space="preserve"> </w:t>
      </w:r>
      <w:r>
        <w:t xml:space="preserve">and</w:t>
      </w:r>
      <w:r>
        <w:t xml:space="preserve"> </w:t>
      </w:r>
      <w:r>
        <w:rPr>
          <w:b/>
          <w:bCs/>
        </w:rPr>
        <w:t xml:space="preserve">critical suppliers</w:t>
      </w:r>
      <w:r>
        <w:br/>
      </w:r>
    </w:p>
    <w:p>
      <w:pPr>
        <w:pStyle w:val="Compact"/>
        <w:numPr>
          <w:ilvl w:val="0"/>
          <w:numId w:val="1247"/>
        </w:numPr>
      </w:pPr>
      <w:r>
        <w:rPr>
          <w:b/>
          <w:bCs/>
        </w:rPr>
        <w:t xml:space="preserve">EU</w:t>
      </w:r>
      <w:r>
        <w:t xml:space="preserve">: NIS2 includes manufacturers of medical devices and pharmaceuticals</w:t>
      </w:r>
      <w:r>
        <w:br/>
      </w:r>
    </w:p>
    <w:p>
      <w:pPr>
        <w:pStyle w:val="Compact"/>
        <w:numPr>
          <w:ilvl w:val="0"/>
          <w:numId w:val="1247"/>
        </w:numPr>
      </w:pPr>
      <w:r>
        <w:rPr>
          <w:b/>
          <w:bCs/>
        </w:rPr>
        <w:t xml:space="preserve">Implication</w:t>
      </w:r>
      <w:r>
        <w:t xml:space="preserve">: Future frameworks must include criteria for assessing and mandating security standards for third and fourth-party vendors</w:t>
      </w:r>
    </w:p>
    <w:bookmarkEnd w:id="293"/>
    <w:bookmarkStart w:id="294" w:name="all-hazard-resilience-integration"/>
    <w:p>
      <w:pPr>
        <w:pStyle w:val="Heading2"/>
      </w:pPr>
      <w:r>
        <w:t xml:space="preserve">2. All-Hazard Resilience Integration</w:t>
      </w:r>
    </w:p>
    <w:p>
      <w:pPr>
        <w:pStyle w:val="Compact"/>
        <w:numPr>
          <w:ilvl w:val="0"/>
          <w:numId w:val="1248"/>
        </w:numPr>
      </w:pPr>
      <w:r>
        <w:rPr>
          <w:b/>
          <w:bCs/>
        </w:rPr>
        <w:t xml:space="preserve">EU CER Directive</w:t>
      </w:r>
      <w:r>
        <w:t xml:space="preserve">: Mandates resilience plans for physical, environmental, natural disaster, and supply chain disruptions</w:t>
      </w:r>
      <w:r>
        <w:br/>
      </w:r>
    </w:p>
    <w:p>
      <w:pPr>
        <w:pStyle w:val="Compact"/>
        <w:numPr>
          <w:ilvl w:val="0"/>
          <w:numId w:val="1248"/>
        </w:numPr>
      </w:pPr>
      <w:r>
        <w:rPr>
          <w:b/>
          <w:bCs/>
        </w:rPr>
        <w:t xml:space="preserve">Shift</w:t>
      </w:r>
      <w:r>
        <w:t xml:space="preserve">: Moving beyond pure cybersecurity to require planning for broader disruptions that could impact digital services</w:t>
      </w:r>
      <w:r>
        <w:br/>
      </w:r>
    </w:p>
    <w:p>
      <w:pPr>
        <w:pStyle w:val="Compact"/>
        <w:numPr>
          <w:ilvl w:val="0"/>
          <w:numId w:val="1248"/>
        </w:numPr>
      </w:pPr>
      <w:r>
        <w:rPr>
          <w:b/>
          <w:bCs/>
        </w:rPr>
        <w:t xml:space="preserve">Implication</w:t>
      </w:r>
      <w:r>
        <w:t xml:space="preserve">: Critical infrastructure frameworks should integrate business continuity planning for multi-hazard scenarios</w:t>
      </w:r>
    </w:p>
    <w:bookmarkEnd w:id="294"/>
    <w:bookmarkStart w:id="295" w:name="stricter-harmonized-incident-reporting"/>
    <w:p>
      <w:pPr>
        <w:pStyle w:val="Heading2"/>
      </w:pPr>
      <w:r>
        <w:t xml:space="preserve">3. Stricter &amp; Harmonized Incident Reporting</w:t>
      </w:r>
    </w:p>
    <w:p>
      <w:pPr>
        <w:pStyle w:val="FirstParagraph"/>
      </w:pPr>
      <w:r>
        <w:t xml:space="preserve">Global convergence towards standardized reporting timelines:</w:t>
      </w:r>
      <w:r>
        <w:t xml:space="preserve"> </w:t>
      </w:r>
      <w:r>
        <w:t xml:space="preserve">| Reporting Stage | Common Standard | Examples |</w:t>
      </w:r>
      <w:r>
        <w:t xml:space="preserve"> </w:t>
      </w:r>
      <w:r>
        <w:t xml:space="preserve">|:—————-|:—————-|:———|</w:t>
      </w:r>
      <w:r>
        <w:t xml:space="preserve"> </w:t>
      </w:r>
      <w:r>
        <w:t xml:space="preserve">|</w:t>
      </w:r>
      <w:r>
        <w:t xml:space="preserve"> </w:t>
      </w:r>
      <w:r>
        <w:rPr>
          <w:b/>
          <w:bCs/>
        </w:rPr>
        <w:t xml:space="preserve">Early warning</w:t>
      </w:r>
      <w:r>
        <w:t xml:space="preserve"> </w:t>
      </w:r>
      <w:r>
        <w:t xml:space="preserve">| 12-24 hours | Hong Kong (12h), Norway (24h), Switzerland (24h), EU NIS2 (24h) |</w:t>
      </w:r>
      <w:r>
        <w:t xml:space="preserve"> </w:t>
      </w:r>
      <w:r>
        <w:t xml:space="preserve">|</w:t>
      </w:r>
      <w:r>
        <w:t xml:space="preserve"> </w:t>
      </w:r>
      <w:r>
        <w:rPr>
          <w:b/>
          <w:bCs/>
        </w:rPr>
        <w:t xml:space="preserve">Detailed notification</w:t>
      </w:r>
      <w:r>
        <w:t xml:space="preserve"> </w:t>
      </w:r>
      <w:r>
        <w:t xml:space="preserve">| 48-72 hours | Hong Kong (48h), Norway (72h), EU NIS2 (72h), USA CIRCIA (72h) |</w:t>
      </w:r>
      <w:r>
        <w:t xml:space="preserve"> </w:t>
      </w:r>
      <w:r>
        <w:t xml:space="preserve">|</w:t>
      </w:r>
      <w:r>
        <w:t xml:space="preserve"> </w:t>
      </w:r>
      <w:r>
        <w:rPr>
          <w:b/>
          <w:bCs/>
        </w:rPr>
        <w:t xml:space="preserve">Final report</w:t>
      </w:r>
      <w:r>
        <w:t xml:space="preserve"> </w:t>
      </w:r>
      <w:r>
        <w:t xml:space="preserve">| 14-30 days | Hong Kong (14d), Norway (1 month), EU NIS2 (1 month) |</w:t>
      </w:r>
      <w:r>
        <w:t xml:space="preserve"> </w:t>
      </w:r>
      <w:r>
        <w:t xml:space="preserve">|</w:t>
      </w:r>
      <w:r>
        <w:t xml:space="preserve"> </w:t>
      </w:r>
      <w:r>
        <w:rPr>
          <w:b/>
          <w:bCs/>
        </w:rPr>
        <w:t xml:space="preserve">Ransom payment</w:t>
      </w:r>
      <w:r>
        <w:t xml:space="preserve"> </w:t>
      </w:r>
      <w:r>
        <w:t xml:space="preserve">| 24 hours | USA CIRCIA, Australia |</w:t>
      </w:r>
    </w:p>
    <w:bookmarkEnd w:id="295"/>
    <w:bookmarkStart w:id="296" w:name="enhanced-enforcement-postures"/>
    <w:p>
      <w:pPr>
        <w:pStyle w:val="Heading2"/>
      </w:pPr>
      <w:r>
        <w:t xml:space="preserve">4. Enhanced Enforcement Postures</w:t>
      </w:r>
    </w:p>
    <w:p>
      <w:pPr>
        <w:pStyle w:val="Compact"/>
        <w:numPr>
          <w:ilvl w:val="0"/>
          <w:numId w:val="1249"/>
        </w:numPr>
      </w:pPr>
      <w:r>
        <w:rPr>
          <w:b/>
          <w:bCs/>
        </w:rPr>
        <w:t xml:space="preserve">Australia</w:t>
      </w:r>
      <w:r>
        <w:t xml:space="preserve">: Shift to</w:t>
      </w:r>
      <w:r>
        <w:t xml:space="preserve"> </w:t>
      </w:r>
      <w:r>
        <w:t xml:space="preserve">“stricter enforcement-oriented posture”</w:t>
      </w:r>
      <w:r>
        <w:t xml:space="preserve"> </w:t>
      </w:r>
      <w:r>
        <w:t xml:space="preserve">from January 2026</w:t>
      </w:r>
      <w:r>
        <w:br/>
      </w:r>
    </w:p>
    <w:p>
      <w:pPr>
        <w:pStyle w:val="Compact"/>
        <w:numPr>
          <w:ilvl w:val="0"/>
          <w:numId w:val="1249"/>
        </w:numPr>
      </w:pPr>
      <w:r>
        <w:rPr>
          <w:b/>
          <w:bCs/>
        </w:rPr>
        <w:t xml:space="preserve">EU</w:t>
      </w:r>
      <w:r>
        <w:t xml:space="preserve">: Significant penalties (up to €10M or 2% global turnover)</w:t>
      </w:r>
      <w:r>
        <w:br/>
      </w:r>
    </w:p>
    <w:p>
      <w:pPr>
        <w:pStyle w:val="Compact"/>
        <w:numPr>
          <w:ilvl w:val="0"/>
          <w:numId w:val="1249"/>
        </w:numPr>
      </w:pPr>
      <w:r>
        <w:rPr>
          <w:b/>
          <w:bCs/>
        </w:rPr>
        <w:t xml:space="preserve">Hong Kong</w:t>
      </w:r>
      <w:r>
        <w:t xml:space="preserve">: Fines up to HK$5M for non-compliance with CI operator obligations</w:t>
      </w:r>
    </w:p>
    <w:p>
      <w:pPr>
        <w:pStyle w:val="Compact"/>
        <w:numPr>
          <w:ilvl w:val="0"/>
          <w:numId w:val="1249"/>
        </w:numPr>
      </w:pPr>
      <w:r>
        <w:rPr>
          <w:b/>
          <w:bCs/>
        </w:rPr>
        <w:t xml:space="preserve">Implication</w:t>
      </w:r>
      <w:r>
        <w:t xml:space="preserve">: Compliance moving from voluntary guidance to mandatory requirement with serious consequences for non-compliance</w:t>
      </w:r>
    </w:p>
    <w:p>
      <w:pPr>
        <w:sectPr>
          <w:footerReference w:type="first" r:id="rId13"/>
          <w:footerReference w:type="default" r:id="rId11"/>
          <w:footerReference w:type="even" r:id="rId10"/>
          <w:type w:val="nextPage"/>
        </w:sectPr>
      </w:pPr>
    </w:p>
    <w:bookmarkEnd w:id="296"/>
    <w:bookmarkEnd w:id="297"/>
    <w:bookmarkStart w:id="307" w:name="X8574e430a5c88f9c021b1280e94e60ad40bcb78"/>
    <w:p>
      <w:pPr>
        <w:pStyle w:val="Heading1"/>
      </w:pPr>
      <w:r>
        <w:t xml:space="preserve">Key Policy Design Insights for New Jurisdictions</w:t>
      </w:r>
    </w:p>
    <w:p>
      <w:pPr>
        <w:pStyle w:val="FirstParagraph"/>
      </w:pPr>
      <w:r>
        <w:t xml:space="preserve">This section synthesizes lessons learned from the 17 jurisdictions analyzed, organized as actionable decision points for policymakers.</w:t>
      </w:r>
    </w:p>
    <w:bookmarkStart w:id="298" w:name="designation-model-trade-offs"/>
    <w:p>
      <w:pPr>
        <w:pStyle w:val="Heading2"/>
      </w:pPr>
      <w:r>
        <w:t xml:space="preserve">Designation Model Trade-offs</w:t>
      </w:r>
    </w:p>
    <w:tbl>
      <w:tblPr>
        <w:tblStyle w:val="Table"/>
        <w:tblW w:type="pct" w:w="5000"/>
        <w:tblLayout w:type="fixed"/>
        <w:tblLook w:firstRow="1" w:lastRow="0" w:firstColumn="0" w:lastColumn="0" w:noHBand="0" w:noVBand="0" w:val="0020"/>
      </w:tblPr>
      <w:tblGrid>
        <w:gridCol w:w="1026"/>
        <w:gridCol w:w="1760"/>
        <w:gridCol w:w="2200"/>
        <w:gridCol w:w="1466"/>
        <w:gridCol w:w="1466"/>
      </w:tblGrid>
      <w:tr>
        <w:trPr>
          <w:tblHeader w:val="on"/>
        </w:trPr>
        <w:tc>
          <w:tcPr/>
          <w:p>
            <w:pPr>
              <w:pStyle w:val="Compact"/>
              <w:jc w:val="left"/>
            </w:pPr>
            <w:r>
              <w:t xml:space="preserve">Model</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Best For</w:t>
            </w:r>
          </w:p>
        </w:tc>
        <w:tc>
          <w:tcPr/>
          <w:p>
            <w:pPr>
              <w:pStyle w:val="Compact"/>
              <w:jc w:val="left"/>
            </w:pPr>
            <w:r>
              <w:t xml:space="preserve">Examples</w:t>
            </w:r>
          </w:p>
        </w:tc>
      </w:tr>
      <w:tr>
        <w:tc>
          <w:tcPr/>
          <w:p>
            <w:pPr>
              <w:pStyle w:val="Compact"/>
              <w:jc w:val="left"/>
            </w:pPr>
            <w:r>
              <w:rPr>
                <w:b/>
                <w:bCs/>
              </w:rPr>
              <w:t xml:space="preserve">Sector-based</w:t>
            </w:r>
            <w:r>
              <w:t xml:space="preserve"> </w:t>
            </w:r>
            <w:r>
              <w:t xml:space="preserve">(no designation)</w:t>
            </w:r>
          </w:p>
        </w:tc>
        <w:tc>
          <w:tcPr/>
          <w:p>
            <w:pPr>
              <w:pStyle w:val="Compact"/>
              <w:jc w:val="left"/>
            </w:pPr>
            <w:r>
              <w:t xml:space="preserve">Low administrative burden; covers all entities in sector</w:t>
            </w:r>
          </w:p>
        </w:tc>
        <w:tc>
          <w:tcPr/>
          <w:p>
            <w:pPr>
              <w:pStyle w:val="Compact"/>
              <w:jc w:val="left"/>
            </w:pPr>
            <w:r>
              <w:t xml:space="preserve">Lacks precision; may burden small providers unnecessarily</w:t>
            </w:r>
          </w:p>
        </w:tc>
        <w:tc>
          <w:tcPr/>
          <w:p>
            <w:pPr>
              <w:pStyle w:val="Compact"/>
              <w:jc w:val="left"/>
            </w:pPr>
            <w:r>
              <w:t xml:space="preserve">Countries with limited regulatory capacity</w:t>
            </w:r>
          </w:p>
        </w:tc>
        <w:tc>
          <w:tcPr/>
          <w:p>
            <w:pPr>
              <w:pStyle w:val="Compact"/>
              <w:jc w:val="left"/>
            </w:pPr>
            <w:r>
              <w:t xml:space="preserve">USA, Canada</w:t>
            </w:r>
          </w:p>
        </w:tc>
      </w:tr>
      <w:tr>
        <w:tc>
          <w:tcPr/>
          <w:p>
            <w:pPr>
              <w:pStyle w:val="Compact"/>
              <w:jc w:val="left"/>
            </w:pPr>
            <w:r>
              <w:rPr>
                <w:b/>
                <w:bCs/>
              </w:rPr>
              <w:t xml:space="preserve">Entity-based designation</w:t>
            </w:r>
          </w:p>
        </w:tc>
        <w:tc>
          <w:tcPr/>
          <w:p>
            <w:pPr>
              <w:pStyle w:val="Compact"/>
              <w:jc w:val="left"/>
            </w:pPr>
            <w:r>
              <w:t xml:space="preserve">Clear accountability; scales with organization</w:t>
            </w:r>
          </w:p>
        </w:tc>
        <w:tc>
          <w:tcPr/>
          <w:p>
            <w:pPr>
              <w:pStyle w:val="Compact"/>
              <w:jc w:val="left"/>
            </w:pPr>
            <w:r>
              <w:t xml:space="preserve">May miss critical small providers</w:t>
            </w:r>
          </w:p>
        </w:tc>
        <w:tc>
          <w:tcPr/>
          <w:p>
            <w:pPr>
              <w:pStyle w:val="Compact"/>
              <w:jc w:val="left"/>
            </w:pPr>
            <w:r>
              <w:t xml:space="preserve">Developed regulatory systems</w:t>
            </w:r>
          </w:p>
        </w:tc>
        <w:tc>
          <w:tcPr/>
          <w:p>
            <w:pPr>
              <w:pStyle w:val="Compact"/>
              <w:jc w:val="left"/>
            </w:pPr>
            <w:r>
              <w:t xml:space="preserve">UK (OES), EU (NIS2), France (OIV)</w:t>
            </w:r>
          </w:p>
        </w:tc>
      </w:tr>
      <w:tr>
        <w:tc>
          <w:tcPr/>
          <w:p>
            <w:pPr>
              <w:pStyle w:val="Compact"/>
              <w:jc w:val="left"/>
            </w:pPr>
            <w:r>
              <w:rPr>
                <w:b/>
                <w:bCs/>
              </w:rPr>
              <w:t xml:space="preserve">System-based designation</w:t>
            </w:r>
          </w:p>
        </w:tc>
        <w:tc>
          <w:tcPr/>
          <w:p>
            <w:pPr>
              <w:pStyle w:val="Compact"/>
              <w:jc w:val="left"/>
            </w:pPr>
            <w:r>
              <w:t xml:space="preserve">Precise; focuses on actual critical systems</w:t>
            </w:r>
          </w:p>
        </w:tc>
        <w:tc>
          <w:tcPr/>
          <w:p>
            <w:pPr>
              <w:pStyle w:val="Compact"/>
              <w:jc w:val="left"/>
            </w:pPr>
            <w:r>
              <w:t xml:space="preserve">Complex to administer; requires technical assessment</w:t>
            </w:r>
          </w:p>
        </w:tc>
        <w:tc>
          <w:tcPr/>
          <w:p>
            <w:pPr>
              <w:pStyle w:val="Compact"/>
              <w:jc w:val="left"/>
            </w:pPr>
            <w:r>
              <w:t xml:space="preserve">High IT maturity jurisdictions</w:t>
            </w:r>
          </w:p>
        </w:tc>
        <w:tc>
          <w:tcPr/>
          <w:p>
            <w:pPr>
              <w:pStyle w:val="Compact"/>
              <w:jc w:val="left"/>
            </w:pPr>
            <w:r>
              <w:t xml:space="preserve">Singapore (CII)</w:t>
            </w:r>
          </w:p>
        </w:tc>
      </w:tr>
      <w:tr>
        <w:tc>
          <w:tcPr/>
          <w:p>
            <w:pPr>
              <w:pStyle w:val="Compact"/>
              <w:jc w:val="left"/>
            </w:pPr>
            <w:r>
              <w:rPr>
                <w:b/>
                <w:bCs/>
              </w:rPr>
              <w:t xml:space="preserve">Asset-based designation</w:t>
            </w:r>
          </w:p>
        </w:tc>
        <w:tc>
          <w:tcPr/>
          <w:p>
            <w:pPr>
              <w:pStyle w:val="Compact"/>
              <w:jc w:val="left"/>
            </w:pPr>
            <w:r>
              <w:t xml:space="preserve">Clear thresholds; easy to verify</w:t>
            </w:r>
          </w:p>
        </w:tc>
        <w:tc>
          <w:tcPr/>
          <w:p>
            <w:pPr>
              <w:pStyle w:val="Compact"/>
              <w:jc w:val="left"/>
            </w:pPr>
            <w:r>
              <w:t xml:space="preserve">May be too rigid; misses critical functions at smaller sites</w:t>
            </w:r>
          </w:p>
        </w:tc>
        <w:tc>
          <w:tcPr/>
          <w:p>
            <w:pPr>
              <w:pStyle w:val="Compact"/>
              <w:jc w:val="left"/>
            </w:pPr>
            <w:r>
              <w:t xml:space="preserve">Jurisdictions wanting explicit rules</w:t>
            </w:r>
          </w:p>
        </w:tc>
        <w:tc>
          <w:tcPr/>
          <w:p>
            <w:pPr>
              <w:pStyle w:val="Compact"/>
              <w:jc w:val="left"/>
            </w:pPr>
            <w:r>
              <w:t xml:space="preserve">Australia (ICU hospitals), Germany (30k cases)</w:t>
            </w:r>
          </w:p>
        </w:tc>
      </w:tr>
      <w:tr>
        <w:tc>
          <w:tcPr/>
          <w:p>
            <w:pPr>
              <w:pStyle w:val="Compact"/>
              <w:jc w:val="left"/>
            </w:pPr>
            <w:r>
              <w:rPr>
                <w:b/>
                <w:bCs/>
              </w:rPr>
              <w:t xml:space="preserve">Hybrid</w:t>
            </w:r>
          </w:p>
        </w:tc>
        <w:tc>
          <w:tcPr/>
          <w:p>
            <w:pPr>
              <w:pStyle w:val="Compact"/>
              <w:jc w:val="left"/>
            </w:pPr>
            <w:r>
              <w:t xml:space="preserve">Flexible; covers edge cases</w:t>
            </w:r>
          </w:p>
        </w:tc>
        <w:tc>
          <w:tcPr/>
          <w:p>
            <w:pPr>
              <w:pStyle w:val="Compact"/>
              <w:jc w:val="left"/>
            </w:pPr>
            <w:r>
              <w:t xml:space="preserve">More complex to implement</w:t>
            </w:r>
          </w:p>
        </w:tc>
        <w:tc>
          <w:tcPr/>
          <w:p>
            <w:pPr>
              <w:pStyle w:val="Compact"/>
              <w:jc w:val="left"/>
            </w:pPr>
            <w:r>
              <w:t xml:space="preserve">Most jurisdictions moving this direction</w:t>
            </w:r>
          </w:p>
        </w:tc>
        <w:tc>
          <w:tcPr/>
          <w:p>
            <w:pPr>
              <w:pStyle w:val="Compact"/>
              <w:jc w:val="left"/>
            </w:pPr>
            <w:r>
              <w:t xml:space="preserve">Germany (KRITIS + NIS2), Hong Kong</w:t>
            </w:r>
          </w:p>
        </w:tc>
      </w:tr>
    </w:tbl>
    <w:p>
      <w:pPr>
        <w:pStyle w:val="BlockText"/>
      </w:pPr>
      <w:r>
        <w:rPr>
          <w:b/>
          <w:bCs/>
        </w:rPr>
        <w:t xml:space="preserve">Recommendation for new countries:</w:t>
      </w:r>
      <w:r>
        <w:t xml:space="preserve"> </w:t>
      </w:r>
      <w:r>
        <w:t xml:space="preserve">Start with</w:t>
      </w:r>
      <w:r>
        <w:t xml:space="preserve"> </w:t>
      </w:r>
      <w:r>
        <w:rPr>
          <w:b/>
          <w:bCs/>
        </w:rPr>
        <w:t xml:space="preserve">sector + entity-based</w:t>
      </w:r>
      <w:r>
        <w:t xml:space="preserve"> </w:t>
      </w:r>
      <w:r>
        <w:t xml:space="preserve">for broad coverage, then add</w:t>
      </w:r>
      <w:r>
        <w:t xml:space="preserve"> </w:t>
      </w:r>
      <w:r>
        <w:rPr>
          <w:b/>
          <w:bCs/>
        </w:rPr>
        <w:t xml:space="preserve">system/asset thresholds</w:t>
      </w:r>
      <w:r>
        <w:t xml:space="preserve"> </w:t>
      </w:r>
      <w:r>
        <w:t xml:space="preserve">as regulatory capacity matures.</w:t>
      </w:r>
    </w:p>
    <w:bookmarkEnd w:id="298"/>
    <w:bookmarkStart w:id="299" w:name="Xdffc8885a08b809c3754100beb2f2bb413ff018"/>
    <w:p>
      <w:pPr>
        <w:pStyle w:val="Heading2"/>
      </w:pPr>
      <w:r>
        <w:t xml:space="preserve">Which Health Entities to Include (Global Consensus)</w:t>
      </w:r>
    </w:p>
    <w:p>
      <w:pPr>
        <w:pStyle w:val="FirstParagraph"/>
      </w:pPr>
      <w:r>
        <w:t xml:space="preserve">Based on analysis across all 17 jurisdictions, the following entities appear most frequently in CI/CII frameworks:</w:t>
      </w:r>
    </w:p>
    <w:bookmarkEnd w:id="299"/>
    <w:bookmarkStart w:id="300" w:name="Xe8b158dcaa24b7719392e97c66063b2da2a2f60"/>
    <w:p>
      <w:pPr>
        <w:pStyle w:val="Heading2"/>
      </w:pPr>
      <w:r>
        <w:t xml:space="preserve">Tier 1: Near-Universal Inclusion (explicitly included in 80%+ of frameworks)</w:t>
      </w:r>
    </w:p>
    <w:tbl>
      <w:tblPr>
        <w:tblStyle w:val="Table"/>
        <w:tblW w:type="pct" w:w="5000"/>
        <w:tblLayout w:type="fixed"/>
        <w:tblLook w:firstRow="1" w:lastRow="0" w:firstColumn="0" w:lastColumn="0" w:noHBand="0" w:noVBand="0" w:val="0020"/>
      </w:tblPr>
      <w:tblGrid>
        <w:gridCol w:w="2394"/>
        <w:gridCol w:w="1289"/>
        <w:gridCol w:w="4236"/>
      </w:tblGrid>
      <w:tr>
        <w:trPr>
          <w:tblHeader w:val="on"/>
        </w:trPr>
        <w:tc>
          <w:tcPr/>
          <w:p>
            <w:pPr>
              <w:pStyle w:val="Compact"/>
              <w:jc w:val="left"/>
            </w:pPr>
            <w:r>
              <w:t xml:space="preserve">Entity Type</w:t>
            </w:r>
          </w:p>
        </w:tc>
        <w:tc>
          <w:tcPr/>
          <w:p>
            <w:pPr>
              <w:pStyle w:val="Compact"/>
              <w:jc w:val="left"/>
            </w:pPr>
            <w:r>
              <w:t xml:space="preserve">Notes</w:t>
            </w:r>
          </w:p>
        </w:tc>
        <w:tc>
          <w:tcPr/>
          <w:p>
            <w:pPr>
              <w:pStyle w:val="Compact"/>
              <w:jc w:val="left"/>
            </w:pPr>
            <w:r>
              <w:t xml:space="preserve">Example Jurisdictions</w:t>
            </w:r>
          </w:p>
        </w:tc>
      </w:tr>
      <w:tr>
        <w:tc>
          <w:tcPr/>
          <w:p>
            <w:pPr>
              <w:pStyle w:val="Compact"/>
              <w:jc w:val="left"/>
            </w:pPr>
            <w:r>
              <w:rPr>
                <w:b/>
                <w:bCs/>
              </w:rPr>
              <w:t xml:space="preserve">Hospitals with ICU/emergency capability</w:t>
            </w:r>
          </w:p>
        </w:tc>
        <w:tc>
          <w:tcPr/>
          <w:p>
            <w:pPr>
              <w:pStyle w:val="Compact"/>
              <w:jc w:val="left"/>
            </w:pPr>
            <w:r>
              <w:t xml:space="preserve">Often defined by bed count or case volume</w:t>
            </w:r>
          </w:p>
        </w:tc>
        <w:tc>
          <w:tcPr/>
          <w:p>
            <w:pPr>
              <w:pStyle w:val="Compact"/>
              <w:jc w:val="left"/>
            </w:pPr>
            <w:r>
              <w:t xml:space="preserve">Australia, Germany, UK, EU, Hong Kong</w:t>
            </w:r>
          </w:p>
        </w:tc>
      </w:tr>
      <w:tr>
        <w:tc>
          <w:tcPr/>
          <w:p>
            <w:pPr>
              <w:pStyle w:val="Compact"/>
              <w:jc w:val="left"/>
            </w:pPr>
            <w:r>
              <w:rPr>
                <w:b/>
                <w:bCs/>
              </w:rPr>
              <w:t xml:space="preserve">National/regional health information exchanges</w:t>
            </w:r>
          </w:p>
        </w:tc>
        <w:tc>
          <w:tcPr/>
          <w:p>
            <w:pPr>
              <w:pStyle w:val="Compact"/>
              <w:jc w:val="left"/>
            </w:pPr>
            <w:r>
              <w:t xml:space="preserve">EHR platforms, health data networks</w:t>
            </w:r>
          </w:p>
        </w:tc>
        <w:tc>
          <w:tcPr/>
          <w:p>
            <w:pPr>
              <w:pStyle w:val="Compact"/>
              <w:jc w:val="left"/>
            </w:pPr>
            <w:r>
              <w:t xml:space="preserve">Singapore, Japan, Taiwan</w:t>
            </w:r>
          </w:p>
        </w:tc>
      </w:tr>
      <w:tr>
        <w:tc>
          <w:tcPr/>
          <w:p>
            <w:pPr>
              <w:pStyle w:val="Compact"/>
              <w:jc w:val="left"/>
            </w:pPr>
            <w:r>
              <w:rPr>
                <w:b/>
                <w:bCs/>
              </w:rPr>
              <w:t xml:space="preserve">Blood and organ allocation services</w:t>
            </w:r>
          </w:p>
        </w:tc>
        <w:tc>
          <w:tcPr/>
          <w:p>
            <w:pPr>
              <w:pStyle w:val="Compact"/>
              <w:jc w:val="left"/>
            </w:pPr>
            <w:r>
              <w:t xml:space="preserve">Often at national level</w:t>
            </w:r>
          </w:p>
        </w:tc>
        <w:tc>
          <w:tcPr/>
          <w:p>
            <w:pPr>
              <w:pStyle w:val="Compact"/>
              <w:jc w:val="left"/>
            </w:pPr>
            <w:r>
              <w:t xml:space="preserve">Germany, France, UK</w:t>
            </w:r>
          </w:p>
        </w:tc>
      </w:tr>
      <w:tr>
        <w:tc>
          <w:tcPr/>
          <w:p>
            <w:pPr>
              <w:pStyle w:val="Compact"/>
              <w:jc w:val="left"/>
            </w:pPr>
            <w:r>
              <w:rPr>
                <w:b/>
                <w:bCs/>
              </w:rPr>
              <w:t xml:space="preserve">Disease surveillance systems</w:t>
            </w:r>
          </w:p>
        </w:tc>
        <w:tc>
          <w:tcPr/>
          <w:p>
            <w:pPr>
              <w:pStyle w:val="Compact"/>
              <w:jc w:val="left"/>
            </w:pPr>
            <w:r>
              <w:t xml:space="preserve">Epidemic response capability</w:t>
            </w:r>
          </w:p>
        </w:tc>
        <w:tc>
          <w:tcPr/>
          <w:p>
            <w:pPr>
              <w:pStyle w:val="Compact"/>
              <w:jc w:val="left"/>
            </w:pPr>
            <w:r>
              <w:t xml:space="preserve">All jurisdictions (explicitly or implicitly)</w:t>
            </w:r>
          </w:p>
        </w:tc>
      </w:tr>
      <w:tr>
        <w:tc>
          <w:tcPr/>
          <w:p>
            <w:pPr>
              <w:pStyle w:val="Compact"/>
              <w:jc w:val="left"/>
            </w:pPr>
            <w:r>
              <w:rPr>
                <w:b/>
                <w:bCs/>
              </w:rPr>
              <w:t xml:space="preserve">Emergency ambulance dispatch (CAD)</w:t>
            </w:r>
          </w:p>
        </w:tc>
        <w:tc>
          <w:tcPr/>
          <w:p>
            <w:pPr>
              <w:pStyle w:val="Compact"/>
              <w:jc w:val="left"/>
            </w:pPr>
            <w:r>
              <w:t xml:space="preserve">Often in</w:t>
            </w:r>
            <w:r>
              <w:t xml:space="preserve"> </w:t>
            </w:r>
            <w:r>
              <w:t xml:space="preserve">“emergency services”</w:t>
            </w:r>
            <w:r>
              <w:t xml:space="preserve"> </w:t>
            </w:r>
            <w:r>
              <w:t xml:space="preserve">sector</w:t>
            </w:r>
          </w:p>
        </w:tc>
        <w:tc>
          <w:tcPr/>
          <w:p>
            <w:pPr>
              <w:pStyle w:val="Compact"/>
              <w:jc w:val="left"/>
            </w:pPr>
            <w:r>
              <w:t xml:space="preserve">UK, EU, Australia</w:t>
            </w:r>
          </w:p>
        </w:tc>
      </w:tr>
    </w:tbl>
    <w:bookmarkEnd w:id="300"/>
    <w:bookmarkStart w:id="301" w:name="Xa06ac998ad43b5a259aa61783874c7ffcc356bf"/>
    <w:p>
      <w:pPr>
        <w:pStyle w:val="Heading2"/>
      </w:pPr>
      <w:r>
        <w:t xml:space="preserve">Tier 2: Frequently Included (50-80% of frameworks)</w:t>
      </w:r>
    </w:p>
    <w:tbl>
      <w:tblPr>
        <w:tblStyle w:val="Table"/>
        <w:tblW w:type="pct" w:w="5000"/>
        <w:tblLayout w:type="fixed"/>
        <w:tblLook w:firstRow="1" w:lastRow="0" w:firstColumn="0" w:lastColumn="0" w:noHBand="0" w:noVBand="0" w:val="0020"/>
      </w:tblPr>
      <w:tblGrid>
        <w:gridCol w:w="2394"/>
        <w:gridCol w:w="1289"/>
        <w:gridCol w:w="4236"/>
      </w:tblGrid>
      <w:tr>
        <w:trPr>
          <w:tblHeader w:val="on"/>
        </w:trPr>
        <w:tc>
          <w:tcPr/>
          <w:p>
            <w:pPr>
              <w:pStyle w:val="Compact"/>
              <w:jc w:val="left"/>
            </w:pPr>
            <w:r>
              <w:t xml:space="preserve">Entity Type</w:t>
            </w:r>
          </w:p>
        </w:tc>
        <w:tc>
          <w:tcPr/>
          <w:p>
            <w:pPr>
              <w:pStyle w:val="Compact"/>
              <w:jc w:val="left"/>
            </w:pPr>
            <w:r>
              <w:t xml:space="preserve">Notes</w:t>
            </w:r>
          </w:p>
        </w:tc>
        <w:tc>
          <w:tcPr/>
          <w:p>
            <w:pPr>
              <w:pStyle w:val="Compact"/>
              <w:jc w:val="left"/>
            </w:pPr>
            <w:r>
              <w:t xml:space="preserve">Example Jurisdictions</w:t>
            </w:r>
          </w:p>
        </w:tc>
      </w:tr>
      <w:tr>
        <w:tc>
          <w:tcPr/>
          <w:p>
            <w:pPr>
              <w:pStyle w:val="Compact"/>
              <w:jc w:val="left"/>
            </w:pPr>
            <w:r>
              <w:rPr>
                <w:b/>
                <w:bCs/>
              </w:rPr>
              <w:t xml:space="preserve">Medical laboratories (reference/diagnostic)</w:t>
            </w:r>
          </w:p>
        </w:tc>
        <w:tc>
          <w:tcPr/>
          <w:p>
            <w:pPr>
              <w:pStyle w:val="Compact"/>
              <w:jc w:val="left"/>
            </w:pPr>
            <w:r>
              <w:t xml:space="preserve">Often linked to epidemic response</w:t>
            </w:r>
          </w:p>
        </w:tc>
        <w:tc>
          <w:tcPr/>
          <w:p>
            <w:pPr>
              <w:pStyle w:val="Compact"/>
              <w:jc w:val="left"/>
            </w:pPr>
            <w:r>
              <w:t xml:space="preserve">Switzerland, EU, Germany</w:t>
            </w:r>
          </w:p>
        </w:tc>
      </w:tr>
      <w:tr>
        <w:tc>
          <w:tcPr/>
          <w:p>
            <w:pPr>
              <w:pStyle w:val="Compact"/>
              <w:jc w:val="left"/>
            </w:pPr>
            <w:r>
              <w:rPr>
                <w:b/>
                <w:bCs/>
              </w:rPr>
              <w:t xml:space="preserve">Pharmaceutical manufacturers/distributors</w:t>
            </w:r>
          </w:p>
        </w:tc>
        <w:tc>
          <w:tcPr/>
          <w:p>
            <w:pPr>
              <w:pStyle w:val="Compact"/>
              <w:jc w:val="left"/>
            </w:pPr>
            <w:r>
              <w:t xml:space="preserve">Supply chain criticality</w:t>
            </w:r>
          </w:p>
        </w:tc>
        <w:tc>
          <w:tcPr/>
          <w:p>
            <w:pPr>
              <w:pStyle w:val="Compact"/>
              <w:jc w:val="left"/>
            </w:pPr>
            <w:r>
              <w:t xml:space="preserve">EU (NIS2), Germany</w:t>
            </w:r>
          </w:p>
        </w:tc>
      </w:tr>
      <w:tr>
        <w:tc>
          <w:tcPr/>
          <w:p>
            <w:pPr>
              <w:pStyle w:val="Compact"/>
              <w:jc w:val="left"/>
            </w:pPr>
            <w:r>
              <w:rPr>
                <w:b/>
                <w:bCs/>
              </w:rPr>
              <w:t xml:space="preserve">Medical device manufacturers</w:t>
            </w:r>
          </w:p>
        </w:tc>
        <w:tc>
          <w:tcPr/>
          <w:p>
            <w:pPr>
              <w:pStyle w:val="Compact"/>
              <w:jc w:val="left"/>
            </w:pPr>
            <w:r>
              <w:t xml:space="preserve">Especially IVD and implantables</w:t>
            </w:r>
          </w:p>
        </w:tc>
        <w:tc>
          <w:tcPr/>
          <w:p>
            <w:pPr>
              <w:pStyle w:val="Compact"/>
              <w:jc w:val="left"/>
            </w:pPr>
            <w:r>
              <w:t xml:space="preserve">EU (NIS2 Annex II), Germany</w:t>
            </w:r>
          </w:p>
        </w:tc>
      </w:tr>
      <w:tr>
        <w:tc>
          <w:tcPr/>
          <w:p>
            <w:pPr>
              <w:pStyle w:val="Compact"/>
              <w:jc w:val="left"/>
            </w:pPr>
            <w:r>
              <w:rPr>
                <w:b/>
                <w:bCs/>
              </w:rPr>
              <w:t xml:space="preserve">National immunization registries</w:t>
            </w:r>
          </w:p>
        </w:tc>
        <w:tc>
          <w:tcPr/>
          <w:p>
            <w:pPr>
              <w:pStyle w:val="Compact"/>
              <w:jc w:val="left"/>
            </w:pPr>
            <w:r>
              <w:t xml:space="preserve">Pandemic preparedness</w:t>
            </w:r>
          </w:p>
        </w:tc>
        <w:tc>
          <w:tcPr/>
          <w:p>
            <w:pPr>
              <w:pStyle w:val="Compact"/>
              <w:jc w:val="left"/>
            </w:pPr>
            <w:r>
              <w:t xml:space="preserve">Japan, Taiwan</w:t>
            </w:r>
          </w:p>
        </w:tc>
      </w:tr>
    </w:tbl>
    <w:bookmarkEnd w:id="301"/>
    <w:bookmarkStart w:id="302" w:name="X51b2a50cbd3b3b37b8dc4945dfb326a87dbf346"/>
    <w:p>
      <w:pPr>
        <w:pStyle w:val="Heading2"/>
      </w:pPr>
      <w:r>
        <w:t xml:space="preserve">Tier 3: Variable Inclusion (depends on national context)</w:t>
      </w:r>
    </w:p>
    <w:tbl>
      <w:tblPr>
        <w:tblStyle w:val="Table"/>
        <w:tblW w:type="pct" w:w="5000"/>
        <w:tblLayout w:type="fixed"/>
        <w:tblLook w:firstRow="1" w:lastRow="0" w:firstColumn="0" w:lastColumn="0" w:noHBand="0" w:noVBand="0" w:val="0020"/>
      </w:tblPr>
      <w:tblGrid>
        <w:gridCol w:w="1745"/>
        <w:gridCol w:w="939"/>
        <w:gridCol w:w="5235"/>
      </w:tblGrid>
      <w:tr>
        <w:trPr>
          <w:tblHeader w:val="on"/>
        </w:trPr>
        <w:tc>
          <w:tcPr/>
          <w:p>
            <w:pPr>
              <w:pStyle w:val="Compact"/>
              <w:jc w:val="left"/>
            </w:pPr>
            <w:r>
              <w:t xml:space="preserve">Entity Type</w:t>
            </w:r>
          </w:p>
        </w:tc>
        <w:tc>
          <w:tcPr/>
          <w:p>
            <w:pPr>
              <w:pStyle w:val="Compact"/>
              <w:jc w:val="left"/>
            </w:pPr>
            <w:r>
              <w:t xml:space="preserve">Notes</w:t>
            </w:r>
          </w:p>
        </w:tc>
        <w:tc>
          <w:tcPr/>
          <w:p>
            <w:pPr>
              <w:pStyle w:val="Compact"/>
              <w:jc w:val="left"/>
            </w:pPr>
            <w:r>
              <w:t xml:space="preserve">Jurisdictions with Explicit Inclusion</w:t>
            </w:r>
          </w:p>
        </w:tc>
      </w:tr>
      <w:tr>
        <w:tc>
          <w:tcPr/>
          <w:p>
            <w:pPr>
              <w:pStyle w:val="Compact"/>
              <w:jc w:val="left"/>
            </w:pPr>
            <w:r>
              <w:rPr>
                <w:b/>
                <w:bCs/>
              </w:rPr>
              <w:t xml:space="preserve">Private hospital chains</w:t>
            </w:r>
          </w:p>
        </w:tc>
        <w:tc>
          <w:tcPr/>
          <w:p>
            <w:pPr>
              <w:pStyle w:val="Compact"/>
              <w:jc w:val="left"/>
            </w:pPr>
            <w:r>
              <w:t xml:space="preserve">Based on market share or regional importance</w:t>
            </w:r>
          </w:p>
        </w:tc>
        <w:tc>
          <w:tcPr/>
          <w:p>
            <w:pPr>
              <w:pStyle w:val="Compact"/>
              <w:jc w:val="left"/>
            </w:pPr>
            <w:r>
              <w:t xml:space="preserve">Singapore, Hong Kong</w:t>
            </w:r>
          </w:p>
        </w:tc>
      </w:tr>
      <w:tr>
        <w:tc>
          <w:tcPr/>
          <w:p>
            <w:pPr>
              <w:pStyle w:val="Compact"/>
              <w:jc w:val="left"/>
            </w:pPr>
            <w:r>
              <w:rPr>
                <w:b/>
                <w:bCs/>
              </w:rPr>
              <w:t xml:space="preserve">Telehealth platforms</w:t>
            </w:r>
          </w:p>
        </w:tc>
        <w:tc>
          <w:tcPr/>
          <w:p>
            <w:pPr>
              <w:pStyle w:val="Compact"/>
              <w:jc w:val="left"/>
            </w:pPr>
            <w:r>
              <w:t xml:space="preserve">Emerging; few explicit designations yet</w:t>
            </w:r>
          </w:p>
        </w:tc>
        <w:tc>
          <w:tcPr/>
          <w:p>
            <w:pPr>
              <w:pStyle w:val="Compact"/>
              <w:jc w:val="left"/>
            </w:pPr>
            <w:r>
              <w:t xml:space="preserve">None explicitly (emerging area)</w:t>
            </w:r>
          </w:p>
        </w:tc>
      </w:tr>
      <w:tr>
        <w:tc>
          <w:tcPr/>
          <w:p>
            <w:pPr>
              <w:pStyle w:val="Compact"/>
              <w:jc w:val="left"/>
            </w:pPr>
            <w:r>
              <w:rPr>
                <w:b/>
                <w:bCs/>
              </w:rPr>
              <w:t xml:space="preserve">Health insurance claims systems</w:t>
            </w:r>
          </w:p>
        </w:tc>
        <w:tc>
          <w:tcPr/>
          <w:p>
            <w:pPr>
              <w:pStyle w:val="Compact"/>
              <w:jc w:val="left"/>
            </w:pPr>
            <w:r>
              <w:t xml:space="preserve">Administrative criticality</w:t>
            </w:r>
          </w:p>
        </w:tc>
        <w:tc>
          <w:tcPr/>
          <w:p>
            <w:pPr>
              <w:pStyle w:val="Compact"/>
              <w:jc w:val="left"/>
            </w:pPr>
            <w:r>
              <w:t xml:space="preserve">USA (implicit), Germany</w:t>
            </w:r>
          </w:p>
        </w:tc>
      </w:tr>
    </w:tbl>
    <w:bookmarkEnd w:id="302"/>
    <w:bookmarkStart w:id="303" w:name="governance-structure-options"/>
    <w:p>
      <w:pPr>
        <w:pStyle w:val="Heading2"/>
      </w:pPr>
      <w:r>
        <w:t xml:space="preserve">Governance Structure Options</w:t>
      </w:r>
    </w:p>
    <w:tbl>
      <w:tblPr>
        <w:tblStyle w:val="Table"/>
        <w:tblW w:type="pct" w:w="5000"/>
        <w:tblLayout w:type="fixed"/>
        <w:tblLook w:firstRow="1" w:lastRow="0" w:firstColumn="0" w:lastColumn="0" w:noHBand="0" w:noVBand="0" w:val="0020"/>
      </w:tblPr>
      <w:tblGrid>
        <w:gridCol w:w="1893"/>
        <w:gridCol w:w="2238"/>
        <w:gridCol w:w="1033"/>
        <w:gridCol w:w="1033"/>
        <w:gridCol w:w="1721"/>
      </w:tblGrid>
      <w:tr>
        <w:trPr>
          <w:tblHeader w:val="on"/>
        </w:trPr>
        <w:tc>
          <w:tcPr/>
          <w:p>
            <w:pPr>
              <w:pStyle w:val="Compact"/>
              <w:jc w:val="left"/>
            </w:pPr>
            <w:r>
              <w:t xml:space="preserve">Structure</w:t>
            </w:r>
          </w:p>
        </w:tc>
        <w:tc>
          <w:tcPr/>
          <w:p>
            <w:pPr>
              <w:pStyle w:val="Compact"/>
              <w:jc w:val="left"/>
            </w:pPr>
            <w:r>
              <w:t xml:space="preserve">Description</w:t>
            </w:r>
          </w:p>
        </w:tc>
        <w:tc>
          <w:tcPr/>
          <w:p>
            <w:pPr>
              <w:pStyle w:val="Compact"/>
              <w:jc w:val="left"/>
            </w:pPr>
            <w:r>
              <w:t xml:space="preserve">Pros</w:t>
            </w:r>
          </w:p>
        </w:tc>
        <w:tc>
          <w:tcPr/>
          <w:p>
            <w:pPr>
              <w:pStyle w:val="Compact"/>
              <w:jc w:val="left"/>
            </w:pPr>
            <w:r>
              <w:t xml:space="preserve">Cons</w:t>
            </w:r>
          </w:p>
        </w:tc>
        <w:tc>
          <w:tcPr/>
          <w:p>
            <w:pPr>
              <w:pStyle w:val="Compact"/>
              <w:jc w:val="left"/>
            </w:pPr>
            <w:r>
              <w:t xml:space="preserve">Examples</w:t>
            </w:r>
          </w:p>
        </w:tc>
      </w:tr>
      <w:tr>
        <w:tc>
          <w:tcPr/>
          <w:p>
            <w:pPr>
              <w:pStyle w:val="Compact"/>
              <w:jc w:val="left"/>
            </w:pPr>
            <w:r>
              <w:rPr>
                <w:b/>
                <w:bCs/>
              </w:rPr>
              <w:t xml:space="preserve">Centralized cyber agency</w:t>
            </w:r>
          </w:p>
        </w:tc>
        <w:tc>
          <w:tcPr/>
          <w:p>
            <w:pPr>
              <w:pStyle w:val="Compact"/>
              <w:jc w:val="left"/>
            </w:pPr>
            <w:r>
              <w:t xml:space="preserve">Single agency designates and supervises all CI</w:t>
            </w:r>
          </w:p>
        </w:tc>
        <w:tc>
          <w:tcPr/>
          <w:p>
            <w:pPr>
              <w:pStyle w:val="Compact"/>
              <w:jc w:val="left"/>
            </w:pPr>
            <w:r>
              <w:t xml:space="preserve">Consistency; clear accountability</w:t>
            </w:r>
          </w:p>
        </w:tc>
        <w:tc>
          <w:tcPr/>
          <w:p>
            <w:pPr>
              <w:pStyle w:val="Compact"/>
              <w:jc w:val="left"/>
            </w:pPr>
            <w:r>
              <w:t xml:space="preserve">May lack health sector expertise</w:t>
            </w:r>
          </w:p>
        </w:tc>
        <w:tc>
          <w:tcPr/>
          <w:p>
            <w:pPr>
              <w:pStyle w:val="Compact"/>
              <w:jc w:val="left"/>
            </w:pPr>
            <w:r>
              <w:t xml:space="preserve">Singapore (CSA), Israel (INCD)</w:t>
            </w:r>
          </w:p>
        </w:tc>
      </w:tr>
      <w:tr>
        <w:tc>
          <w:tcPr/>
          <w:p>
            <w:pPr>
              <w:pStyle w:val="Compact"/>
              <w:jc w:val="left"/>
            </w:pPr>
            <w:r>
              <w:rPr>
                <w:b/>
                <w:bCs/>
              </w:rPr>
              <w:t xml:space="preserve">Sector-specific regulator</w:t>
            </w:r>
          </w:p>
        </w:tc>
        <w:tc>
          <w:tcPr/>
          <w:p>
            <w:pPr>
              <w:pStyle w:val="Compact"/>
              <w:jc w:val="left"/>
            </w:pPr>
            <w:r>
              <w:t xml:space="preserve">Health ministry/agency handles health CI</w:t>
            </w:r>
          </w:p>
        </w:tc>
        <w:tc>
          <w:tcPr/>
          <w:p>
            <w:pPr>
              <w:pStyle w:val="Compact"/>
              <w:jc w:val="left"/>
            </w:pPr>
            <w:r>
              <w:t xml:space="preserve">Domain expertise; existing relationships</w:t>
            </w:r>
          </w:p>
        </w:tc>
        <w:tc>
          <w:tcPr/>
          <w:p>
            <w:pPr>
              <w:pStyle w:val="Compact"/>
              <w:jc w:val="left"/>
            </w:pPr>
            <w:r>
              <w:t xml:space="preserve">May lack cyber expertise; fragmentation</w:t>
            </w:r>
          </w:p>
        </w:tc>
        <w:tc>
          <w:tcPr/>
          <w:p>
            <w:pPr>
              <w:pStyle w:val="Compact"/>
              <w:jc w:val="left"/>
            </w:pPr>
            <w:r>
              <w:t xml:space="preserve">Japan (MHLW), France (health ministry)</w:t>
            </w:r>
          </w:p>
        </w:tc>
      </w:tr>
      <w:tr>
        <w:tc>
          <w:tcPr/>
          <w:p>
            <w:pPr>
              <w:pStyle w:val="Compact"/>
              <w:jc w:val="left"/>
            </w:pPr>
            <w:r>
              <w:rPr>
                <w:b/>
                <w:bCs/>
              </w:rPr>
              <w:t xml:space="preserve">Hybrid with sector leads</w:t>
            </w:r>
          </w:p>
        </w:tc>
        <w:tc>
          <w:tcPr/>
          <w:p>
            <w:pPr>
              <w:pStyle w:val="Compact"/>
              <w:jc w:val="left"/>
            </w:pPr>
            <w:r>
              <w:t xml:space="preserve">Central cyber coordination; sector authorities designate</w:t>
            </w:r>
          </w:p>
        </w:tc>
        <w:tc>
          <w:tcPr/>
          <w:p>
            <w:pPr>
              <w:pStyle w:val="Compact"/>
              <w:jc w:val="left"/>
            </w:pPr>
            <w:r>
              <w:t xml:space="preserve">Balances expertise; coordination</w:t>
            </w:r>
          </w:p>
        </w:tc>
        <w:tc>
          <w:tcPr/>
          <w:p>
            <w:pPr>
              <w:pStyle w:val="Compact"/>
              <w:jc w:val="left"/>
            </w:pPr>
            <w:r>
              <w:t xml:space="preserve">Complexity; inter-agency friction</w:t>
            </w:r>
          </w:p>
        </w:tc>
        <w:tc>
          <w:tcPr/>
          <w:p>
            <w:pPr>
              <w:pStyle w:val="Compact"/>
              <w:jc w:val="left"/>
            </w:pPr>
            <w:r>
              <w:t xml:space="preserve">UK, Germany, Hong Kong</w:t>
            </w:r>
          </w:p>
        </w:tc>
      </w:tr>
      <w:tr>
        <w:tc>
          <w:tcPr/>
          <w:p>
            <w:pPr>
              <w:pStyle w:val="Compact"/>
              <w:jc w:val="left"/>
            </w:pPr>
            <w:r>
              <w:rPr>
                <w:b/>
                <w:bCs/>
              </w:rPr>
              <w:t xml:space="preserve">Federated (federal countries)</w:t>
            </w:r>
          </w:p>
        </w:tc>
        <w:tc>
          <w:tcPr/>
          <w:p>
            <w:pPr>
              <w:pStyle w:val="Compact"/>
              <w:jc w:val="left"/>
            </w:pPr>
            <w:r>
              <w:t xml:space="preserve">Shared federal/state responsibility</w:t>
            </w:r>
          </w:p>
        </w:tc>
        <w:tc>
          <w:tcPr/>
          <w:p>
            <w:pPr>
              <w:pStyle w:val="Compact"/>
              <w:jc w:val="left"/>
            </w:pPr>
            <w:r>
              <w:t xml:space="preserve">Respects local context</w:t>
            </w:r>
          </w:p>
        </w:tc>
        <w:tc>
          <w:tcPr/>
          <w:p>
            <w:pPr>
              <w:pStyle w:val="Compact"/>
              <w:jc w:val="left"/>
            </w:pPr>
            <w:r>
              <w:t xml:space="preserve">Coordination challenges; gaps</w:t>
            </w:r>
          </w:p>
        </w:tc>
        <w:tc>
          <w:tcPr/>
          <w:p>
            <w:pPr>
              <w:pStyle w:val="Compact"/>
              <w:jc w:val="left"/>
            </w:pPr>
            <w:r>
              <w:t xml:space="preserve">Canada, Australia, Germany</w:t>
            </w:r>
          </w:p>
        </w:tc>
      </w:tr>
    </w:tbl>
    <w:p>
      <w:pPr>
        <w:pStyle w:val="BlockText"/>
      </w:pPr>
      <w:r>
        <w:rPr>
          <w:b/>
          <w:bCs/>
        </w:rPr>
        <w:t xml:space="preserve">Recommendation for new countries:</w:t>
      </w:r>
      <w:r>
        <w:t xml:space="preserve"> </w:t>
      </w:r>
      <w:r>
        <w:rPr>
          <w:b/>
          <w:bCs/>
        </w:rPr>
        <w:t xml:space="preserve">Hybrid model</w:t>
      </w:r>
      <w:r>
        <w:t xml:space="preserve"> </w:t>
      </w:r>
      <w:r>
        <w:t xml:space="preserve">with a central cybersecurity coordination body and sector-specific designation authority in the health ministry tends to balance expertise best.</w:t>
      </w:r>
    </w:p>
    <w:bookmarkEnd w:id="303"/>
    <w:bookmarkStart w:id="304" w:name="Xd54c60b0f41f52ae4b483f0b9c539b98dde38a3"/>
    <w:p>
      <w:pPr>
        <w:pStyle w:val="Heading2"/>
      </w:pPr>
      <w:r>
        <w:t xml:space="preserve">Threshold Design: Quantitative vs Qualitative</w:t>
      </w:r>
    </w:p>
    <w:tbl>
      <w:tblPr>
        <w:tblStyle w:val="Table"/>
        <w:tblW w:type="pct" w:w="5000"/>
        <w:tblLayout w:type="fixed"/>
        <w:tblLook w:firstRow="1" w:lastRow="0" w:firstColumn="0" w:lastColumn="0" w:noHBand="0" w:noVBand="0" w:val="0020"/>
      </w:tblPr>
      <w:tblGrid>
        <w:gridCol w:w="1721"/>
        <w:gridCol w:w="2238"/>
        <w:gridCol w:w="2238"/>
        <w:gridCol w:w="1721"/>
      </w:tblGrid>
      <w:tr>
        <w:trPr>
          <w:tblHeader w:val="on"/>
        </w:trPr>
        <w:tc>
          <w:tcPr/>
          <w:p>
            <w:pPr>
              <w:pStyle w:val="Compact"/>
              <w:jc w:val="left"/>
            </w:pPr>
            <w:r>
              <w:t xml:space="preserve">Approach</w:t>
            </w:r>
          </w:p>
        </w:tc>
        <w:tc>
          <w:tcPr/>
          <w:p>
            <w:pPr>
              <w:pStyle w:val="Compact"/>
              <w:jc w:val="left"/>
            </w:pPr>
            <w:r>
              <w:t xml:space="preserve">Description</w:t>
            </w:r>
          </w:p>
        </w:tc>
        <w:tc>
          <w:tcPr/>
          <w:p>
            <w:pPr>
              <w:pStyle w:val="Compact"/>
              <w:jc w:val="left"/>
            </w:pPr>
            <w:r>
              <w:t xml:space="preserve">When to Use</w:t>
            </w:r>
          </w:p>
        </w:tc>
        <w:tc>
          <w:tcPr/>
          <w:p>
            <w:pPr>
              <w:pStyle w:val="Compact"/>
              <w:jc w:val="left"/>
            </w:pPr>
            <w:r>
              <w:t xml:space="preserve">Examples</w:t>
            </w:r>
          </w:p>
        </w:tc>
      </w:tr>
      <w:tr>
        <w:tc>
          <w:tcPr/>
          <w:p>
            <w:pPr>
              <w:pStyle w:val="Compact"/>
              <w:jc w:val="left"/>
            </w:pPr>
            <w:r>
              <w:rPr>
                <w:b/>
                <w:bCs/>
              </w:rPr>
              <w:t xml:space="preserve">Explicit quantitative</w:t>
            </w:r>
          </w:p>
        </w:tc>
        <w:tc>
          <w:tcPr/>
          <w:p>
            <w:pPr>
              <w:pStyle w:val="Compact"/>
              <w:jc w:val="left"/>
            </w:pPr>
            <w:r>
              <w:t xml:space="preserve">Numeric thresholds (beds, cases, employees)</w:t>
            </w:r>
          </w:p>
        </w:tc>
        <w:tc>
          <w:tcPr/>
          <w:p>
            <w:pPr>
              <w:pStyle w:val="Compact"/>
              <w:jc w:val="left"/>
            </w:pPr>
            <w:r>
              <w:t xml:space="preserve">High data availability; desire for predictability</w:t>
            </w:r>
          </w:p>
        </w:tc>
        <w:tc>
          <w:tcPr/>
          <w:p>
            <w:pPr>
              <w:pStyle w:val="Compact"/>
              <w:jc w:val="left"/>
            </w:pPr>
            <w:r>
              <w:t xml:space="preserve">Germany (30,000 cases/yr), EU (≥50 employees), Australia (ICU presence)</w:t>
            </w:r>
          </w:p>
        </w:tc>
      </w:tr>
      <w:tr>
        <w:tc>
          <w:tcPr/>
          <w:p>
            <w:pPr>
              <w:pStyle w:val="Compact"/>
              <w:jc w:val="left"/>
            </w:pPr>
            <w:r>
              <w:rPr>
                <w:b/>
                <w:bCs/>
              </w:rPr>
              <w:t xml:space="preserve">Qualitative + factors</w:t>
            </w:r>
          </w:p>
        </w:tc>
        <w:tc>
          <w:tcPr/>
          <w:p>
            <w:pPr>
              <w:pStyle w:val="Compact"/>
              <w:jc w:val="left"/>
            </w:pPr>
            <w:r>
              <w:t xml:space="preserve">Multi-factor assessment; committee review</w:t>
            </w:r>
          </w:p>
        </w:tc>
        <w:tc>
          <w:tcPr/>
          <w:p>
            <w:pPr>
              <w:pStyle w:val="Compact"/>
              <w:jc w:val="left"/>
            </w:pPr>
            <w:r>
              <w:t xml:space="preserve">Lower data availability; diverse health system</w:t>
            </w:r>
          </w:p>
        </w:tc>
        <w:tc>
          <w:tcPr/>
          <w:p>
            <w:pPr>
              <w:pStyle w:val="Compact"/>
              <w:jc w:val="left"/>
            </w:pPr>
            <w:r>
              <w:t xml:space="preserve">South Korea (5-factor test), Singapore (</w:t>
            </w:r>
            <w:r>
              <w:t xml:space="preserve">“debilitating effect”</w:t>
            </w:r>
            <w:r>
              <w:t xml:space="preserve">)</w:t>
            </w:r>
          </w:p>
        </w:tc>
      </w:tr>
      <w:tr>
        <w:tc>
          <w:tcPr/>
          <w:p>
            <w:pPr>
              <w:pStyle w:val="Compact"/>
              <w:jc w:val="left"/>
            </w:pPr>
            <w:r>
              <w:rPr>
                <w:b/>
                <w:bCs/>
              </w:rPr>
              <w:t xml:space="preserve">Functional designation</w:t>
            </w:r>
          </w:p>
        </w:tc>
        <w:tc>
          <w:tcPr/>
          <w:p>
            <w:pPr>
              <w:pStyle w:val="Compact"/>
              <w:jc w:val="left"/>
            </w:pPr>
            <w:r>
              <w:t xml:space="preserve">Based on services provided, not size</w:t>
            </w:r>
          </w:p>
        </w:tc>
        <w:tc>
          <w:tcPr/>
          <w:p>
            <w:pPr>
              <w:pStyle w:val="Compact"/>
              <w:jc w:val="left"/>
            </w:pPr>
            <w:r>
              <w:t xml:space="preserve">Small but critical providers (e.g., sole provider in region)</w:t>
            </w:r>
          </w:p>
        </w:tc>
        <w:tc>
          <w:tcPr/>
          <w:p>
            <w:pPr>
              <w:pStyle w:val="Compact"/>
              <w:jc w:val="left"/>
            </w:pPr>
            <w:r>
              <w:t xml:space="preserve">EU (</w:t>
            </w:r>
            <w:r>
              <w:t xml:space="preserve">“regardless of size”</w:t>
            </w:r>
            <w:r>
              <w:t xml:space="preserve"> </w:t>
            </w:r>
            <w:r>
              <w:t xml:space="preserve">exceptions), UK, NZ</w:t>
            </w:r>
          </w:p>
        </w:tc>
      </w:tr>
      <w:tr>
        <w:tc>
          <w:tcPr/>
          <w:p>
            <w:pPr>
              <w:pStyle w:val="Compact"/>
              <w:jc w:val="left"/>
            </w:pPr>
            <w:r>
              <w:rPr>
                <w:b/>
                <w:bCs/>
              </w:rPr>
              <w:t xml:space="preserve">Registration-based</w:t>
            </w:r>
          </w:p>
        </w:tc>
        <w:tc>
          <w:tcPr/>
          <w:p>
            <w:pPr>
              <w:pStyle w:val="Compact"/>
              <w:jc w:val="left"/>
            </w:pPr>
            <w:r>
              <w:t xml:space="preserve">Entities self-assess and register; spot-check enforcement</w:t>
            </w:r>
          </w:p>
        </w:tc>
        <w:tc>
          <w:tcPr/>
          <w:p>
            <w:pPr>
              <w:pStyle w:val="Compact"/>
              <w:jc w:val="left"/>
            </w:pPr>
            <w:r>
              <w:t xml:space="preserve">Resource-constrained regulators</w:t>
            </w:r>
          </w:p>
        </w:tc>
        <w:tc>
          <w:tcPr/>
          <w:p>
            <w:pPr>
              <w:pStyle w:val="Compact"/>
              <w:jc w:val="left"/>
            </w:pPr>
            <w:r>
              <w:t xml:space="preserve">Germany (NIS2 registration), Hong Kong</w:t>
            </w:r>
          </w:p>
        </w:tc>
      </w:tr>
    </w:tbl>
    <w:p>
      <w:pPr>
        <w:pStyle w:val="BlockText"/>
      </w:pPr>
      <w:r>
        <w:rPr>
          <w:b/>
          <w:bCs/>
        </w:rPr>
        <w:t xml:space="preserve">Key insight from global analysis:</w:t>
      </w:r>
      <w:r>
        <w:t xml:space="preserve"> </w:t>
      </w:r>
      <w:r>
        <w:rPr>
          <w:b/>
          <w:bCs/>
        </w:rPr>
        <w:t xml:space="preserve">Pure quantitative thresholds miss edge cases.</w:t>
      </w:r>
      <w:r>
        <w:t xml:space="preserve"> </w:t>
      </w:r>
      <w:r>
        <w:t xml:space="preserve">Best practice combines a quantitative baseline with qualitative</w:t>
      </w:r>
      <w:r>
        <w:t xml:space="preserve"> </w:t>
      </w:r>
      <w:r>
        <w:t xml:space="preserve">“safety net”</w:t>
      </w:r>
      <w:r>
        <w:t xml:space="preserve"> </w:t>
      </w:r>
      <w:r>
        <w:t xml:space="preserve">criteria (e.g.,</w:t>
      </w:r>
      <w:r>
        <w:t xml:space="preserve"> </w:t>
      </w:r>
      <w:r>
        <w:t xml:space="preserve">“sole provider,”</w:t>
      </w:r>
      <w:r>
        <w:t xml:space="preserve"> </w:t>
      </w:r>
      <w:r>
        <w:t xml:space="preserve">“unique capability,”</w:t>
      </w:r>
      <w:r>
        <w:t xml:space="preserve"> </w:t>
      </w:r>
      <w:r>
        <w:t xml:space="preserve">“cross-border impact”</w:t>
      </w:r>
      <w:r>
        <w:t xml:space="preserve">).</w:t>
      </w:r>
    </w:p>
    <w:bookmarkEnd w:id="304"/>
    <w:bookmarkStart w:id="305" w:name="X12acc6cc6a20fb379dfedef23a722eba632d5bc"/>
    <w:p>
      <w:pPr>
        <w:pStyle w:val="Heading2"/>
      </w:pPr>
      <w:r>
        <w:t xml:space="preserve">Common Implementation Pitfalls (Lessons from Established Frameworks)</w:t>
      </w:r>
    </w:p>
    <w:tbl>
      <w:tblPr>
        <w:tblStyle w:val="Table"/>
        <w:tblW w:type="pct" w:w="5000"/>
        <w:tblLayout w:type="fixed"/>
        <w:tblLook w:firstRow="1" w:lastRow="0" w:firstColumn="0" w:lastColumn="0" w:noHBand="0" w:noVBand="0" w:val="0020"/>
      </w:tblPr>
      <w:tblGrid>
        <w:gridCol w:w="1370"/>
        <w:gridCol w:w="2436"/>
        <w:gridCol w:w="4112"/>
      </w:tblGrid>
      <w:tr>
        <w:trPr>
          <w:tblHeader w:val="on"/>
        </w:trPr>
        <w:tc>
          <w:tcPr/>
          <w:p>
            <w:pPr>
              <w:pStyle w:val="Compact"/>
              <w:jc w:val="left"/>
            </w:pPr>
            <w:r>
              <w:t xml:space="preserve">Pitfall</w:t>
            </w:r>
          </w:p>
        </w:tc>
        <w:tc>
          <w:tcPr/>
          <w:p>
            <w:pPr>
              <w:pStyle w:val="Compact"/>
              <w:jc w:val="left"/>
            </w:pPr>
            <w:r>
              <w:t xml:space="preserve">Lesson Learned</w:t>
            </w:r>
          </w:p>
        </w:tc>
        <w:tc>
          <w:tcPr/>
          <w:p>
            <w:pPr>
              <w:pStyle w:val="Compact"/>
              <w:jc w:val="left"/>
            </w:pPr>
            <w:r>
              <w:t xml:space="preserve">Countries with This Issue</w:t>
            </w:r>
          </w:p>
        </w:tc>
      </w:tr>
      <w:tr>
        <w:tc>
          <w:tcPr/>
          <w:p>
            <w:pPr>
              <w:pStyle w:val="Compact"/>
              <w:jc w:val="left"/>
            </w:pPr>
            <w:r>
              <w:rPr>
                <w:b/>
                <w:bCs/>
              </w:rPr>
              <w:t xml:space="preserve">Confidential lists become stale</w:t>
            </w:r>
          </w:p>
        </w:tc>
        <w:tc>
          <w:tcPr/>
          <w:p>
            <w:pPr>
              <w:pStyle w:val="Compact"/>
              <w:jc w:val="left"/>
            </w:pPr>
            <w:r>
              <w:t xml:space="preserve">Build in mandatory periodic review (e.g., every 2 years)</w:t>
            </w:r>
          </w:p>
        </w:tc>
        <w:tc>
          <w:tcPr/>
          <w:p>
            <w:pPr>
              <w:pStyle w:val="Compact"/>
              <w:jc w:val="left"/>
            </w:pPr>
            <w:r>
              <w:t xml:space="preserve">EU (mandates 2-year review), UK</w:t>
            </w:r>
          </w:p>
        </w:tc>
      </w:tr>
      <w:tr>
        <w:tc>
          <w:tcPr/>
          <w:p>
            <w:pPr>
              <w:pStyle w:val="Compact"/>
              <w:jc w:val="left"/>
            </w:pPr>
            <w:r>
              <w:rPr>
                <w:b/>
                <w:bCs/>
              </w:rPr>
              <w:t xml:space="preserve">Small critical providers overlooked</w:t>
            </w:r>
          </w:p>
        </w:tc>
        <w:tc>
          <w:tcPr/>
          <w:p>
            <w:pPr>
              <w:pStyle w:val="Compact"/>
              <w:jc w:val="left"/>
            </w:pPr>
            <w:r>
              <w:t xml:space="preserve">Include</w:t>
            </w:r>
            <w:r>
              <w:t xml:space="preserve"> </w:t>
            </w:r>
            <w:r>
              <w:t xml:space="preserve">“regardless of size”</w:t>
            </w:r>
            <w:r>
              <w:t xml:space="preserve"> </w:t>
            </w:r>
            <w:r>
              <w:t xml:space="preserve">exceptions for unique/sole providers</w:t>
            </w:r>
          </w:p>
        </w:tc>
        <w:tc>
          <w:tcPr/>
          <w:p>
            <w:pPr>
              <w:pStyle w:val="Compact"/>
              <w:jc w:val="left"/>
            </w:pPr>
            <w:r>
              <w:t xml:space="preserve">EU NIS2, UK</w:t>
            </w:r>
          </w:p>
        </w:tc>
      </w:tr>
      <w:tr>
        <w:tc>
          <w:tcPr/>
          <w:p>
            <w:pPr>
              <w:pStyle w:val="Compact"/>
              <w:jc w:val="left"/>
            </w:pPr>
            <w:r>
              <w:rPr>
                <w:b/>
                <w:bCs/>
              </w:rPr>
              <w:t xml:space="preserve">Supply chain not covered</w:t>
            </w:r>
          </w:p>
        </w:tc>
        <w:tc>
          <w:tcPr/>
          <w:p>
            <w:pPr>
              <w:pStyle w:val="Compact"/>
              <w:jc w:val="left"/>
            </w:pPr>
            <w:r>
              <w:t xml:space="preserve">Explicitly include MSPs, cloud providers, medical device vendors</w:t>
            </w:r>
          </w:p>
        </w:tc>
        <w:tc>
          <w:tcPr/>
          <w:p>
            <w:pPr>
              <w:pStyle w:val="Compact"/>
              <w:jc w:val="left"/>
            </w:pPr>
            <w:r>
              <w:t xml:space="preserve">UK (new Bill), EU</w:t>
            </w:r>
          </w:p>
        </w:tc>
      </w:tr>
      <w:tr>
        <w:tc>
          <w:tcPr/>
          <w:p>
            <w:pPr>
              <w:pStyle w:val="Compact"/>
              <w:jc w:val="left"/>
            </w:pPr>
            <w:r>
              <w:rPr>
                <w:b/>
                <w:bCs/>
              </w:rPr>
              <w:t xml:space="preserve">No escalation path for evolving threats</w:t>
            </w:r>
          </w:p>
        </w:tc>
        <w:tc>
          <w:tcPr/>
          <w:p>
            <w:pPr>
              <w:pStyle w:val="Compact"/>
              <w:jc w:val="left"/>
            </w:pPr>
            <w:r>
              <w:t xml:space="preserve">Build in mechanism for emergency temporary designation</w:t>
            </w:r>
          </w:p>
        </w:tc>
        <w:tc>
          <w:tcPr/>
          <w:p>
            <w:pPr>
              <w:pStyle w:val="Compact"/>
              <w:jc w:val="left"/>
            </w:pPr>
            <w:r>
              <w:t xml:space="preserve">Taiwan, South Korea</w:t>
            </w:r>
          </w:p>
        </w:tc>
      </w:tr>
      <w:tr>
        <w:tc>
          <w:tcPr/>
          <w:p>
            <w:pPr>
              <w:pStyle w:val="Compact"/>
              <w:jc w:val="left"/>
            </w:pPr>
            <w:r>
              <w:rPr>
                <w:b/>
                <w:bCs/>
              </w:rPr>
              <w:t xml:space="preserve">Reporting burden on small providers</w:t>
            </w:r>
          </w:p>
        </w:tc>
        <w:tc>
          <w:tcPr/>
          <w:p>
            <w:pPr>
              <w:pStyle w:val="Compact"/>
              <w:jc w:val="left"/>
            </w:pPr>
            <w:r>
              <w:t xml:space="preserve">Tiered reporting obligations proportionate to size/criticality</w:t>
            </w:r>
          </w:p>
        </w:tc>
        <w:tc>
          <w:tcPr/>
          <w:p>
            <w:pPr>
              <w:pStyle w:val="Compact"/>
              <w:jc w:val="left"/>
            </w:pPr>
            <w:r>
              <w:t xml:space="preserve">EU (Essential vs Important), Israel (3-tier)</w:t>
            </w:r>
          </w:p>
        </w:tc>
      </w:tr>
      <w:tr>
        <w:tc>
          <w:tcPr/>
          <w:p>
            <w:pPr>
              <w:pStyle w:val="Compact"/>
              <w:jc w:val="left"/>
            </w:pPr>
            <w:r>
              <w:rPr>
                <w:b/>
                <w:bCs/>
              </w:rPr>
              <w:t xml:space="preserve">Siloed from other CI sectors</w:t>
            </w:r>
          </w:p>
        </w:tc>
        <w:tc>
          <w:tcPr/>
          <w:p>
            <w:pPr>
              <w:pStyle w:val="Compact"/>
              <w:jc w:val="left"/>
            </w:pPr>
            <w:r>
              <w:t xml:space="preserve">Map and address interdependencies (power, telecom, water)</w:t>
            </w:r>
          </w:p>
        </w:tc>
        <w:tc>
          <w:tcPr/>
          <w:p>
            <w:pPr>
              <w:pStyle w:val="Compact"/>
              <w:jc w:val="left"/>
            </w:pPr>
            <w:r>
              <w:t xml:space="preserve">Most mature frameworks address this</w:t>
            </w:r>
          </w:p>
        </w:tc>
      </w:tr>
    </w:tbl>
    <w:bookmarkEnd w:id="305"/>
    <w:bookmarkStart w:id="306" w:name="what-to-make-public-vs-confidential"/>
    <w:p>
      <w:pPr>
        <w:pStyle w:val="Heading2"/>
      </w:pPr>
      <w:r>
        <w:t xml:space="preserve">What to Make Public vs Confidential</w:t>
      </w:r>
    </w:p>
    <w:tbl>
      <w:tblPr>
        <w:tblStyle w:val="Table"/>
        <w:tblW w:type="pct" w:w="5000"/>
        <w:tblLayout w:type="fixed"/>
        <w:tblLook w:firstRow="1" w:lastRow="0" w:firstColumn="0" w:lastColumn="0" w:noHBand="0" w:noVBand="0" w:val="0020"/>
      </w:tblPr>
      <w:tblGrid>
        <w:gridCol w:w="1875"/>
        <w:gridCol w:w="3751"/>
        <w:gridCol w:w="2292"/>
      </w:tblGrid>
      <w:tr>
        <w:trPr>
          <w:tblHeader w:val="on"/>
        </w:trPr>
        <w:tc>
          <w:tcPr/>
          <w:p>
            <w:pPr>
              <w:pStyle w:val="Compact"/>
              <w:jc w:val="left"/>
            </w:pPr>
            <w:r>
              <w:t xml:space="preserve">Element</w:t>
            </w:r>
          </w:p>
        </w:tc>
        <w:tc>
          <w:tcPr/>
          <w:p>
            <w:pPr>
              <w:pStyle w:val="Compact"/>
              <w:jc w:val="left"/>
            </w:pPr>
            <w:r>
              <w:t xml:space="preserve">Global Consensus</w:t>
            </w:r>
          </w:p>
        </w:tc>
        <w:tc>
          <w:tcPr/>
          <w:p>
            <w:pPr>
              <w:pStyle w:val="Compact"/>
              <w:jc w:val="left"/>
            </w:pPr>
            <w:r>
              <w:t xml:space="preserve">Rationale</w:t>
            </w:r>
          </w:p>
        </w:tc>
      </w:tr>
      <w:tr>
        <w:tc>
          <w:tcPr/>
          <w:p>
            <w:pPr>
              <w:pStyle w:val="Compact"/>
              <w:jc w:val="left"/>
            </w:pPr>
            <w:r>
              <w:rPr>
                <w:b/>
                <w:bCs/>
              </w:rPr>
              <w:t xml:space="preserve">Designation criteria</w:t>
            </w:r>
          </w:p>
        </w:tc>
        <w:tc>
          <w:tcPr/>
          <w:p>
            <w:pPr>
              <w:pStyle w:val="Compact"/>
              <w:jc w:val="left"/>
            </w:pPr>
            <w:r>
              <w:rPr>
                <w:b/>
                <w:bCs/>
              </w:rPr>
              <w:t xml:space="preserve">PUBLIC</w:t>
            </w:r>
          </w:p>
        </w:tc>
        <w:tc>
          <w:tcPr/>
          <w:p>
            <w:pPr>
              <w:pStyle w:val="Compact"/>
              <w:jc w:val="left"/>
            </w:pPr>
            <w:r>
              <w:t xml:space="preserve">Enables self-assessment; transparency; predictability</w:t>
            </w:r>
          </w:p>
        </w:tc>
      </w:tr>
      <w:tr>
        <w:tc>
          <w:tcPr/>
          <w:p>
            <w:pPr>
              <w:pStyle w:val="Compact"/>
              <w:jc w:val="left"/>
            </w:pPr>
            <w:r>
              <w:rPr>
                <w:b/>
                <w:bCs/>
              </w:rPr>
              <w:t xml:space="preserve">Reporting thresholds</w:t>
            </w:r>
          </w:p>
        </w:tc>
        <w:tc>
          <w:tcPr/>
          <w:p>
            <w:pPr>
              <w:pStyle w:val="Compact"/>
              <w:jc w:val="left"/>
            </w:pPr>
            <w:r>
              <w:rPr>
                <w:b/>
                <w:bCs/>
              </w:rPr>
              <w:t xml:space="preserve">PUBLIC</w:t>
            </w:r>
          </w:p>
        </w:tc>
        <w:tc>
          <w:tcPr/>
          <w:p>
            <w:pPr>
              <w:pStyle w:val="Compact"/>
              <w:jc w:val="left"/>
            </w:pPr>
            <w:r>
              <w:t xml:space="preserve">Clear compliance expectations</w:t>
            </w:r>
          </w:p>
        </w:tc>
      </w:tr>
      <w:tr>
        <w:tc>
          <w:tcPr/>
          <w:p>
            <w:pPr>
              <w:pStyle w:val="Compact"/>
              <w:jc w:val="left"/>
            </w:pPr>
            <w:r>
              <w:rPr>
                <w:b/>
                <w:bCs/>
              </w:rPr>
              <w:t xml:space="preserve">List of designated entities</w:t>
            </w:r>
          </w:p>
        </w:tc>
        <w:tc>
          <w:tcPr/>
          <w:p>
            <w:pPr>
              <w:pStyle w:val="Compact"/>
              <w:jc w:val="left"/>
            </w:pPr>
            <w:r>
              <w:rPr>
                <w:b/>
                <w:bCs/>
              </w:rPr>
              <w:t xml:space="preserve">CONFIDENTIAL</w:t>
            </w:r>
          </w:p>
        </w:tc>
        <w:tc>
          <w:tcPr/>
          <w:p>
            <w:pPr>
              <w:pStyle w:val="Compact"/>
              <w:jc w:val="left"/>
            </w:pPr>
            <w:r>
              <w:t xml:space="preserve">Avoid creating target list for attackers</w:t>
            </w:r>
          </w:p>
        </w:tc>
      </w:tr>
      <w:tr>
        <w:tc>
          <w:tcPr/>
          <w:p>
            <w:pPr>
              <w:pStyle w:val="Compact"/>
              <w:jc w:val="left"/>
            </w:pPr>
            <w:r>
              <w:rPr>
                <w:b/>
                <w:bCs/>
              </w:rPr>
              <w:t xml:space="preserve">Aggregate statistics</w:t>
            </w:r>
          </w:p>
        </w:tc>
        <w:tc>
          <w:tcPr/>
          <w:p>
            <w:pPr>
              <w:pStyle w:val="Compact"/>
              <w:jc w:val="left"/>
            </w:pPr>
            <w:r>
              <w:rPr>
                <w:b/>
                <w:bCs/>
              </w:rPr>
              <w:t xml:space="preserve">PUBLIC (anonymized)</w:t>
            </w:r>
          </w:p>
        </w:tc>
        <w:tc>
          <w:tcPr/>
          <w:p>
            <w:pPr>
              <w:pStyle w:val="Compact"/>
              <w:jc w:val="left"/>
            </w:pPr>
            <w:r>
              <w:t xml:space="preserve">Sector learning; accountability</w:t>
            </w:r>
          </w:p>
        </w:tc>
      </w:tr>
      <w:tr>
        <w:tc>
          <w:tcPr/>
          <w:p>
            <w:pPr>
              <w:pStyle w:val="Compact"/>
              <w:jc w:val="left"/>
            </w:pPr>
            <w:r>
              <w:rPr>
                <w:b/>
                <w:bCs/>
              </w:rPr>
              <w:t xml:space="preserve">Incident reports</w:t>
            </w:r>
          </w:p>
        </w:tc>
        <w:tc>
          <w:tcPr/>
          <w:p>
            <w:pPr>
              <w:pStyle w:val="Compact"/>
              <w:jc w:val="left"/>
            </w:pPr>
            <w:r>
              <w:rPr>
                <w:b/>
                <w:bCs/>
              </w:rPr>
              <w:t xml:space="preserve">CONFIDENTIAL</w:t>
            </w:r>
            <w:r>
              <w:t xml:space="preserve"> </w:t>
            </w:r>
            <w:r>
              <w:t xml:space="preserve">(individual);</w:t>
            </w:r>
            <w:r>
              <w:t xml:space="preserve"> </w:t>
            </w:r>
            <w:r>
              <w:rPr>
                <w:b/>
                <w:bCs/>
              </w:rPr>
              <w:t xml:space="preserve">PUBLIC</w:t>
            </w:r>
            <w:r>
              <w:t xml:space="preserve"> </w:t>
            </w:r>
            <w:r>
              <w:t xml:space="preserve">(aggregated/anonymized)</w:t>
            </w:r>
          </w:p>
        </w:tc>
        <w:tc>
          <w:tcPr/>
          <w:p>
            <w:pPr>
              <w:pStyle w:val="Compact"/>
              <w:jc w:val="left"/>
            </w:pPr>
            <w:r>
              <w:t xml:space="preserve">Balance learning vs security</w:t>
            </w:r>
          </w:p>
        </w:tc>
      </w:tr>
    </w:tbl>
    <w:p>
      <w:pPr>
        <w:pStyle w:val="BlockText"/>
      </w:pPr>
      <w:r>
        <w:rPr>
          <w:b/>
          <w:bCs/>
        </w:rPr>
        <w:t xml:space="preserve">South Korea exception:</w:t>
      </w:r>
      <w:r>
        <w:t xml:space="preserve"> </w:t>
      </w:r>
      <w:r>
        <w:t xml:space="preserve">Official Gazette publication of designated CII is required by law, demonstrating that transparency models can work with appropriate security measures.</w:t>
      </w:r>
    </w:p>
    <w:p>
      <w:pPr>
        <w:sectPr>
          <w:footerReference w:type="first" r:id="rId13"/>
          <w:footerReference w:type="default" r:id="rId11"/>
          <w:footerReference w:type="even" r:id="rId10"/>
          <w:type w:val="nextPage"/>
        </w:sectPr>
      </w:pPr>
    </w:p>
    <w:bookmarkEnd w:id="306"/>
    <w:bookmarkEnd w:id="307"/>
    <w:bookmarkStart w:id="314" w:name="Xcd023f1a2dc91168d9339e86dcec626e5800fdc"/>
    <w:p>
      <w:pPr>
        <w:pStyle w:val="Heading1"/>
      </w:pPr>
      <w:r>
        <w:t xml:space="preserve">Updated Recommendations for Framework Design (2025-2026)</w:t>
      </w:r>
    </w:p>
    <w:p>
      <w:pPr>
        <w:pStyle w:val="FirstParagraph"/>
      </w:pPr>
      <w:r>
        <w:t xml:space="preserve">Based on comprehensive analysis and latest global developments:</w:t>
      </w:r>
    </w:p>
    <w:bookmarkStart w:id="308" w:name="adopt-hybrid-criticality-criteria"/>
    <w:p>
      <w:pPr>
        <w:pStyle w:val="Heading2"/>
      </w:pPr>
      <w:r>
        <w:rPr>
          <w:b/>
          <w:bCs/>
        </w:rPr>
        <w:t xml:space="preserve">1. Adopt Hybrid Criticality Criteria</w:t>
      </w:r>
    </w:p>
    <w:p>
      <w:pPr>
        <w:pStyle w:val="Compact"/>
        <w:numPr>
          <w:ilvl w:val="0"/>
          <w:numId w:val="1250"/>
        </w:numPr>
      </w:pPr>
      <w:r>
        <w:rPr>
          <w:b/>
          <w:bCs/>
        </w:rPr>
        <w:t xml:space="preserve">Combine Approaches</w:t>
      </w:r>
      <w:r>
        <w:t xml:space="preserve">: Use explicit thresholds (like Germany’s 30,000 cases, Australia’s ICU presence) for objectivity, supplemented by qualitative assessment for unique critical providers.</w:t>
      </w:r>
      <w:r>
        <w:br/>
      </w:r>
    </w:p>
    <w:p>
      <w:pPr>
        <w:pStyle w:val="Compact"/>
        <w:numPr>
          <w:ilvl w:val="0"/>
          <w:numId w:val="1250"/>
        </w:numPr>
      </w:pPr>
      <w:r>
        <w:rPr>
          <w:b/>
          <w:bCs/>
        </w:rPr>
        <w:t xml:space="preserve">Include Supply Chain</w:t>
      </w:r>
      <w:r>
        <w:t xml:space="preserve">: Explicitly incorporate MSPs and critical suppliers in scope (following UK model).</w:t>
      </w:r>
      <w:r>
        <w:br/>
      </w:r>
    </w:p>
    <w:p>
      <w:pPr>
        <w:pStyle w:val="Compact"/>
        <w:numPr>
          <w:ilvl w:val="0"/>
          <w:numId w:val="1250"/>
        </w:numPr>
      </w:pPr>
      <w:r>
        <w:rPr>
          <w:b/>
          <w:bCs/>
        </w:rPr>
        <w:t xml:space="preserve">Functional + Size-Based</w:t>
      </w:r>
      <w:r>
        <w:t xml:space="preserve">: Combine functional designations (emergency services, blood/organ systems) with size-based thresholds (EU’s ≥50 employees).</w:t>
      </w:r>
    </w:p>
    <w:bookmarkEnd w:id="308"/>
    <w:bookmarkStart w:id="309" w:name="implement-proportional-three-tier-system"/>
    <w:p>
      <w:pPr>
        <w:pStyle w:val="Heading2"/>
      </w:pPr>
      <w:r>
        <w:rPr>
          <w:b/>
          <w:bCs/>
        </w:rPr>
        <w:t xml:space="preserve">2. Implement Proportional Three-Tier System</w:t>
      </w:r>
    </w:p>
    <w:p>
      <w:pPr>
        <w:pStyle w:val="Compact"/>
        <w:numPr>
          <w:ilvl w:val="0"/>
          <w:numId w:val="1251"/>
        </w:numPr>
      </w:pPr>
      <w:r>
        <w:rPr>
          <w:b/>
          <w:bCs/>
        </w:rPr>
        <w:t xml:space="preserve">Tier 1 (Essential/Critical)</w:t>
      </w:r>
      <w:r>
        <w:t xml:space="preserve">: Highest obligations, ex-ante supervision, 24/7 monitoring requirements</w:t>
      </w:r>
      <w:r>
        <w:br/>
      </w:r>
    </w:p>
    <w:p>
      <w:pPr>
        <w:pStyle w:val="Compact"/>
        <w:numPr>
          <w:ilvl w:val="0"/>
          <w:numId w:val="1251"/>
        </w:numPr>
      </w:pPr>
      <w:r>
        <w:rPr>
          <w:b/>
          <w:bCs/>
        </w:rPr>
        <w:t xml:space="preserve">Tier 2 (Important)</w:t>
      </w:r>
      <w:r>
        <w:t xml:space="preserve">: Moderate obligations, ex-post supervision, regular assessments</w:t>
      </w:r>
      <w:r>
        <w:br/>
      </w:r>
    </w:p>
    <w:p>
      <w:pPr>
        <w:pStyle w:val="Compact"/>
        <w:numPr>
          <w:ilvl w:val="0"/>
          <w:numId w:val="1251"/>
        </w:numPr>
      </w:pPr>
      <w:r>
        <w:rPr>
          <w:b/>
          <w:bCs/>
        </w:rPr>
        <w:t xml:space="preserve">Tier 3 (Baseline)</w:t>
      </w:r>
      <w:r>
        <w:t xml:space="preserve">: Basic cyber hygiene, voluntary reporting</w:t>
      </w:r>
      <w:r>
        <w:br/>
      </w:r>
    </w:p>
    <w:p>
      <w:pPr>
        <w:pStyle w:val="Compact"/>
        <w:numPr>
          <w:ilvl w:val="0"/>
          <w:numId w:val="1251"/>
        </w:numPr>
      </w:pPr>
      <w:r>
        <w:rPr>
          <w:b/>
          <w:bCs/>
        </w:rPr>
        <w:t xml:space="preserve">Align Penalties</w:t>
      </w:r>
      <w:r>
        <w:t xml:space="preserve">: Proportionate penalties based on tier and organizational size</w:t>
      </w:r>
    </w:p>
    <w:bookmarkEnd w:id="309"/>
    <w:bookmarkStart w:id="310" w:name="Xff40f0926ba6f37f82af0ef628d6b829541c71f"/>
    <w:p>
      <w:pPr>
        <w:pStyle w:val="Heading2"/>
      </w:pPr>
      <w:r>
        <w:rPr>
          <w:b/>
          <w:bCs/>
        </w:rPr>
        <w:t xml:space="preserve">3. Establish Clear Incident Reporting Thresholds</w:t>
      </w:r>
    </w:p>
    <w:p>
      <w:pPr>
        <w:pStyle w:val="Compact"/>
        <w:numPr>
          <w:ilvl w:val="0"/>
          <w:numId w:val="1252"/>
        </w:numPr>
      </w:pPr>
      <w:r>
        <w:rPr>
          <w:b/>
          <w:bCs/>
        </w:rPr>
        <w:t xml:space="preserve">Adopt UK-Style Metrics</w:t>
      </w:r>
      <w:r>
        <w:t xml:space="preserve">: Implement explicit, quantitative incident thresholds (patient counts, service disruption durations)</w:t>
      </w:r>
      <w:r>
        <w:br/>
      </w:r>
    </w:p>
    <w:p>
      <w:pPr>
        <w:pStyle w:val="Compact"/>
        <w:numPr>
          <w:ilvl w:val="0"/>
          <w:numId w:val="1252"/>
        </w:numPr>
      </w:pPr>
      <w:r>
        <w:rPr>
          <w:b/>
          <w:bCs/>
        </w:rPr>
        <w:t xml:space="preserve">Harmonize Timelines</w:t>
      </w:r>
      <w:r>
        <w:t xml:space="preserve">: Align with emerging global standards (24-hour initial, 72-hour detailed)</w:t>
      </w:r>
      <w:r>
        <w:br/>
      </w:r>
    </w:p>
    <w:p>
      <w:pPr>
        <w:pStyle w:val="Compact"/>
        <w:numPr>
          <w:ilvl w:val="0"/>
          <w:numId w:val="1252"/>
        </w:numPr>
      </w:pPr>
      <w:r>
        <w:rPr>
          <w:b/>
          <w:bCs/>
        </w:rPr>
        <w:t xml:space="preserve">Special Ransomware Reporting</w:t>
      </w:r>
      <w:r>
        <w:t xml:space="preserve">: Consider mandatory ransom payment reporting within 24 hours</w:t>
      </w:r>
    </w:p>
    <w:bookmarkEnd w:id="310"/>
    <w:bookmarkStart w:id="311" w:name="ensure-strategic-transparency"/>
    <w:p>
      <w:pPr>
        <w:pStyle w:val="Heading2"/>
      </w:pPr>
      <w:r>
        <w:rPr>
          <w:b/>
          <w:bCs/>
        </w:rPr>
        <w:t xml:space="preserve">4. Ensure Strategic Transparency</w:t>
      </w:r>
    </w:p>
    <w:p>
      <w:pPr>
        <w:pStyle w:val="Compact"/>
        <w:numPr>
          <w:ilvl w:val="0"/>
          <w:numId w:val="1253"/>
        </w:numPr>
      </w:pPr>
      <w:r>
        <w:rPr>
          <w:b/>
          <w:bCs/>
        </w:rPr>
        <w:t xml:space="preserve">Public Criteria</w:t>
      </w:r>
      <w:r>
        <w:t xml:space="preserve">: Publish clear designation criteria enabling self-assessment</w:t>
      </w:r>
      <w:r>
        <w:br/>
      </w:r>
    </w:p>
    <w:p>
      <w:pPr>
        <w:pStyle w:val="Compact"/>
        <w:numPr>
          <w:ilvl w:val="0"/>
          <w:numId w:val="1253"/>
        </w:numPr>
      </w:pPr>
      <w:r>
        <w:rPr>
          <w:b/>
          <w:bCs/>
        </w:rPr>
        <w:t xml:space="preserve">Confidential Lists</w:t>
      </w:r>
      <w:r>
        <w:t xml:space="preserve">: Maintain confidential entity lists to avoid creating target lists</w:t>
      </w:r>
      <w:r>
        <w:br/>
      </w:r>
    </w:p>
    <w:p>
      <w:pPr>
        <w:pStyle w:val="Compact"/>
        <w:numPr>
          <w:ilvl w:val="0"/>
          <w:numId w:val="1253"/>
        </w:numPr>
      </w:pPr>
      <w:r>
        <w:rPr>
          <w:b/>
          <w:bCs/>
        </w:rPr>
        <w:t xml:space="preserve">Aggregate Reporting</w:t>
      </w:r>
      <w:r>
        <w:t xml:space="preserve">: Publish anonymized sector statistics and case studies for learning</w:t>
      </w:r>
    </w:p>
    <w:bookmarkEnd w:id="311"/>
    <w:bookmarkStart w:id="312" w:name="integrate-all-hazard-resilience"/>
    <w:p>
      <w:pPr>
        <w:pStyle w:val="Heading2"/>
      </w:pPr>
      <w:r>
        <w:rPr>
          <w:b/>
          <w:bCs/>
        </w:rPr>
        <w:t xml:space="preserve">5. Integrate All-Hazard Resilience</w:t>
      </w:r>
    </w:p>
    <w:p>
      <w:pPr>
        <w:pStyle w:val="Compact"/>
        <w:numPr>
          <w:ilvl w:val="0"/>
          <w:numId w:val="1254"/>
        </w:numPr>
      </w:pPr>
      <w:r>
        <w:rPr>
          <w:b/>
          <w:bCs/>
        </w:rPr>
        <w:t xml:space="preserve">Beyond Cybersecurity</w:t>
      </w:r>
      <w:r>
        <w:t xml:space="preserve">: Require business continuity and disaster recovery planning for physical, environmental, and supply chain disruptions</w:t>
      </w:r>
      <w:r>
        <w:br/>
      </w:r>
    </w:p>
    <w:p>
      <w:pPr>
        <w:pStyle w:val="Compact"/>
        <w:numPr>
          <w:ilvl w:val="0"/>
          <w:numId w:val="1254"/>
        </w:numPr>
      </w:pPr>
      <w:r>
        <w:rPr>
          <w:b/>
          <w:bCs/>
        </w:rPr>
        <w:t xml:space="preserve">Regular Testing</w:t>
      </w:r>
      <w:r>
        <w:t xml:space="preserve">: Mandate annual or biennial testing of resilience plans</w:t>
      </w:r>
      <w:r>
        <w:br/>
      </w:r>
    </w:p>
    <w:p>
      <w:pPr>
        <w:pStyle w:val="Compact"/>
        <w:numPr>
          <w:ilvl w:val="0"/>
          <w:numId w:val="1254"/>
        </w:numPr>
      </w:pPr>
      <w:r>
        <w:rPr>
          <w:b/>
          <w:bCs/>
        </w:rPr>
        <w:t xml:space="preserve">Cross-Sector Dependencies</w:t>
      </w:r>
      <w:r>
        <w:t xml:space="preserve">: Map and address interdependencies with other critical infrastructure sectors</w:t>
      </w:r>
    </w:p>
    <w:bookmarkEnd w:id="312"/>
    <w:bookmarkStart w:id="313" w:name="future-proof-for-emerging-technologies"/>
    <w:p>
      <w:pPr>
        <w:pStyle w:val="Heading2"/>
      </w:pPr>
      <w:r>
        <w:rPr>
          <w:b/>
          <w:bCs/>
        </w:rPr>
        <w:t xml:space="preserve">6. Future-Proof for Emerging Technologies</w:t>
      </w:r>
    </w:p>
    <w:p>
      <w:pPr>
        <w:pStyle w:val="Compact"/>
        <w:numPr>
          <w:ilvl w:val="0"/>
          <w:numId w:val="1255"/>
        </w:numPr>
      </w:pPr>
      <w:r>
        <w:rPr>
          <w:b/>
          <w:bCs/>
        </w:rPr>
        <w:t xml:space="preserve">Telehealth Platforms</w:t>
      </w:r>
      <w:r>
        <w:t xml:space="preserve">: Explicitly include national/regional telehealth systems</w:t>
      </w:r>
      <w:r>
        <w:br/>
      </w:r>
    </w:p>
    <w:p>
      <w:pPr>
        <w:pStyle w:val="Compact"/>
        <w:numPr>
          <w:ilvl w:val="0"/>
          <w:numId w:val="1255"/>
        </w:numPr>
      </w:pPr>
      <w:r>
        <w:rPr>
          <w:b/>
          <w:bCs/>
        </w:rPr>
        <w:t xml:space="preserve">AI/ML Systems</w:t>
      </w:r>
      <w:r>
        <w:t xml:space="preserve">: Consider criticality of AI-driven diagnostic and treatment systems</w:t>
      </w:r>
      <w:r>
        <w:br/>
      </w:r>
    </w:p>
    <w:p>
      <w:pPr>
        <w:pStyle w:val="Compact"/>
        <w:numPr>
          <w:ilvl w:val="0"/>
          <w:numId w:val="1255"/>
        </w:numPr>
      </w:pPr>
      <w:r>
        <w:rPr>
          <w:b/>
          <w:bCs/>
        </w:rPr>
        <w:t xml:space="preserve">IoT Medical Devices</w:t>
      </w:r>
      <w:r>
        <w:t xml:space="preserve">: Address security of connected medical device ecosystems</w:t>
      </w:r>
    </w:p>
    <w:p>
      <w:pPr>
        <w:sectPr>
          <w:footerReference w:type="first" r:id="rId13"/>
          <w:footerReference w:type="default" r:id="rId11"/>
          <w:footerReference w:type="even" r:id="rId10"/>
          <w:type w:val="nextPage"/>
        </w:sectPr>
      </w:pPr>
    </w:p>
    <w:bookmarkEnd w:id="313"/>
    <w:bookmarkEnd w:id="314"/>
    <w:bookmarkStart w:id="344" w:name="X2790428f9e0cb99ca6ac3590b1f75212428ad64"/>
    <w:p>
      <w:pPr>
        <w:pStyle w:val="Heading1"/>
      </w:pPr>
      <w:r>
        <w:t xml:space="preserve">Implementation Roadmap for New Jurisdictions</w:t>
      </w:r>
    </w:p>
    <w:bookmarkStart w:id="315" w:name="quick-start-decision-tree"/>
    <w:p>
      <w:pPr>
        <w:pStyle w:val="Heading2"/>
      </w:pPr>
      <w:r>
        <w:t xml:space="preserve">Quick-Start Decision Tree</w:t>
      </w:r>
    </w:p>
    <w:p>
      <w:pPr>
        <w:pStyle w:val="SourceCode"/>
      </w:pPr>
      <w:r>
        <w:rPr>
          <w:rStyle w:val="VerbatimChar"/>
        </w:rPr>
        <w:t xml:space="preserve">START: Is health explicitly listed as a CI sector in existing national law?</w:t>
      </w:r>
      <w:r>
        <w:br/>
      </w:r>
      <w:r>
        <w:rPr>
          <w:rStyle w:val="VerbatimChar"/>
        </w:rPr>
        <w:t xml:space="preserve">  │</w:t>
      </w:r>
      <w:r>
        <w:br/>
      </w:r>
      <w:r>
        <w:rPr>
          <w:rStyle w:val="VerbatimChar"/>
        </w:rPr>
        <w:t xml:space="preserve">  ├─ YES → Proceed to Step 2 (Define health-specific criteria)</w:t>
      </w:r>
      <w:r>
        <w:br/>
      </w:r>
      <w:r>
        <w:rPr>
          <w:rStyle w:val="VerbatimChar"/>
        </w:rPr>
        <w:t xml:space="preserve">  │</w:t>
      </w:r>
      <w:r>
        <w:br/>
      </w:r>
      <w:r>
        <w:rPr>
          <w:rStyle w:val="VerbatimChar"/>
        </w:rPr>
        <w:t xml:space="preserve">  └─ NO → Step 1: Establish legal foundation</w:t>
      </w:r>
      <w:r>
        <w:br/>
      </w:r>
      <w:r>
        <w:rPr>
          <w:rStyle w:val="VerbatimChar"/>
        </w:rPr>
        <w:t xml:space="preserve">           ├─ Option A: Add health to existing CI framework</w:t>
      </w:r>
      <w:r>
        <w:br/>
      </w:r>
      <w:r>
        <w:rPr>
          <w:rStyle w:val="VerbatimChar"/>
        </w:rPr>
        <w:t xml:space="preserve">           ├─ Option B: Create sector-specific cybersecurity law</w:t>
      </w:r>
      <w:r>
        <w:br/>
      </w:r>
      <w:r>
        <w:rPr>
          <w:rStyle w:val="VerbatimChar"/>
        </w:rPr>
        <w:t xml:space="preserve">           └─ Option C: Issue ministerial regulation under existing powers</w:t>
      </w:r>
    </w:p>
    <w:bookmarkEnd w:id="315"/>
    <w:bookmarkStart w:id="316" w:name="X03857929867e8d5cc134202a7395ea7da028586"/>
    <w:p>
      <w:pPr>
        <w:pStyle w:val="Heading2"/>
      </w:pPr>
      <w:r>
        <w:t xml:space="preserve">Model Legislation Elements (Based on Global Best Practices)</w:t>
      </w:r>
    </w:p>
    <w:tbl>
      <w:tblPr>
        <w:tblStyle w:val="Table"/>
        <w:tblW w:type="pct" w:w="5000"/>
        <w:tblLayout w:type="fixed"/>
        <w:tblLook w:firstRow="1" w:lastRow="0" w:firstColumn="0" w:lastColumn="0" w:noHBand="0" w:noVBand="0" w:val="0020"/>
      </w:tblPr>
      <w:tblGrid>
        <w:gridCol w:w="1485"/>
        <w:gridCol w:w="3465"/>
        <w:gridCol w:w="2970"/>
      </w:tblGrid>
      <w:tr>
        <w:trPr>
          <w:tblHeader w:val="on"/>
        </w:trPr>
        <w:tc>
          <w:tcPr/>
          <w:p>
            <w:pPr>
              <w:pStyle w:val="Compact"/>
              <w:jc w:val="left"/>
            </w:pPr>
            <w:r>
              <w:t xml:space="preserve">Element</w:t>
            </w:r>
          </w:p>
        </w:tc>
        <w:tc>
          <w:tcPr/>
          <w:p>
            <w:pPr>
              <w:pStyle w:val="Compact"/>
              <w:jc w:val="left"/>
            </w:pPr>
            <w:r>
              <w:t xml:space="preserve">Recommended Approach</w:t>
            </w:r>
          </w:p>
        </w:tc>
        <w:tc>
          <w:tcPr/>
          <w:p>
            <w:pPr>
              <w:pStyle w:val="Compact"/>
              <w:jc w:val="left"/>
            </w:pPr>
            <w:r>
              <w:t xml:space="preserve">Reference Models</w:t>
            </w:r>
          </w:p>
        </w:tc>
      </w:tr>
      <w:tr>
        <w:tc>
          <w:tcPr/>
          <w:p>
            <w:pPr>
              <w:pStyle w:val="Compact"/>
              <w:jc w:val="left"/>
            </w:pPr>
            <w:r>
              <w:rPr>
                <w:b/>
                <w:bCs/>
              </w:rPr>
              <w:t xml:space="preserve">Definition of</w:t>
            </w:r>
            <w:r>
              <w:rPr>
                <w:b/>
                <w:bCs/>
              </w:rPr>
              <w:t xml:space="preserve"> </w:t>
            </w:r>
            <w:r>
              <w:rPr>
                <w:b/>
                <w:bCs/>
              </w:rPr>
              <w:t xml:space="preserve">“health CI”</w:t>
            </w:r>
          </w:p>
        </w:tc>
        <w:tc>
          <w:tcPr/>
          <w:p>
            <w:pPr>
              <w:pStyle w:val="Compact"/>
              <w:jc w:val="left"/>
            </w:pPr>
            <w:r>
              <w:t xml:space="preserve">Entity-based + functional criteria</w:t>
            </w:r>
          </w:p>
        </w:tc>
        <w:tc>
          <w:tcPr/>
          <w:p>
            <w:pPr>
              <w:pStyle w:val="Compact"/>
              <w:jc w:val="left"/>
            </w:pPr>
            <w:r>
              <w:t xml:space="preserve">EU NIS2 (healthcare providers), Australia (ICU hospitals)</w:t>
            </w:r>
          </w:p>
        </w:tc>
      </w:tr>
      <w:tr>
        <w:tc>
          <w:tcPr/>
          <w:p>
            <w:pPr>
              <w:pStyle w:val="Compact"/>
              <w:jc w:val="left"/>
            </w:pPr>
            <w:r>
              <w:rPr>
                <w:b/>
                <w:bCs/>
              </w:rPr>
              <w:t xml:space="preserve">Designation authority</w:t>
            </w:r>
          </w:p>
        </w:tc>
        <w:tc>
          <w:tcPr/>
          <w:p>
            <w:pPr>
              <w:pStyle w:val="Compact"/>
              <w:jc w:val="left"/>
            </w:pPr>
            <w:r>
              <w:t xml:space="preserve">Health ministry with cybersecurity agency coordination</w:t>
            </w:r>
          </w:p>
        </w:tc>
        <w:tc>
          <w:tcPr/>
          <w:p>
            <w:pPr>
              <w:pStyle w:val="Compact"/>
              <w:jc w:val="left"/>
            </w:pPr>
            <w:r>
              <w:t xml:space="preserve">Hong Kong, Germany, UK</w:t>
            </w:r>
          </w:p>
        </w:tc>
      </w:tr>
      <w:tr>
        <w:tc>
          <w:tcPr/>
          <w:p>
            <w:pPr>
              <w:pStyle w:val="Compact"/>
              <w:jc w:val="left"/>
            </w:pPr>
            <w:r>
              <w:rPr>
                <w:b/>
                <w:bCs/>
              </w:rPr>
              <w:t xml:space="preserve">Scope criteria</w:t>
            </w:r>
          </w:p>
        </w:tc>
        <w:tc>
          <w:tcPr/>
          <w:p>
            <w:pPr>
              <w:pStyle w:val="Compact"/>
              <w:jc w:val="left"/>
            </w:pPr>
            <w:r>
              <w:t xml:space="preserve">Quantitative baseline + qualitative exceptions</w:t>
            </w:r>
          </w:p>
        </w:tc>
        <w:tc>
          <w:tcPr/>
          <w:p>
            <w:pPr>
              <w:pStyle w:val="Compact"/>
              <w:jc w:val="left"/>
            </w:pPr>
            <w:r>
              <w:t xml:space="preserve">Germany + EU hybrid</w:t>
            </w:r>
          </w:p>
        </w:tc>
      </w:tr>
      <w:tr>
        <w:tc>
          <w:tcPr/>
          <w:p>
            <w:pPr>
              <w:pStyle w:val="Compact"/>
              <w:jc w:val="left"/>
            </w:pPr>
            <w:r>
              <w:rPr>
                <w:b/>
                <w:bCs/>
              </w:rPr>
              <w:t xml:space="preserve">Obligations structure</w:t>
            </w:r>
          </w:p>
        </w:tc>
        <w:tc>
          <w:tcPr/>
          <w:p>
            <w:pPr>
              <w:pStyle w:val="Compact"/>
              <w:jc w:val="left"/>
            </w:pPr>
            <w:r>
              <w:t xml:space="preserve">Tiered (Essential/Important or Tier 1/2/3)</w:t>
            </w:r>
          </w:p>
        </w:tc>
        <w:tc>
          <w:tcPr/>
          <w:p>
            <w:pPr>
              <w:pStyle w:val="Compact"/>
              <w:jc w:val="left"/>
            </w:pPr>
            <w:r>
              <w:t xml:space="preserve">EU NIS2, Israel</w:t>
            </w:r>
          </w:p>
        </w:tc>
      </w:tr>
      <w:tr>
        <w:tc>
          <w:tcPr/>
          <w:p>
            <w:pPr>
              <w:pStyle w:val="Compact"/>
              <w:jc w:val="left"/>
            </w:pPr>
            <w:r>
              <w:rPr>
                <w:b/>
                <w:bCs/>
              </w:rPr>
              <w:t xml:space="preserve">Incident reporting</w:t>
            </w:r>
          </w:p>
        </w:tc>
        <w:tc>
          <w:tcPr/>
          <w:p>
            <w:pPr>
              <w:pStyle w:val="Compact"/>
              <w:jc w:val="left"/>
            </w:pPr>
            <w:r>
              <w:t xml:space="preserve">24h early warning / 72h detailed / 30d final</w:t>
            </w:r>
          </w:p>
        </w:tc>
        <w:tc>
          <w:tcPr/>
          <w:p>
            <w:pPr>
              <w:pStyle w:val="Compact"/>
              <w:jc w:val="left"/>
            </w:pPr>
            <w:r>
              <w:t xml:space="preserve">EU NIS2, Norway, Hong Kong</w:t>
            </w:r>
          </w:p>
        </w:tc>
      </w:tr>
      <w:tr>
        <w:tc>
          <w:tcPr/>
          <w:p>
            <w:pPr>
              <w:pStyle w:val="Compact"/>
              <w:jc w:val="left"/>
            </w:pPr>
            <w:r>
              <w:rPr>
                <w:b/>
                <w:bCs/>
              </w:rPr>
              <w:t xml:space="preserve">Penalties</w:t>
            </w:r>
          </w:p>
        </w:tc>
        <w:tc>
          <w:tcPr/>
          <w:p>
            <w:pPr>
              <w:pStyle w:val="Compact"/>
              <w:jc w:val="left"/>
            </w:pPr>
            <w:r>
              <w:t xml:space="preserve">Proportionate to size; administrative fines + compliance orders</w:t>
            </w:r>
          </w:p>
        </w:tc>
        <w:tc>
          <w:tcPr/>
          <w:p>
            <w:pPr>
              <w:pStyle w:val="Compact"/>
              <w:jc w:val="left"/>
            </w:pPr>
            <w:r>
              <w:t xml:space="preserve">EU, Hong Kong</w:t>
            </w:r>
          </w:p>
        </w:tc>
      </w:tr>
      <w:tr>
        <w:tc>
          <w:tcPr/>
          <w:p>
            <w:pPr>
              <w:pStyle w:val="Compact"/>
              <w:jc w:val="left"/>
            </w:pPr>
            <w:r>
              <w:rPr>
                <w:b/>
                <w:bCs/>
              </w:rPr>
              <w:t xml:space="preserve">Review cycle</w:t>
            </w:r>
          </w:p>
        </w:tc>
        <w:tc>
          <w:tcPr/>
          <w:p>
            <w:pPr>
              <w:pStyle w:val="Compact"/>
              <w:jc w:val="left"/>
            </w:pPr>
            <w:r>
              <w:t xml:space="preserve">Mandatory 2-year review of designated list</w:t>
            </w:r>
          </w:p>
        </w:tc>
        <w:tc>
          <w:tcPr/>
          <w:p>
            <w:pPr>
              <w:pStyle w:val="Compact"/>
              <w:jc w:val="left"/>
            </w:pPr>
            <w:r>
              <w:t xml:space="preserve">EU NIS2</w:t>
            </w:r>
          </w:p>
        </w:tc>
      </w:tr>
    </w:tbl>
    <w:bookmarkEnd w:id="316"/>
    <w:bookmarkStart w:id="317" w:name="phase-1-foundation-months-1-6"/>
    <w:p>
      <w:pPr>
        <w:pStyle w:val="Heading2"/>
      </w:pPr>
      <w:r>
        <w:t xml:space="preserve">Phase 1: Foundation (Months 1-6)</w:t>
      </w:r>
    </w:p>
    <w:bookmarkEnd w:id="317"/>
    <w:bookmarkStart w:id="318" w:name="legal-authority-assessment"/>
    <w:p>
      <w:pPr>
        <w:pStyle w:val="Heading2"/>
      </w:pPr>
      <w:r>
        <w:t xml:space="preserve">1.1 Legal Authority Assessment</w:t>
      </w:r>
    </w:p>
    <w:p>
      <w:pPr>
        <w:pStyle w:val="Compact"/>
        <w:numPr>
          <w:ilvl w:val="0"/>
          <w:numId w:val="1256"/>
        </w:numPr>
      </w:pPr>
      <w:r>
        <w:t xml:space="preserve">Review existing cybersecurity/CI laws for health sector applicability</w:t>
      </w:r>
    </w:p>
    <w:p>
      <w:pPr>
        <w:pStyle w:val="Compact"/>
        <w:numPr>
          <w:ilvl w:val="0"/>
          <w:numId w:val="1257"/>
        </w:numPr>
      </w:pPr>
      <w:r>
        <w:t xml:space="preserve">Identify gaps requiring new legislation vs ministerial regulation</w:t>
      </w:r>
    </w:p>
    <w:p>
      <w:pPr>
        <w:pStyle w:val="Compact"/>
        <w:numPr>
          <w:ilvl w:val="0"/>
          <w:numId w:val="1258"/>
        </w:numPr>
      </w:pPr>
      <w:r>
        <w:t xml:space="preserve">Map existing health sector regulatory bodies and their powers</w:t>
      </w:r>
    </w:p>
    <w:bookmarkEnd w:id="318"/>
    <w:bookmarkStart w:id="319" w:name="sector-risk-assessment"/>
    <w:p>
      <w:pPr>
        <w:pStyle w:val="Heading2"/>
      </w:pPr>
      <w:r>
        <w:t xml:space="preserve">1.2 Sector Risk Assessment</w:t>
      </w:r>
    </w:p>
    <w:p>
      <w:pPr>
        <w:pStyle w:val="Compact"/>
        <w:numPr>
          <w:ilvl w:val="0"/>
          <w:numId w:val="1259"/>
        </w:numPr>
      </w:pPr>
      <w:r>
        <w:t xml:space="preserve">Inventory major health information systems in the country</w:t>
      </w:r>
    </w:p>
    <w:p>
      <w:pPr>
        <w:pStyle w:val="Compact"/>
        <w:numPr>
          <w:ilvl w:val="0"/>
          <w:numId w:val="1260"/>
        </w:numPr>
      </w:pPr>
      <w:r>
        <w:t xml:space="preserve">Identify single points of failure (sole providers, national systems)</w:t>
      </w:r>
    </w:p>
    <w:p>
      <w:pPr>
        <w:pStyle w:val="Compact"/>
        <w:numPr>
          <w:ilvl w:val="0"/>
          <w:numId w:val="1261"/>
        </w:numPr>
      </w:pPr>
      <w:r>
        <w:t xml:space="preserve">Assess current incident reporting and cyber hygiene baseline</w:t>
      </w:r>
    </w:p>
    <w:bookmarkEnd w:id="319"/>
    <w:bookmarkStart w:id="320" w:name="stakeholder-mapping"/>
    <w:p>
      <w:pPr>
        <w:pStyle w:val="Heading2"/>
      </w:pPr>
      <w:r>
        <w:t xml:space="preserve">1.3 Stakeholder Mapping</w:t>
      </w:r>
    </w:p>
    <w:p>
      <w:pPr>
        <w:pStyle w:val="Compact"/>
        <w:numPr>
          <w:ilvl w:val="0"/>
          <w:numId w:val="1262"/>
        </w:numPr>
      </w:pPr>
      <w:r>
        <w:t xml:space="preserve">Identify designated authority (cybersecurity agency, health ministry, or hybrid)</w:t>
      </w:r>
    </w:p>
    <w:p>
      <w:pPr>
        <w:pStyle w:val="Compact"/>
        <w:numPr>
          <w:ilvl w:val="0"/>
          <w:numId w:val="1263"/>
        </w:numPr>
      </w:pPr>
      <w:r>
        <w:t xml:space="preserve">Map hospitals, labs, insurers, technology vendors in health sector</w:t>
      </w:r>
    </w:p>
    <w:p>
      <w:pPr>
        <w:pStyle w:val="Compact"/>
        <w:numPr>
          <w:ilvl w:val="0"/>
          <w:numId w:val="1264"/>
        </w:numPr>
      </w:pPr>
      <w:r>
        <w:t xml:space="preserve">Establish working group with sector representatives</w:t>
      </w:r>
    </w:p>
    <w:bookmarkEnd w:id="320"/>
    <w:bookmarkStart w:id="321" w:name="phase-2-design-consultation-months-7-12"/>
    <w:p>
      <w:pPr>
        <w:pStyle w:val="Heading2"/>
      </w:pPr>
      <w:r>
        <w:t xml:space="preserve">Phase 2: Design &amp; Consultation (Months 7-12)</w:t>
      </w:r>
    </w:p>
    <w:bookmarkEnd w:id="321"/>
    <w:bookmarkStart w:id="322" w:name="develop-designation-criteria"/>
    <w:p>
      <w:pPr>
        <w:pStyle w:val="Heading2"/>
      </w:pPr>
      <w:r>
        <w:t xml:space="preserve">2.1 Develop Designation Criteria</w:t>
      </w:r>
    </w:p>
    <w:p>
      <w:pPr>
        <w:pStyle w:val="Compact"/>
        <w:numPr>
          <w:ilvl w:val="0"/>
          <w:numId w:val="1265"/>
        </w:numPr>
      </w:pPr>
      <w:r>
        <w:t xml:space="preserve">Define quantitative thresholds (e.g., bed count, case volume, employee count)</w:t>
      </w:r>
    </w:p>
    <w:p>
      <w:pPr>
        <w:pStyle w:val="Compact"/>
        <w:numPr>
          <w:ilvl w:val="0"/>
          <w:numId w:val="1266"/>
        </w:numPr>
      </w:pPr>
      <w:r>
        <w:t xml:space="preserve">Add qualitative safety-net criteria (sole provider, unique capability)</w:t>
      </w:r>
    </w:p>
    <w:p>
      <w:pPr>
        <w:pStyle w:val="Compact"/>
        <w:numPr>
          <w:ilvl w:val="0"/>
          <w:numId w:val="1267"/>
        </w:numPr>
      </w:pPr>
      <w:r>
        <w:t xml:space="preserve">Draft</w:t>
      </w:r>
      <w:r>
        <w:t xml:space="preserve"> </w:t>
      </w:r>
      <w:r>
        <w:t xml:space="preserve">“regardless of size”</w:t>
      </w:r>
      <w:r>
        <w:t xml:space="preserve"> </w:t>
      </w:r>
      <w:r>
        <w:t xml:space="preserve">exception triggers</w:t>
      </w:r>
    </w:p>
    <w:bookmarkEnd w:id="322"/>
    <w:bookmarkStart w:id="323" w:name="draft-obligations-framework"/>
    <w:p>
      <w:pPr>
        <w:pStyle w:val="Heading2"/>
      </w:pPr>
      <w:r>
        <w:t xml:space="preserve">2.2 Draft Obligations Framework</w:t>
      </w:r>
    </w:p>
    <w:p>
      <w:pPr>
        <w:pStyle w:val="Compact"/>
        <w:numPr>
          <w:ilvl w:val="0"/>
          <w:numId w:val="1268"/>
        </w:numPr>
      </w:pPr>
      <w:r>
        <w:t xml:space="preserve">Tier 1 (Essential): Risk management plan, security officer, 24h reporting, annual audit</w:t>
      </w:r>
    </w:p>
    <w:p>
      <w:pPr>
        <w:pStyle w:val="Compact"/>
        <w:numPr>
          <w:ilvl w:val="0"/>
          <w:numId w:val="1269"/>
        </w:numPr>
      </w:pPr>
      <w:r>
        <w:t xml:space="preserve">Tier 2 (Important): Risk management, 72h reporting, biennial assessment</w:t>
      </w:r>
    </w:p>
    <w:p>
      <w:pPr>
        <w:pStyle w:val="Compact"/>
        <w:numPr>
          <w:ilvl w:val="0"/>
          <w:numId w:val="1270"/>
        </w:numPr>
      </w:pPr>
      <w:r>
        <w:t xml:space="preserve">Tier 3 (Baseline): Basic cyber hygiene, voluntary reporting</w:t>
      </w:r>
    </w:p>
    <w:bookmarkEnd w:id="323"/>
    <w:bookmarkStart w:id="324" w:name="stakeholder-consultation"/>
    <w:p>
      <w:pPr>
        <w:pStyle w:val="Heading2"/>
      </w:pPr>
      <w:r>
        <w:t xml:space="preserve">2.3 Stakeholder Consultation</w:t>
      </w:r>
    </w:p>
    <w:p>
      <w:pPr>
        <w:pStyle w:val="Compact"/>
        <w:numPr>
          <w:ilvl w:val="0"/>
          <w:numId w:val="1271"/>
        </w:numPr>
      </w:pPr>
      <w:r>
        <w:t xml:space="preserve">Publish draft framework for public comment</w:t>
      </w:r>
    </w:p>
    <w:p>
      <w:pPr>
        <w:pStyle w:val="Compact"/>
        <w:numPr>
          <w:ilvl w:val="0"/>
          <w:numId w:val="1272"/>
        </w:numPr>
      </w:pPr>
      <w:r>
        <w:t xml:space="preserve">Conduct workshops with hospital associations, health IT vendors</w:t>
      </w:r>
    </w:p>
    <w:p>
      <w:pPr>
        <w:pStyle w:val="Compact"/>
        <w:numPr>
          <w:ilvl w:val="0"/>
          <w:numId w:val="1273"/>
        </w:numPr>
      </w:pPr>
      <w:r>
        <w:t xml:space="preserve">Align with telecom, energy, finance CI frameworks on cross-sector issues</w:t>
      </w:r>
    </w:p>
    <w:bookmarkEnd w:id="324"/>
    <w:bookmarkStart w:id="325" w:name="Xc6e0fd78d2ef484c967ebdccda7001206bcf956"/>
    <w:p>
      <w:pPr>
        <w:pStyle w:val="Heading2"/>
      </w:pPr>
      <w:r>
        <w:t xml:space="preserve">Phase 3: Pilot Implementation (Months 13-18)</w:t>
      </w:r>
    </w:p>
    <w:bookmarkEnd w:id="325"/>
    <w:bookmarkStart w:id="326" w:name="pilot-designation"/>
    <w:p>
      <w:pPr>
        <w:pStyle w:val="Heading2"/>
      </w:pPr>
      <w:r>
        <w:t xml:space="preserve">3.1 Pilot Designation</w:t>
      </w:r>
    </w:p>
    <w:p>
      <w:pPr>
        <w:pStyle w:val="Compact"/>
        <w:numPr>
          <w:ilvl w:val="0"/>
          <w:numId w:val="1274"/>
        </w:numPr>
      </w:pPr>
      <w:r>
        <w:t xml:space="preserve">Designate 5-10 largest/most critical entities for pilot</w:t>
      </w:r>
    </w:p>
    <w:p>
      <w:pPr>
        <w:pStyle w:val="Compact"/>
        <w:numPr>
          <w:ilvl w:val="0"/>
          <w:numId w:val="1275"/>
        </w:numPr>
      </w:pPr>
      <w:r>
        <w:t xml:space="preserve">Test designation process and notification procedures</w:t>
      </w:r>
    </w:p>
    <w:p>
      <w:pPr>
        <w:pStyle w:val="Compact"/>
        <w:numPr>
          <w:ilvl w:val="0"/>
          <w:numId w:val="1276"/>
        </w:numPr>
      </w:pPr>
      <w:r>
        <w:t xml:space="preserve">Refine criteria based on pilot feedback</w:t>
      </w:r>
    </w:p>
    <w:bookmarkEnd w:id="326"/>
    <w:bookmarkStart w:id="327" w:name="develop-operational-guidance"/>
    <w:p>
      <w:pPr>
        <w:pStyle w:val="Heading2"/>
      </w:pPr>
      <w:r>
        <w:t xml:space="preserve">3.2 Develop Operational Guidance</w:t>
      </w:r>
    </w:p>
    <w:p>
      <w:pPr>
        <w:pStyle w:val="Compact"/>
        <w:numPr>
          <w:ilvl w:val="0"/>
          <w:numId w:val="1277"/>
        </w:numPr>
      </w:pPr>
      <w:r>
        <w:t xml:space="preserve">Create sector-specific security controls guidance (reference: Germany B3S, UK CAF)</w:t>
      </w:r>
    </w:p>
    <w:p>
      <w:pPr>
        <w:pStyle w:val="Compact"/>
        <w:numPr>
          <w:ilvl w:val="0"/>
          <w:numId w:val="1278"/>
        </w:numPr>
      </w:pPr>
      <w:r>
        <w:t xml:space="preserve">Develop incident reporting forms and submission system</w:t>
      </w:r>
    </w:p>
    <w:p>
      <w:pPr>
        <w:pStyle w:val="Compact"/>
        <w:numPr>
          <w:ilvl w:val="0"/>
          <w:numId w:val="1279"/>
        </w:numPr>
      </w:pPr>
      <w:r>
        <w:t xml:space="preserve">Establish information-sharing mechanisms (CERT, sectoral ISAC)</w:t>
      </w:r>
    </w:p>
    <w:bookmarkEnd w:id="327"/>
    <w:bookmarkStart w:id="328" w:name="capacity-building"/>
    <w:p>
      <w:pPr>
        <w:pStyle w:val="Heading2"/>
      </w:pPr>
      <w:r>
        <w:t xml:space="preserve">3.3 Capacity Building</w:t>
      </w:r>
    </w:p>
    <w:p>
      <w:pPr>
        <w:pStyle w:val="Compact"/>
        <w:numPr>
          <w:ilvl w:val="0"/>
          <w:numId w:val="1280"/>
        </w:numPr>
      </w:pPr>
      <w:r>
        <w:t xml:space="preserve">Train designated entities on compliance requirements</w:t>
      </w:r>
    </w:p>
    <w:p>
      <w:pPr>
        <w:pStyle w:val="Compact"/>
        <w:numPr>
          <w:ilvl w:val="0"/>
          <w:numId w:val="1281"/>
        </w:numPr>
      </w:pPr>
      <w:r>
        <w:t xml:space="preserve">Train regulatory staff on supervision and enforcement</w:t>
      </w:r>
    </w:p>
    <w:p>
      <w:pPr>
        <w:pStyle w:val="Compact"/>
        <w:numPr>
          <w:ilvl w:val="0"/>
          <w:numId w:val="1282"/>
        </w:numPr>
      </w:pPr>
      <w:r>
        <w:t xml:space="preserve">Establish help desk for compliance questions</w:t>
      </w:r>
    </w:p>
    <w:bookmarkEnd w:id="328"/>
    <w:bookmarkStart w:id="329" w:name="phase-4-full-implementation-months-19-24"/>
    <w:p>
      <w:pPr>
        <w:pStyle w:val="Heading2"/>
      </w:pPr>
      <w:r>
        <w:t xml:space="preserve">Phase 4: Full Implementation (Months 19-24)</w:t>
      </w:r>
    </w:p>
    <w:bookmarkEnd w:id="329"/>
    <w:bookmarkStart w:id="330" w:name="full-rollout"/>
    <w:p>
      <w:pPr>
        <w:pStyle w:val="Heading2"/>
      </w:pPr>
      <w:r>
        <w:t xml:space="preserve">4.1 Full Rollout</w:t>
      </w:r>
    </w:p>
    <w:p>
      <w:pPr>
        <w:pStyle w:val="Compact"/>
        <w:numPr>
          <w:ilvl w:val="0"/>
          <w:numId w:val="1283"/>
        </w:numPr>
      </w:pPr>
      <w:r>
        <w:t xml:space="preserve">Designate all in-scope entities based on final criteria</w:t>
      </w:r>
    </w:p>
    <w:p>
      <w:pPr>
        <w:pStyle w:val="Compact"/>
        <w:numPr>
          <w:ilvl w:val="0"/>
          <w:numId w:val="1284"/>
        </w:numPr>
      </w:pPr>
      <w:r>
        <w:t xml:space="preserve">Activate mandatory incident reporting</w:t>
      </w:r>
    </w:p>
    <w:p>
      <w:pPr>
        <w:pStyle w:val="Compact"/>
        <w:numPr>
          <w:ilvl w:val="0"/>
          <w:numId w:val="1285"/>
        </w:numPr>
      </w:pPr>
      <w:r>
        <w:t xml:space="preserve">Begin compliance monitoring</w:t>
      </w:r>
    </w:p>
    <w:bookmarkEnd w:id="330"/>
    <w:bookmarkStart w:id="331" w:name="enforcement-framework"/>
    <w:p>
      <w:pPr>
        <w:pStyle w:val="Heading2"/>
      </w:pPr>
      <w:r>
        <w:t xml:space="preserve">4.2 Enforcement Framework</w:t>
      </w:r>
    </w:p>
    <w:p>
      <w:pPr>
        <w:pStyle w:val="Compact"/>
        <w:numPr>
          <w:ilvl w:val="0"/>
          <w:numId w:val="1286"/>
        </w:numPr>
      </w:pPr>
      <w:r>
        <w:t xml:space="preserve">Establish graduated enforcement (warning → compliance order → fine)</w:t>
      </w:r>
    </w:p>
    <w:p>
      <w:pPr>
        <w:pStyle w:val="Compact"/>
        <w:numPr>
          <w:ilvl w:val="0"/>
          <w:numId w:val="1287"/>
        </w:numPr>
      </w:pPr>
      <w:r>
        <w:t xml:space="preserve">Publish anonymized enforcement statistics for sector learning</w:t>
      </w:r>
    </w:p>
    <w:p>
      <w:pPr>
        <w:pStyle w:val="Compact"/>
        <w:numPr>
          <w:ilvl w:val="0"/>
          <w:numId w:val="1288"/>
        </w:numPr>
      </w:pPr>
      <w:r>
        <w:t xml:space="preserve">Create appeals/review mechanism</w:t>
      </w:r>
    </w:p>
    <w:bookmarkEnd w:id="331"/>
    <w:bookmarkStart w:id="332" w:name="cross-sector-integration"/>
    <w:p>
      <w:pPr>
        <w:pStyle w:val="Heading2"/>
      </w:pPr>
      <w:r>
        <w:t xml:space="preserve">4.3 Cross-Sector Integration</w:t>
      </w:r>
    </w:p>
    <w:p>
      <w:pPr>
        <w:pStyle w:val="Compact"/>
        <w:numPr>
          <w:ilvl w:val="0"/>
          <w:numId w:val="1289"/>
        </w:numPr>
      </w:pPr>
      <w:r>
        <w:t xml:space="preserve">Map interdependencies with power, telecom, water CI</w:t>
      </w:r>
    </w:p>
    <w:p>
      <w:pPr>
        <w:pStyle w:val="Compact"/>
        <w:numPr>
          <w:ilvl w:val="0"/>
          <w:numId w:val="1290"/>
        </w:numPr>
      </w:pPr>
      <w:r>
        <w:t xml:space="preserve">Establish joint incident response protocols</w:t>
      </w:r>
    </w:p>
    <w:p>
      <w:pPr>
        <w:pStyle w:val="Compact"/>
        <w:numPr>
          <w:ilvl w:val="0"/>
          <w:numId w:val="1291"/>
        </w:numPr>
      </w:pPr>
      <w:r>
        <w:t xml:space="preserve">Participate in national/regional CI coordination mechanisms</w:t>
      </w:r>
    </w:p>
    <w:bookmarkEnd w:id="332"/>
    <w:bookmarkStart w:id="333" w:name="phase-5-maturity-evolution-ongoing"/>
    <w:p>
      <w:pPr>
        <w:pStyle w:val="Heading2"/>
      </w:pPr>
      <w:r>
        <w:t xml:space="preserve">Phase 5: Maturity &amp; Evolution (Ongoing)</w:t>
      </w:r>
    </w:p>
    <w:bookmarkEnd w:id="333"/>
    <w:bookmarkStart w:id="334" w:name="continuous-improvement"/>
    <w:p>
      <w:pPr>
        <w:pStyle w:val="Heading2"/>
      </w:pPr>
      <w:r>
        <w:t xml:space="preserve">5.1 Continuous Improvement</w:t>
      </w:r>
    </w:p>
    <w:p>
      <w:pPr>
        <w:pStyle w:val="Compact"/>
        <w:numPr>
          <w:ilvl w:val="0"/>
          <w:numId w:val="1292"/>
        </w:numPr>
      </w:pPr>
      <w:r>
        <w:t xml:space="preserve">Conduct annual review of designation criteria effectiveness</w:t>
      </w:r>
    </w:p>
    <w:p>
      <w:pPr>
        <w:pStyle w:val="Compact"/>
        <w:numPr>
          <w:ilvl w:val="0"/>
          <w:numId w:val="1293"/>
        </w:numPr>
      </w:pPr>
      <w:r>
        <w:t xml:space="preserve">Update thresholds based on sector evolution (e.g., telehealth growth)</w:t>
      </w:r>
    </w:p>
    <w:p>
      <w:pPr>
        <w:pStyle w:val="Compact"/>
        <w:numPr>
          <w:ilvl w:val="0"/>
          <w:numId w:val="1294"/>
        </w:numPr>
      </w:pPr>
      <w:r>
        <w:t xml:space="preserve">Incorporate lessons from incident response</w:t>
      </w:r>
    </w:p>
    <w:bookmarkEnd w:id="334"/>
    <w:bookmarkStart w:id="335" w:name="international-alignment"/>
    <w:p>
      <w:pPr>
        <w:pStyle w:val="Heading2"/>
      </w:pPr>
      <w:r>
        <w:t xml:space="preserve">5.2 International Alignment</w:t>
      </w:r>
    </w:p>
    <w:p>
      <w:pPr>
        <w:pStyle w:val="Compact"/>
        <w:numPr>
          <w:ilvl w:val="0"/>
          <w:numId w:val="1295"/>
        </w:numPr>
      </w:pPr>
      <w:r>
        <w:t xml:space="preserve">Monitor and align with regional frameworks (EU NIS2, ASEAN, etc.)</w:t>
      </w:r>
    </w:p>
    <w:p>
      <w:pPr>
        <w:pStyle w:val="Compact"/>
        <w:numPr>
          <w:ilvl w:val="0"/>
          <w:numId w:val="1296"/>
        </w:numPr>
      </w:pPr>
      <w:r>
        <w:t xml:space="preserve">Participate in international information-sharing networks</w:t>
      </w:r>
    </w:p>
    <w:p>
      <w:pPr>
        <w:pStyle w:val="Compact"/>
        <w:numPr>
          <w:ilvl w:val="0"/>
          <w:numId w:val="1297"/>
        </w:numPr>
      </w:pPr>
      <w:r>
        <w:t xml:space="preserve">Consider mutual recognition agreements for cross-border operators</w:t>
      </w:r>
    </w:p>
    <w:bookmarkEnd w:id="335"/>
    <w:bookmarkStart w:id="336" w:name="emerging-technology-integration"/>
    <w:p>
      <w:pPr>
        <w:pStyle w:val="Heading2"/>
      </w:pPr>
      <w:r>
        <w:t xml:space="preserve">5.3 Emerging Technology Integration</w:t>
      </w:r>
    </w:p>
    <w:p>
      <w:pPr>
        <w:pStyle w:val="Compact"/>
        <w:numPr>
          <w:ilvl w:val="0"/>
          <w:numId w:val="1298"/>
        </w:numPr>
      </w:pPr>
      <w:r>
        <w:t xml:space="preserve">Add AI/ML diagnostic systems to scope consideration</w:t>
      </w:r>
    </w:p>
    <w:p>
      <w:pPr>
        <w:pStyle w:val="Compact"/>
        <w:numPr>
          <w:ilvl w:val="0"/>
          <w:numId w:val="1299"/>
        </w:numPr>
      </w:pPr>
      <w:r>
        <w:t xml:space="preserve">Address IoT medical device security</w:t>
      </w:r>
    </w:p>
    <w:p>
      <w:pPr>
        <w:pStyle w:val="Compact"/>
        <w:numPr>
          <w:ilvl w:val="0"/>
          <w:numId w:val="1300"/>
        </w:numPr>
      </w:pPr>
      <w:r>
        <w:t xml:space="preserve">Update for cloud and SaaS health platforms</w:t>
      </w:r>
    </w:p>
    <w:bookmarkEnd w:id="336"/>
    <w:bookmarkStart w:id="337" w:name="conclusion"/>
    <w:p>
      <w:pPr>
        <w:pStyle w:val="Heading2"/>
      </w:pPr>
      <w:r>
        <w:t xml:space="preserve">Conclusion</w:t>
      </w:r>
    </w:p>
    <w:p>
      <w:pPr>
        <w:pStyle w:val="FirstParagraph"/>
      </w:pPr>
      <w:r>
        <w:t xml:space="preserve">This comprehensive analysis of</w:t>
      </w:r>
      <w:r>
        <w:t xml:space="preserve"> </w:t>
      </w:r>
      <w:r>
        <w:rPr>
          <w:b/>
          <w:bCs/>
        </w:rPr>
        <w:t xml:space="preserve">17 jurisdictions</w:t>
      </w:r>
      <w:r>
        <w:t xml:space="preserve"> </w:t>
      </w:r>
      <w:r>
        <w:t xml:space="preserve">with detailed chapter coverage, plus an additional</w:t>
      </w:r>
      <w:r>
        <w:t xml:space="preserve"> </w:t>
      </w:r>
      <w:r>
        <w:rPr>
          <w:b/>
          <w:bCs/>
        </w:rPr>
        <w:t xml:space="preserve">20+ countries</w:t>
      </w:r>
      <w:r>
        <w:t xml:space="preserve"> </w:t>
      </w:r>
      <w:r>
        <w:t xml:space="preserve">surveyed across Latin America, ASEAN, Africa, Middle East, and Central Asia, reveals a global landscape undergoing significant transformation in 2025-2026.</w:t>
      </w:r>
      <w:r>
        <w:t xml:space="preserve"> </w:t>
      </w:r>
      <w:r>
        <w:rPr>
          <w:b/>
          <w:bCs/>
        </w:rPr>
        <w:t xml:space="preserve">Five key trends dominate:</w:t>
      </w:r>
    </w:p>
    <w:p>
      <w:pPr>
        <w:pStyle w:val="Compact"/>
        <w:numPr>
          <w:ilvl w:val="0"/>
          <w:numId w:val="1301"/>
        </w:numPr>
      </w:pPr>
      <w:r>
        <w:rPr>
          <w:b/>
          <w:bCs/>
        </w:rPr>
        <w:t xml:space="preserve">Expanded Scope</w:t>
      </w:r>
      <w:r>
        <w:t xml:space="preserve">: Regulations now explicitly encompass supply chains, with MSPs and critical suppliers facing direct obligations (UK, EU).</w:t>
      </w:r>
      <w:r>
        <w:br/>
      </w:r>
    </w:p>
    <w:p>
      <w:pPr>
        <w:pStyle w:val="Compact"/>
        <w:numPr>
          <w:ilvl w:val="0"/>
          <w:numId w:val="1301"/>
        </w:numPr>
      </w:pPr>
      <w:r>
        <w:rPr>
          <w:b/>
          <w:bCs/>
        </w:rPr>
        <w:t xml:space="preserve">Holistic Resilience</w:t>
      </w:r>
      <w:r>
        <w:t xml:space="preserve">: The shift from pure cybersecurity to all-hazard resilience planning (EU CER Directive) reflects recognition that health systems face multifaceted threats.</w:t>
      </w:r>
      <w:r>
        <w:br/>
      </w:r>
    </w:p>
    <w:p>
      <w:pPr>
        <w:pStyle w:val="Compact"/>
        <w:numPr>
          <w:ilvl w:val="0"/>
          <w:numId w:val="1301"/>
        </w:numPr>
      </w:pPr>
      <w:r>
        <w:rPr>
          <w:b/>
          <w:bCs/>
        </w:rPr>
        <w:t xml:space="preserve">Stricter Reporting</w:t>
      </w:r>
      <w:r>
        <w:t xml:space="preserve">: Convergence towards 12-24 hour early warning and 48-72 hour detailed notification, with specific ransomware payment reporting (24 hours in USA, Australia).</w:t>
      </w:r>
      <w:r>
        <w:br/>
      </w:r>
    </w:p>
    <w:p>
      <w:pPr>
        <w:pStyle w:val="Compact"/>
        <w:numPr>
          <w:ilvl w:val="0"/>
          <w:numId w:val="1301"/>
        </w:numPr>
      </w:pPr>
      <w:r>
        <w:rPr>
          <w:b/>
          <w:bCs/>
        </w:rPr>
        <w:t xml:space="preserve">Enhanced Enforcement</w:t>
      </w:r>
      <w:r>
        <w:t xml:space="preserve">: Moving from voluntary guidance to mandatory requirements with significant penalties (EU up to €10M, Hong Kong up to HK$5M).</w:t>
      </w:r>
    </w:p>
    <w:p>
      <w:pPr>
        <w:pStyle w:val="Compact"/>
        <w:numPr>
          <w:ilvl w:val="0"/>
          <w:numId w:val="1301"/>
        </w:numPr>
      </w:pPr>
      <w:r>
        <w:rPr>
          <w:b/>
          <w:bCs/>
        </w:rPr>
        <w:t xml:space="preserve">New Jurisdictions Entering the Framework</w:t>
      </w:r>
      <w:r>
        <w:t xml:space="preserve">: 2025-2026 sees major new entrants including Hong Kong (CI Ordinance), Switzerland (CSV), Norway (Digital Security Act), and Taiwan (revised CSMA).</w:t>
      </w:r>
    </w:p>
    <w:p>
      <w:pPr>
        <w:pStyle w:val="FirstParagraph"/>
      </w:pPr>
      <w:r>
        <w:t xml:space="preserve">Despite diverse legal traditions and cultural contexts, remarkable consensus exists on which health systems merit highest protection: emergency services, major hospital clinical systems, blood/organ services, and disease surveillance platforms.</w:t>
      </w:r>
      <w:r>
        <w:t xml:space="preserve"> </w:t>
      </w:r>
      <w:r>
        <w:t xml:space="preserve">The most effective frameworks emerging from this global analysis combine</w:t>
      </w:r>
      <w:r>
        <w:t xml:space="preserve"> </w:t>
      </w:r>
      <w:r>
        <w:rPr>
          <w:b/>
          <w:bCs/>
        </w:rPr>
        <w:t xml:space="preserve">transparent, objective criteria</w:t>
      </w:r>
      <w:r>
        <w:t xml:space="preserve"> </w:t>
      </w:r>
      <w:r>
        <w:t xml:space="preserve">(enabling self-assessment) with</w:t>
      </w:r>
      <w:r>
        <w:t xml:space="preserve"> </w:t>
      </w:r>
      <w:r>
        <w:rPr>
          <w:b/>
          <w:bCs/>
        </w:rPr>
        <w:t xml:space="preserve">proportionate, risk-based obligations</w:t>
      </w:r>
      <w:r>
        <w:t xml:space="preserve"> </w:t>
      </w:r>
      <w:r>
        <w:t xml:space="preserve">(ensuring appropriate resource allocation), while maintaining necessary</w:t>
      </w:r>
      <w:r>
        <w:t xml:space="preserve"> </w:t>
      </w:r>
      <w:r>
        <w:rPr>
          <w:b/>
          <w:bCs/>
        </w:rPr>
        <w:t xml:space="preserve">confidentiality over specific asset lists</w:t>
      </w:r>
      <w:r>
        <w:t xml:space="preserve"> </w:t>
      </w:r>
      <w:r>
        <w:t xml:space="preserve">(preserving security).</w:t>
      </w:r>
      <w:r>
        <w:t xml:space="preserve"> </w:t>
      </w:r>
      <w:r>
        <w:t xml:space="preserve">For jurisdictions developing or updating their health critical infrastructure frameworks, the 2025-2026 updates from the UK, EU, US, Australia, Hong Kong, Switzerland, and Norway provide a clear roadmap emphasizing supply chain security, all-hazard resilience, and harmonized incident reporting. These developments, coupled with the foundational principles from established frameworks like Germany’s precise thresholds, Singapore’s system-level approach, and South Korea’s transparent designation process, create a comprehensive model for protecting the digital foundations of healthcare in an increasingly interconnected and threatened world.</w:t>
      </w:r>
    </w:p>
    <w:bookmarkEnd w:id="337"/>
    <w:bookmarkStart w:id="343" w:name="references-global-synthesis"/>
    <w:p>
      <w:pPr>
        <w:pStyle w:val="Heading2"/>
      </w:pPr>
      <w:r>
        <w:t xml:space="preserve">References (Global Synthesis)</w:t>
      </w:r>
    </w:p>
    <w:p>
      <w:pPr>
        <w:pStyle w:val="Compact"/>
        <w:numPr>
          <w:ilvl w:val="0"/>
          <w:numId w:val="1302"/>
        </w:numPr>
      </w:pPr>
      <w:r>
        <w:rPr>
          <w:b/>
          <w:bCs/>
        </w:rPr>
        <w:t xml:space="preserve">Cyber Security Agency of Singapore (CSA).</w:t>
      </w:r>
      <w:r>
        <w:t xml:space="preserve"> </w:t>
      </w:r>
      <w:r>
        <w:rPr>
          <w:b/>
          <w:bCs/>
        </w:rPr>
        <w:t xml:space="preserve">Cybersecurity Act</w:t>
      </w:r>
      <w:r>
        <w:t xml:space="preserve">. (</w:t>
      </w:r>
      <w:hyperlink r:id="rId48">
        <w:r>
          <w:rPr>
            <w:rStyle w:val="Hyperlink"/>
          </w:rPr>
          <w:t xml:space="preserve">CSA</w:t>
        </w:r>
      </w:hyperlink>
      <w:r>
        <w:t xml:space="preserve">)</w:t>
      </w:r>
    </w:p>
    <w:p>
      <w:pPr>
        <w:pStyle w:val="Compact"/>
        <w:numPr>
          <w:ilvl w:val="0"/>
          <w:numId w:val="1302"/>
        </w:numPr>
      </w:pPr>
      <w:r>
        <w:rPr>
          <w:b/>
          <w:bCs/>
        </w:rPr>
        <w:t xml:space="preserve">Cyber Security Agency of Singapore (CSA).</w:t>
      </w:r>
      <w:r>
        <w:t xml:space="preserve"> </w:t>
      </w:r>
      <w:r>
        <w:rPr>
          <w:b/>
          <w:bCs/>
        </w:rPr>
        <w:t xml:space="preserve">Code of Practice for Critical Information Infrastructure Protection (Second Edition)</w:t>
      </w:r>
      <w:r>
        <w:t xml:space="preserve">. (</w:t>
      </w:r>
      <w:hyperlink r:id="rId49">
        <w:r>
          <w:rPr>
            <w:rStyle w:val="Hyperlink"/>
          </w:rPr>
          <w:t xml:space="preserve">CSA</w:t>
        </w:r>
      </w:hyperlink>
      <w:r>
        <w:t xml:space="preserve">)</w:t>
      </w:r>
    </w:p>
    <w:p>
      <w:pPr>
        <w:pStyle w:val="Compact"/>
        <w:numPr>
          <w:ilvl w:val="0"/>
          <w:numId w:val="1302"/>
        </w:numPr>
      </w:pPr>
      <w:r>
        <w:rPr>
          <w:b/>
          <w:bCs/>
        </w:rPr>
        <w:t xml:space="preserve">Cyber Security Agency of Singapore (CSA).</w:t>
      </w:r>
      <w:r>
        <w:t xml:space="preserve"> </w:t>
      </w:r>
      <w:r>
        <w:rPr>
          <w:b/>
          <w:bCs/>
        </w:rPr>
        <w:t xml:space="preserve">Healthcare Cybersecurity Masterplan 2021-2023</w:t>
      </w:r>
      <w:r>
        <w:t xml:space="preserve">.</w:t>
      </w:r>
    </w:p>
    <w:p>
      <w:pPr>
        <w:pStyle w:val="Compact"/>
        <w:numPr>
          <w:ilvl w:val="0"/>
          <w:numId w:val="1302"/>
        </w:numPr>
      </w:pPr>
      <w:r>
        <w:rPr>
          <w:b/>
          <w:bCs/>
        </w:rPr>
        <w:t xml:space="preserve">Australian Government.</w:t>
      </w:r>
      <w:r>
        <w:t xml:space="preserve"> </w:t>
      </w:r>
      <w:r>
        <w:rPr>
          <w:b/>
          <w:bCs/>
        </w:rPr>
        <w:t xml:space="preserve">Security of Critical Infrastructure Act 2018</w:t>
      </w:r>
      <w:r>
        <w:t xml:space="preserve">. (</w:t>
      </w:r>
      <w:hyperlink r:id="rId51">
        <w:r>
          <w:rPr>
            <w:rStyle w:val="Hyperlink"/>
          </w:rPr>
          <w:t xml:space="preserve">Legislation.gov.au</w:t>
        </w:r>
      </w:hyperlink>
      <w:r>
        <w:t xml:space="preserve">)</w:t>
      </w:r>
    </w:p>
    <w:p>
      <w:pPr>
        <w:pStyle w:val="Compact"/>
        <w:numPr>
          <w:ilvl w:val="0"/>
          <w:numId w:val="1302"/>
        </w:numPr>
      </w:pPr>
      <w:r>
        <w:rPr>
          <w:b/>
          <w:bCs/>
        </w:rPr>
        <w:t xml:space="preserve">Australian Government, Department of Home Affairs.</w:t>
      </w:r>
      <w:r>
        <w:t xml:space="preserve"> </w:t>
      </w:r>
      <w:r>
        <w:rPr>
          <w:b/>
          <w:bCs/>
        </w:rPr>
        <w:t xml:space="preserve">Security of Critical Infrastructure (Definitions) Rules 2021</w:t>
      </w:r>
      <w:r>
        <w:t xml:space="preserve">.</w:t>
      </w:r>
    </w:p>
    <w:p>
      <w:pPr>
        <w:pStyle w:val="Compact"/>
        <w:numPr>
          <w:ilvl w:val="0"/>
          <w:numId w:val="1302"/>
        </w:numPr>
      </w:pPr>
      <w:r>
        <w:rPr>
          <w:b/>
          <w:bCs/>
        </w:rPr>
        <w:t xml:space="preserve">Australian Government, Department of Home Affairs.</w:t>
      </w:r>
      <w:r>
        <w:t xml:space="preserve"> </w:t>
      </w:r>
      <w:r>
        <w:rPr>
          <w:b/>
          <w:bCs/>
        </w:rPr>
        <w:t xml:space="preserve">Security of Critical Infrastructure (Risk Management Program) Rules 2023</w:t>
      </w:r>
      <w:r>
        <w:t xml:space="preserve">.</w:t>
      </w:r>
    </w:p>
    <w:p>
      <w:pPr>
        <w:pStyle w:val="Compact"/>
        <w:numPr>
          <w:ilvl w:val="0"/>
          <w:numId w:val="1302"/>
        </w:numPr>
      </w:pPr>
      <w:r>
        <w:rPr>
          <w:b/>
          <w:bCs/>
        </w:rPr>
        <w:t xml:space="preserve">Critical Infrastructure Centre.</w:t>
      </w:r>
      <w:r>
        <w:t xml:space="preserve"> </w:t>
      </w:r>
      <w:r>
        <w:rPr>
          <w:b/>
          <w:bCs/>
        </w:rPr>
        <w:t xml:space="preserve">SOCI Act 2018 for healthcare and medical</w:t>
      </w:r>
      <w:r>
        <w:t xml:space="preserve">. (</w:t>
      </w:r>
      <w:hyperlink r:id="rId93">
        <w:r>
          <w:rPr>
            <w:rStyle w:val="Hyperlink"/>
          </w:rPr>
          <w:t xml:space="preserve">CISC</w:t>
        </w:r>
      </w:hyperlink>
      <w:r>
        <w:t xml:space="preserve">)</w:t>
      </w:r>
    </w:p>
    <w:p>
      <w:pPr>
        <w:pStyle w:val="Compact"/>
        <w:numPr>
          <w:ilvl w:val="0"/>
          <w:numId w:val="1302"/>
        </w:numPr>
      </w:pPr>
      <w:r>
        <w:rPr>
          <w:b/>
          <w:bCs/>
        </w:rPr>
        <w:t xml:space="preserve">UK Parliament.</w:t>
      </w:r>
      <w:r>
        <w:t xml:space="preserve"> </w:t>
      </w:r>
      <w:r>
        <w:rPr>
          <w:b/>
          <w:bCs/>
        </w:rPr>
        <w:t xml:space="preserve">The Network and Information Systems Regulations 2018 (SI 2018/506)</w:t>
      </w:r>
      <w:r>
        <w:t xml:space="preserve">. (</w:t>
      </w:r>
      <w:hyperlink r:id="rId94">
        <w:r>
          <w:rPr>
            <w:rStyle w:val="Hyperlink"/>
          </w:rPr>
          <w:t xml:space="preserve">Legislation.gov.uk</w:t>
        </w:r>
      </w:hyperlink>
      <w:r>
        <w:t xml:space="preserve">)</w:t>
      </w:r>
    </w:p>
    <w:p>
      <w:pPr>
        <w:pStyle w:val="Compact"/>
        <w:numPr>
          <w:ilvl w:val="0"/>
          <w:numId w:val="1302"/>
        </w:numPr>
      </w:pPr>
      <w:r>
        <w:rPr>
          <w:b/>
          <w:bCs/>
        </w:rPr>
        <w:t xml:space="preserve">UK Department of Health and Social Care.</w:t>
      </w:r>
      <w:r>
        <w:t xml:space="preserve"> </w:t>
      </w:r>
      <w:r>
        <w:rPr>
          <w:b/>
          <w:bCs/>
        </w:rPr>
        <w:t xml:space="preserve">The Network and Information Systems Regulations 2018: guide for the health sector in England</w:t>
      </w:r>
      <w:r>
        <w:t xml:space="preserve">. (</w:t>
      </w:r>
      <w:hyperlink r:id="rId96">
        <w:r>
          <w:rPr>
            <w:rStyle w:val="Hyperlink"/>
          </w:rPr>
          <w:t xml:space="preserve">GOV.UK</w:t>
        </w:r>
      </w:hyperlink>
      <w:r>
        <w:t xml:space="preserve">)</w:t>
      </w:r>
    </w:p>
    <w:p>
      <w:pPr>
        <w:pStyle w:val="Compact"/>
        <w:numPr>
          <w:ilvl w:val="0"/>
          <w:numId w:val="1302"/>
        </w:numPr>
      </w:pPr>
      <w:r>
        <w:rPr>
          <w:b/>
          <w:bCs/>
        </w:rPr>
        <w:t xml:space="preserve">UK National Cyber Security Centre.</w:t>
      </w:r>
      <w:r>
        <w:t xml:space="preserve"> </w:t>
      </w:r>
      <w:r>
        <w:rPr>
          <w:b/>
          <w:bCs/>
        </w:rPr>
        <w:t xml:space="preserve">Cyber Assessment Framework (CAF)</w:t>
      </w:r>
      <w:r>
        <w:t xml:space="preserve">. (</w:t>
      </w:r>
      <w:hyperlink r:id="rId116">
        <w:r>
          <w:rPr>
            <w:rStyle w:val="Hyperlink"/>
          </w:rPr>
          <w:t xml:space="preserve">NCSC</w:t>
        </w:r>
      </w:hyperlink>
      <w:r>
        <w:t xml:space="preserve">)</w:t>
      </w:r>
    </w:p>
    <w:p>
      <w:pPr>
        <w:pStyle w:val="Compact"/>
        <w:numPr>
          <w:ilvl w:val="0"/>
          <w:numId w:val="1302"/>
        </w:numPr>
      </w:pPr>
      <w:r>
        <w:rPr>
          <w:b/>
          <w:bCs/>
        </w:rPr>
        <w:t xml:space="preserve">European Parliament and Council.</w:t>
      </w:r>
      <w:r>
        <w:t xml:space="preserve"> </w:t>
      </w:r>
      <w:r>
        <w:rPr>
          <w:b/>
          <w:bCs/>
        </w:rPr>
        <w:t xml:space="preserve">Directive (EU) 2022/2555 (NIS2 Directive)</w:t>
      </w:r>
      <w:r>
        <w:t xml:space="preserve">.</w:t>
      </w:r>
    </w:p>
    <w:p>
      <w:pPr>
        <w:pStyle w:val="Compact"/>
        <w:numPr>
          <w:ilvl w:val="0"/>
          <w:numId w:val="1302"/>
        </w:numPr>
      </w:pPr>
      <w:r>
        <w:rPr>
          <w:b/>
          <w:bCs/>
        </w:rPr>
        <w:t xml:space="preserve">European Commission.</w:t>
      </w:r>
      <w:r>
        <w:t xml:space="preserve"> </w:t>
      </w:r>
      <w:r>
        <w:rPr>
          <w:b/>
          <w:bCs/>
        </w:rPr>
        <w:t xml:space="preserve">FAQs on NIS2 Directive</w:t>
      </w:r>
      <w:r>
        <w:t xml:space="preserve">. (</w:t>
      </w:r>
      <w:hyperlink r:id="rId120">
        <w:r>
          <w:rPr>
            <w:rStyle w:val="Hyperlink"/>
          </w:rPr>
          <w:t xml:space="preserve">European Commission</w:t>
        </w:r>
      </w:hyperlink>
      <w:r>
        <w:t xml:space="preserve">)</w:t>
      </w:r>
    </w:p>
    <w:p>
      <w:pPr>
        <w:pStyle w:val="Compact"/>
        <w:numPr>
          <w:ilvl w:val="0"/>
          <w:numId w:val="1302"/>
        </w:numPr>
      </w:pPr>
      <w:r>
        <w:rPr>
          <w:b/>
          <w:bCs/>
        </w:rPr>
        <w:t xml:space="preserve">European Commission.</w:t>
      </w:r>
      <w:r>
        <w:t xml:space="preserve"> </w:t>
      </w:r>
      <w:r>
        <w:rPr>
          <w:b/>
          <w:bCs/>
        </w:rPr>
        <w:t xml:space="preserve">Infringement proceedings for non-transposition of NIS2</w:t>
      </w:r>
      <w:r>
        <w:t xml:space="preserve">. (</w:t>
      </w:r>
      <w:hyperlink r:id="rId338">
        <w:r>
          <w:rPr>
            <w:rStyle w:val="Hyperlink"/>
          </w:rPr>
          <w:t xml:space="preserve">European Commission</w:t>
        </w:r>
      </w:hyperlink>
      <w:r>
        <w:t xml:space="preserve">)</w:t>
      </w:r>
    </w:p>
    <w:p>
      <w:pPr>
        <w:pStyle w:val="Compact"/>
        <w:numPr>
          <w:ilvl w:val="0"/>
          <w:numId w:val="1302"/>
        </w:numPr>
      </w:pPr>
      <w:r>
        <w:rPr>
          <w:b/>
          <w:bCs/>
        </w:rPr>
        <w:t xml:space="preserve">The White House.</w:t>
      </w:r>
      <w:r>
        <w:t xml:space="preserve"> </w:t>
      </w:r>
      <w:r>
        <w:rPr>
          <w:b/>
          <w:bCs/>
        </w:rPr>
        <w:t xml:space="preserve">Presidential Policy Directive 21 (PPD-21): Critical Infrastructure Security and Resilience</w:t>
      </w:r>
      <w:r>
        <w:t xml:space="preserve">.</w:t>
      </w:r>
    </w:p>
    <w:p>
      <w:pPr>
        <w:pStyle w:val="Compact"/>
        <w:numPr>
          <w:ilvl w:val="0"/>
          <w:numId w:val="1302"/>
        </w:numPr>
      </w:pPr>
      <w:r>
        <w:rPr>
          <w:b/>
          <w:bCs/>
        </w:rPr>
        <w:t xml:space="preserve">Cybersecurity and Infrastructure Security Agency (CISA).</w:t>
      </w:r>
      <w:r>
        <w:t xml:space="preserve"> </w:t>
      </w:r>
      <w:r>
        <w:rPr>
          <w:b/>
          <w:bCs/>
        </w:rPr>
        <w:t xml:space="preserve">National Critical Functions</w:t>
      </w:r>
      <w:r>
        <w:t xml:space="preserve">. (</w:t>
      </w:r>
      <w:hyperlink r:id="rId339">
        <w:r>
          <w:rPr>
            <w:rStyle w:val="Hyperlink"/>
          </w:rPr>
          <w:t xml:space="preserve">CISA</w:t>
        </w:r>
      </w:hyperlink>
      <w:r>
        <w:t xml:space="preserve">)</w:t>
      </w:r>
    </w:p>
    <w:p>
      <w:pPr>
        <w:pStyle w:val="Compact"/>
        <w:numPr>
          <w:ilvl w:val="0"/>
          <w:numId w:val="1302"/>
        </w:numPr>
      </w:pPr>
      <w:r>
        <w:rPr>
          <w:b/>
          <w:bCs/>
        </w:rPr>
        <w:t xml:space="preserve">U.S. Department of Health and Human Services.</w:t>
      </w:r>
      <w:r>
        <w:t xml:space="preserve"> </w:t>
      </w:r>
      <w:r>
        <w:rPr>
          <w:b/>
          <w:bCs/>
        </w:rPr>
        <w:t xml:space="preserve">Health Industry Cybersecurity Practices (HICP)</w:t>
      </w:r>
      <w:r>
        <w:t xml:space="preserve">. (</w:t>
      </w:r>
      <w:hyperlink r:id="rId340">
        <w:r>
          <w:rPr>
            <w:rStyle w:val="Hyperlink"/>
          </w:rPr>
          <w:t xml:space="preserve">405d.hhs.gov</w:t>
        </w:r>
      </w:hyperlink>
      <w:r>
        <w:t xml:space="preserve">)</w:t>
      </w:r>
    </w:p>
    <w:p>
      <w:pPr>
        <w:pStyle w:val="Compact"/>
        <w:numPr>
          <w:ilvl w:val="0"/>
          <w:numId w:val="1302"/>
        </w:numPr>
      </w:pPr>
      <w:r>
        <w:rPr>
          <w:b/>
          <w:bCs/>
        </w:rPr>
        <w:t xml:space="preserve">U.S. Department of Health and Human Services.</w:t>
      </w:r>
      <w:r>
        <w:t xml:space="preserve"> </w:t>
      </w:r>
      <w:r>
        <w:rPr>
          <w:b/>
          <w:bCs/>
        </w:rPr>
        <w:t xml:space="preserve">HIPAA Security Rule</w:t>
      </w:r>
      <w:r>
        <w:t xml:space="preserve">. (</w:t>
      </w:r>
      <w:hyperlink r:id="rId341">
        <w:r>
          <w:rPr>
            <w:rStyle w:val="Hyperlink"/>
          </w:rPr>
          <w:t xml:space="preserve">HHS.gov</w:t>
        </w:r>
      </w:hyperlink>
      <w:r>
        <w:t xml:space="preserve">)</w:t>
      </w:r>
    </w:p>
    <w:p>
      <w:pPr>
        <w:pStyle w:val="Compact"/>
        <w:numPr>
          <w:ilvl w:val="0"/>
          <w:numId w:val="1302"/>
        </w:numPr>
      </w:pPr>
      <w:r>
        <w:rPr>
          <w:b/>
          <w:bCs/>
        </w:rPr>
        <w:t xml:space="preserve">National Conference of State Legislatures.</w:t>
      </w:r>
      <w:r>
        <w:t xml:space="preserve"> </w:t>
      </w:r>
      <w:r>
        <w:rPr>
          <w:b/>
          <w:bCs/>
        </w:rPr>
        <w:t xml:space="preserve">State Critical Infrastructure Laws</w:t>
      </w:r>
      <w:r>
        <w:t xml:space="preserve">. (</w:t>
      </w:r>
      <w:hyperlink r:id="rId342">
        <w:r>
          <w:rPr>
            <w:rStyle w:val="Hyperlink"/>
          </w:rPr>
          <w:t xml:space="preserve">NCSL</w:t>
        </w:r>
      </w:hyperlink>
      <w:r>
        <w:t xml:space="preserve">)</w:t>
      </w:r>
    </w:p>
    <w:p>
      <w:pPr>
        <w:pStyle w:val="Compact"/>
        <w:numPr>
          <w:ilvl w:val="0"/>
          <w:numId w:val="1302"/>
        </w:numPr>
      </w:pPr>
      <w:r>
        <w:rPr>
          <w:b/>
          <w:bCs/>
        </w:rPr>
        <w:t xml:space="preserve">U.S. Government Accountability Office.</w:t>
      </w:r>
      <w:r>
        <w:t xml:space="preserve"> </w:t>
      </w:r>
      <w:r>
        <w:rPr>
          <w:b/>
          <w:bCs/>
        </w:rPr>
        <w:t xml:space="preserve">Federal Health Cybersecurity</w:t>
      </w:r>
      <w:r>
        <w:t xml:space="preserve">. ([GAO][19])</w:t>
      </w:r>
    </w:p>
    <w:p>
      <w:pPr>
        <w:pStyle w:val="Compact"/>
        <w:numPr>
          <w:ilvl w:val="0"/>
          <w:numId w:val="1302"/>
        </w:numPr>
      </w:pPr>
      <w:r>
        <w:rPr>
          <w:b/>
          <w:bCs/>
        </w:rPr>
        <w:t xml:space="preserve">Public Safety Canada.</w:t>
      </w:r>
      <w:r>
        <w:t xml:space="preserve"> </w:t>
      </w:r>
      <w:r>
        <w:rPr>
          <w:b/>
          <w:bCs/>
        </w:rPr>
        <w:t xml:space="preserve">National Strategy for Critical Infrastructure</w:t>
      </w:r>
      <w:r>
        <w:t xml:space="preserve">. ([Public Safety Canada][20])</w:t>
      </w:r>
    </w:p>
    <w:p>
      <w:pPr>
        <w:pStyle w:val="Compact"/>
        <w:numPr>
          <w:ilvl w:val="0"/>
          <w:numId w:val="1302"/>
        </w:numPr>
      </w:pPr>
      <w:r>
        <w:rPr>
          <w:b/>
          <w:bCs/>
        </w:rPr>
        <w:t xml:space="preserve">Ontario Ministry of Health.</w:t>
      </w:r>
      <w:r>
        <w:t xml:space="preserve"> </w:t>
      </w:r>
      <w:r>
        <w:rPr>
          <w:b/>
          <w:bCs/>
        </w:rPr>
        <w:t xml:space="preserve">Emergency Management Framework for Health</w:t>
      </w:r>
      <w:r>
        <w:t xml:space="preserve">. ([Ontario.ca][21])</w:t>
      </w:r>
    </w:p>
    <w:p>
      <w:pPr>
        <w:pStyle w:val="Compact"/>
        <w:numPr>
          <w:ilvl w:val="0"/>
          <w:numId w:val="1302"/>
        </w:numPr>
      </w:pPr>
      <w:r>
        <w:rPr>
          <w:b/>
          <w:bCs/>
        </w:rPr>
        <w:t xml:space="preserve">Canadian Centre for Cyber Security.</w:t>
      </w:r>
      <w:r>
        <w:t xml:space="preserve"> </w:t>
      </w:r>
      <w:r>
        <w:rPr>
          <w:b/>
          <w:bCs/>
        </w:rPr>
        <w:t xml:space="preserve">Cyber Incident Management for Canada’s Health Sector</w:t>
      </w:r>
      <w:r>
        <w:t xml:space="preserve">. ([Cyber.gc.ca][22])</w:t>
      </w:r>
    </w:p>
    <w:p>
      <w:pPr>
        <w:pStyle w:val="Compact"/>
        <w:numPr>
          <w:ilvl w:val="0"/>
          <w:numId w:val="1302"/>
        </w:numPr>
      </w:pPr>
      <w:r>
        <w:rPr>
          <w:b/>
          <w:bCs/>
        </w:rPr>
        <w:t xml:space="preserve">New Zealand Government.</w:t>
      </w:r>
      <w:r>
        <w:t xml:space="preserve"> </w:t>
      </w:r>
      <w:r>
        <w:rPr>
          <w:b/>
          <w:bCs/>
        </w:rPr>
        <w:t xml:space="preserve">Computer Emergency Response Team Act 2016</w:t>
      </w:r>
      <w:r>
        <w:t xml:space="preserve">.</w:t>
      </w:r>
    </w:p>
    <w:p>
      <w:pPr>
        <w:pStyle w:val="Compact"/>
        <w:numPr>
          <w:ilvl w:val="0"/>
          <w:numId w:val="1302"/>
        </w:numPr>
      </w:pPr>
      <w:r>
        <w:rPr>
          <w:b/>
          <w:bCs/>
        </w:rPr>
        <w:t xml:space="preserve">Te Whatu Ora - Health New Zealand.</w:t>
      </w:r>
      <w:r>
        <w:t xml:space="preserve"> </w:t>
      </w:r>
      <w:r>
        <w:rPr>
          <w:b/>
          <w:bCs/>
        </w:rPr>
        <w:t xml:space="preserve">Cybersecurity and Critical Infrastructure Framework (Draft)</w:t>
      </w:r>
      <w:r>
        <w:t xml:space="preserve">.</w:t>
      </w:r>
    </w:p>
    <w:p>
      <w:pPr>
        <w:pStyle w:val="Compact"/>
        <w:numPr>
          <w:ilvl w:val="0"/>
          <w:numId w:val="1302"/>
        </w:numPr>
      </w:pPr>
      <w:r>
        <w:rPr>
          <w:b/>
          <w:bCs/>
        </w:rPr>
        <w:t xml:space="preserve">Bundesamt für Sicherheit in der Informationstechnik (BSI).</w:t>
      </w:r>
      <w:r>
        <w:t xml:space="preserve"> </w:t>
      </w:r>
      <w:r>
        <w:rPr>
          <w:b/>
          <w:bCs/>
        </w:rPr>
        <w:t xml:space="preserve">BSI-KritisV and IT-Sicherheitsgesetz 2.0</w:t>
      </w:r>
      <w:r>
        <w:t xml:space="preserve">. ([BSI][25])</w:t>
      </w:r>
    </w:p>
    <w:p>
      <w:pPr>
        <w:pStyle w:val="Compact"/>
        <w:numPr>
          <w:ilvl w:val="0"/>
          <w:numId w:val="1302"/>
        </w:numPr>
      </w:pPr>
      <w:r>
        <w:rPr>
          <w:b/>
          <w:bCs/>
        </w:rPr>
        <w:t xml:space="preserve">Bundesministerium des Innern und für Heimat.</w:t>
      </w:r>
      <w:r>
        <w:t xml:space="preserve"> </w:t>
      </w:r>
      <w:r>
        <w:rPr>
          <w:b/>
          <w:bCs/>
        </w:rPr>
        <w:t xml:space="preserve">NIS2-Umsetzungsgesetz (NIS2UmsuCG)</w:t>
      </w:r>
      <w:r>
        <w:t xml:space="preserve">. ([BMI][26])</w:t>
      </w:r>
    </w:p>
    <w:p>
      <w:pPr>
        <w:pStyle w:val="Compact"/>
        <w:numPr>
          <w:ilvl w:val="0"/>
          <w:numId w:val="1302"/>
        </w:numPr>
      </w:pPr>
      <w:r>
        <w:rPr>
          <w:b/>
          <w:bCs/>
        </w:rPr>
        <w:t xml:space="preserve">National center of Incident readiness and Strategy for Cybersecurity (NISC), Japan.</w:t>
      </w:r>
      <w:r>
        <w:t xml:space="preserve"> </w:t>
      </w:r>
      <w:r>
        <w:rPr>
          <w:b/>
          <w:bCs/>
        </w:rPr>
        <w:t xml:space="preserve">Cybersecurity Basic Act and Policy Guidelines</w:t>
      </w:r>
      <w:r>
        <w:t xml:space="preserve">. ([NISC][27])</w:t>
      </w:r>
    </w:p>
    <w:p>
      <w:pPr>
        <w:pStyle w:val="Compact"/>
        <w:numPr>
          <w:ilvl w:val="0"/>
          <w:numId w:val="1302"/>
        </w:numPr>
      </w:pPr>
      <w:r>
        <w:rPr>
          <w:b/>
          <w:bCs/>
        </w:rPr>
        <w:t xml:space="preserve">Ministry of Health, Labour and Welfare (MHLW), Japan.</w:t>
      </w:r>
      <w:r>
        <w:t xml:space="preserve"> </w:t>
      </w:r>
      <w:r>
        <w:rPr>
          <w:b/>
          <w:bCs/>
        </w:rPr>
        <w:t xml:space="preserve">Healthcare Information System Security Guidelines</w:t>
      </w:r>
      <w:r>
        <w:t xml:space="preserve">. ([MHLW][28])</w:t>
      </w:r>
    </w:p>
    <w:p>
      <w:pPr>
        <w:pStyle w:val="Compact"/>
        <w:numPr>
          <w:ilvl w:val="0"/>
          <w:numId w:val="1302"/>
        </w:numPr>
      </w:pPr>
      <w:r>
        <w:rPr>
          <w:b/>
          <w:bCs/>
        </w:rPr>
        <w:t xml:space="preserve">Personal Information Protection Commission, Japan.</w:t>
      </w:r>
      <w:r>
        <w:t xml:space="preserve"> </w:t>
      </w:r>
      <w:r>
        <w:rPr>
          <w:b/>
          <w:bCs/>
        </w:rPr>
        <w:t xml:space="preserve">Health Data Breach Reporting</w:t>
      </w:r>
      <w:r>
        <w:t xml:space="preserve">. ([PPC][29])</w:t>
      </w:r>
    </w:p>
    <w:p>
      <w:pPr>
        <w:pStyle w:val="Compact"/>
        <w:numPr>
          <w:ilvl w:val="0"/>
          <w:numId w:val="1302"/>
        </w:numPr>
      </w:pPr>
      <w:r>
        <w:rPr>
          <w:b/>
          <w:bCs/>
        </w:rPr>
        <w:t xml:space="preserve">National People’s Congress, China.</w:t>
      </w:r>
      <w:r>
        <w:t xml:space="preserve"> </w:t>
      </w:r>
      <w:r>
        <w:rPr>
          <w:b/>
          <w:bCs/>
        </w:rPr>
        <w:t xml:space="preserve">Cybersecurity Law of the People’s Republic of China</w:t>
      </w:r>
      <w:r>
        <w:t xml:space="preserve">.</w:t>
      </w:r>
    </w:p>
    <w:p>
      <w:pPr>
        <w:pStyle w:val="Compact"/>
        <w:numPr>
          <w:ilvl w:val="0"/>
          <w:numId w:val="1302"/>
        </w:numPr>
      </w:pPr>
      <w:r>
        <w:rPr>
          <w:b/>
          <w:bCs/>
        </w:rPr>
        <w:t xml:space="preserve">State Council, China.</w:t>
      </w:r>
      <w:r>
        <w:t xml:space="preserve"> </w:t>
      </w:r>
      <w:r>
        <w:rPr>
          <w:b/>
          <w:bCs/>
        </w:rPr>
        <w:t xml:space="preserve">Critical Information Infrastructure Security Protection Regulations</w:t>
      </w:r>
      <w:r>
        <w:t xml:space="preserve">.</w:t>
      </w:r>
    </w:p>
    <w:p>
      <w:pPr>
        <w:pStyle w:val="Compact"/>
        <w:numPr>
          <w:ilvl w:val="0"/>
          <w:numId w:val="1302"/>
        </w:numPr>
      </w:pPr>
      <w:r>
        <w:rPr>
          <w:b/>
          <w:bCs/>
        </w:rPr>
        <w:t xml:space="preserve">Ministry of Public Security, China.</w:t>
      </w:r>
      <w:r>
        <w:t xml:space="preserve"> </w:t>
      </w:r>
      <w:r>
        <w:rPr>
          <w:b/>
          <w:bCs/>
        </w:rPr>
        <w:t xml:space="preserve">Multi-Level Protection Scheme 2.0 Standards</w:t>
      </w:r>
      <w:r>
        <w:t xml:space="preserve">.</w:t>
      </w:r>
    </w:p>
    <w:p>
      <w:pPr>
        <w:pStyle w:val="Compact"/>
        <w:numPr>
          <w:ilvl w:val="0"/>
          <w:numId w:val="1302"/>
        </w:numPr>
      </w:pPr>
      <w:r>
        <w:rPr>
          <w:b/>
          <w:bCs/>
        </w:rPr>
        <w:t xml:space="preserve">National Health Commission, China.</w:t>
      </w:r>
      <w:r>
        <w:t xml:space="preserve"> </w:t>
      </w:r>
      <w:r>
        <w:rPr>
          <w:b/>
          <w:bCs/>
        </w:rPr>
        <w:t xml:space="preserve">Health Critical Information Infrastructure Protection Guidelines</w:t>
      </w:r>
      <w:r>
        <w:t xml:space="preserve">.</w:t>
      </w:r>
    </w:p>
    <w:p>
      <w:pPr>
        <w:pStyle w:val="Compact"/>
        <w:numPr>
          <w:ilvl w:val="0"/>
          <w:numId w:val="1302"/>
        </w:numPr>
      </w:pPr>
      <w:r>
        <w:rPr>
          <w:b/>
          <w:bCs/>
        </w:rPr>
        <w:t xml:space="preserve">Cyberspace Administration of China.</w:t>
      </w:r>
      <w:r>
        <w:t xml:space="preserve"> </w:t>
      </w:r>
      <w:r>
        <w:rPr>
          <w:b/>
          <w:bCs/>
        </w:rPr>
        <w:t xml:space="preserve">CII Security Incident Reporting Requirements</w:t>
      </w:r>
      <w:r>
        <w:t xml:space="preserve">. ([CAC][34])</w:t>
      </w:r>
    </w:p>
    <w:p>
      <w:pPr>
        <w:sectPr>
          <w:footerReference w:type="first" r:id="rId13"/>
          <w:footerReference w:type="default" r:id="rId11"/>
          <w:footerReference w:type="even" r:id="rId10"/>
          <w:type w:val="nextPage"/>
        </w:sectPr>
      </w:pPr>
    </w:p>
    <w:bookmarkEnd w:id="343"/>
    <w:bookmarkEnd w:id="344"/>
    <w:bookmarkStart w:id="347" w:name="Xcea9e0dcb34c0352ea3f82e24737fbe6bcc50ce"/>
    <w:p>
      <w:pPr>
        <w:pStyle w:val="Heading1"/>
      </w:pPr>
      <w:r>
        <w:t xml:space="preserve">Health as a Critical Information / Critical Infrastructure Sector</w:t>
      </w:r>
    </w:p>
    <w:tbl>
      <w:tblPr>
        <w:tblStyle w:val="Table"/>
        <w:tblW w:type="pct" w:w="5000"/>
        <w:tblLayout w:type="fixed"/>
        <w:tblLook w:firstRow="1" w:lastRow="0" w:firstColumn="0" w:lastColumn="0" w:noHBand="0" w:noVBand="0" w:val="0020"/>
      </w:tblPr>
      <w:tblGrid>
        <w:gridCol w:w="576"/>
        <w:gridCol w:w="910"/>
        <w:gridCol w:w="6251"/>
        <w:gridCol w:w="182"/>
      </w:tblGrid>
      <w:tr>
        <w:trPr>
          <w:tblHeader w:val="on"/>
        </w:trPr>
        <w:tc>
          <w:tcPr/>
          <w:p>
            <w:pPr>
              <w:pStyle w:val="Compact"/>
            </w:pPr>
            <w:r>
              <w:t xml:space="preserve">Region</w:t>
            </w:r>
          </w:p>
        </w:tc>
        <w:tc>
          <w:tcPr/>
          <w:p>
            <w:pPr>
              <w:pStyle w:val="Compact"/>
            </w:pPr>
            <w:r>
              <w:t xml:space="preserve">Country</w:t>
            </w:r>
          </w:p>
        </w:tc>
        <w:tc>
          <w:tcPr/>
          <w:p>
            <w:pPr>
              <w:pStyle w:val="Compact"/>
            </w:pPr>
            <w:r>
              <w:t xml:space="preserve">Status (health as CI/CII sector)</w:t>
            </w:r>
          </w:p>
        </w:tc>
        <w:tc>
          <w:tcPr/>
          <w:p>
            <w:pPr>
              <w:pStyle w:val="Compact"/>
            </w:pPr>
            <w:r>
              <w:t xml:space="preserve">Ref(s)</w:t>
            </w:r>
          </w:p>
        </w:tc>
      </w:tr>
      <w:tr>
        <w:tc>
          <w:tcPr/>
          <w:p>
            <w:pPr>
              <w:pStyle w:val="Compact"/>
            </w:pPr>
            <w:r>
              <w:rPr>
                <w:b/>
                <w:bCs/>
              </w:rPr>
              <w:t xml:space="preserve">Latin America</w:t>
            </w:r>
          </w:p>
        </w:tc>
        <w:tc>
          <w:tcPr/>
          <w:p>
            <w:pPr>
              <w:pStyle w:val="Compact"/>
            </w:pPr>
            <w:r>
              <w:rPr>
                <w:b/>
                <w:bCs/>
              </w:rPr>
              <w:t xml:space="preserve">Chile</w:t>
            </w:r>
          </w:p>
        </w:tc>
        <w:tc>
          <w:tcPr/>
          <w:p>
            <w:pPr>
              <w:pStyle w:val="Compact"/>
            </w:pPr>
            <w:r>
              <w:rPr>
                <w:b/>
                <w:bCs/>
              </w:rPr>
              <w:t xml:space="preserve">Explicit (primary):</w:t>
            </w:r>
            <w:r>
              <w:t xml:space="preserve"> </w:t>
            </w:r>
            <w:r>
              <w:t xml:space="preserve">“prestación institucional de servicios de salud” listed as an</w:t>
            </w:r>
            <w:r>
              <w:t xml:space="preserve"> </w:t>
            </w:r>
            <w:r>
              <w:rPr>
                <w:b/>
                <w:bCs/>
              </w:rPr>
              <w:t xml:space="preserve">essential service</w:t>
            </w:r>
            <w:r>
              <w:t xml:space="preserve"> </w:t>
            </w:r>
            <w:r>
              <w:t xml:space="preserve">under the national cybersecurity/critical infrastructure framework</w:t>
            </w:r>
          </w:p>
        </w:tc>
        <w:tc>
          <w:tcPr/>
          <w:p>
            <w:pPr>
              <w:pStyle w:val="Compact"/>
            </w:pPr>
            <w:hyperlink r:id="rId48">
              <w:r>
                <w:rPr>
                  <w:rStyle w:val="Hyperlink"/>
                </w:rPr>
                <w:t xml:space="preserve">1</w:t>
              </w:r>
            </w:hyperlink>
          </w:p>
        </w:tc>
      </w:tr>
      <w:tr>
        <w:tc>
          <w:tcPr/>
          <w:p>
            <w:pPr>
              <w:pStyle w:val="Compact"/>
            </w:pPr>
          </w:p>
        </w:tc>
        <w:tc>
          <w:tcPr/>
          <w:p>
            <w:pPr>
              <w:pStyle w:val="Compact"/>
            </w:pPr>
            <w:r>
              <w:rPr>
                <w:b/>
                <w:bCs/>
              </w:rPr>
              <w:t xml:space="preserve">Mexico</w:t>
            </w:r>
          </w:p>
        </w:tc>
        <w:tc>
          <w:tcPr/>
          <w:p>
            <w:pPr>
              <w:pStyle w:val="Compact"/>
            </w:pPr>
            <w:r>
              <w:rPr>
                <w:b/>
                <w:bCs/>
              </w:rPr>
              <w:t xml:space="preserve">Not confirmed (primary not found in accessible sources):</w:t>
            </w:r>
            <w:r>
              <w:t xml:space="preserve"> </w:t>
            </w:r>
            <w:r>
              <w:t xml:space="preserve">I did not find a government text explicitly listing “health/healthcare” as a CI/CII sector in the sources retrieved for this run</w:t>
            </w:r>
          </w:p>
        </w:tc>
        <w:tc>
          <w:tcPr/>
          <w:p>
            <w:pPr>
              <w:pStyle w:val="Compact"/>
            </w:pPr>
            <w:r>
              <w:t xml:space="preserve">—</w:t>
            </w:r>
          </w:p>
        </w:tc>
      </w:tr>
      <w:tr>
        <w:tc>
          <w:tcPr/>
          <w:p>
            <w:pPr>
              <w:pStyle w:val="Compact"/>
            </w:pPr>
            <w:r>
              <w:rPr>
                <w:b/>
                <w:bCs/>
              </w:rPr>
              <w:t xml:space="preserve">ASEAN</w:t>
            </w:r>
          </w:p>
        </w:tc>
        <w:tc>
          <w:tcPr/>
          <w:p>
            <w:pPr>
              <w:pStyle w:val="Compact"/>
            </w:pPr>
            <w:r>
              <w:rPr>
                <w:b/>
                <w:bCs/>
              </w:rPr>
              <w:t xml:space="preserve">Singapore</w:t>
            </w:r>
          </w:p>
        </w:tc>
        <w:tc>
          <w:tcPr/>
          <w:p>
            <w:pPr>
              <w:pStyle w:val="Compact"/>
            </w:pPr>
            <w:r>
              <w:rPr>
                <w:b/>
                <w:bCs/>
              </w:rPr>
              <w:t xml:space="preserve">Explicit (primary):</w:t>
            </w:r>
            <w:r>
              <w:t xml:space="preserve"> </w:t>
            </w:r>
            <w:r>
              <w:t xml:space="preserve">CSA lists</w:t>
            </w:r>
            <w:r>
              <w:t xml:space="preserve"> </w:t>
            </w:r>
            <w:r>
              <w:rPr>
                <w:b/>
                <w:bCs/>
              </w:rPr>
              <w:t xml:space="preserve">Healthcare</w:t>
            </w:r>
            <w:r>
              <w:t xml:space="preserve"> </w:t>
            </w:r>
            <w:r>
              <w:t xml:space="preserve">among</w:t>
            </w:r>
            <w:r>
              <w:t xml:space="preserve"> </w:t>
            </w:r>
            <w:r>
              <w:rPr>
                <w:b/>
                <w:bCs/>
              </w:rPr>
              <w:t xml:space="preserve">CII sectors</w:t>
            </w:r>
            <w:r>
              <w:t xml:space="preserve"> </w:t>
            </w:r>
            <w:r>
              <w:t xml:space="preserve">under the Cybersecurity Act</w:t>
            </w:r>
          </w:p>
        </w:tc>
        <w:tc>
          <w:tcPr/>
          <w:p>
            <w:pPr>
              <w:pStyle w:val="Compact"/>
            </w:pPr>
            <w:hyperlink r:id="rId49">
              <w:r>
                <w:rPr>
                  <w:rStyle w:val="Hyperlink"/>
                </w:rPr>
                <w:t xml:space="preserve">2</w:t>
              </w:r>
            </w:hyperlink>
          </w:p>
        </w:tc>
      </w:tr>
      <w:tr>
        <w:tc>
          <w:tcPr/>
          <w:p>
            <w:pPr>
              <w:pStyle w:val="Compact"/>
            </w:pPr>
          </w:p>
        </w:tc>
        <w:tc>
          <w:tcPr/>
          <w:p>
            <w:pPr>
              <w:pStyle w:val="Compact"/>
            </w:pPr>
            <w:r>
              <w:rPr>
                <w:b/>
                <w:bCs/>
              </w:rPr>
              <w:t xml:space="preserve">Malaysia</w:t>
            </w:r>
          </w:p>
        </w:tc>
        <w:tc>
          <w:tcPr/>
          <w:p>
            <w:pPr>
              <w:pStyle w:val="Compact"/>
            </w:pPr>
            <w:r>
              <w:rPr>
                <w:b/>
                <w:bCs/>
              </w:rPr>
              <w:t xml:space="preserve">Explicit (primary):</w:t>
            </w:r>
            <w:r>
              <w:t xml:space="preserve"> </w:t>
            </w:r>
            <w:r>
              <w:t xml:space="preserve">NACSA lists</w:t>
            </w:r>
            <w:r>
              <w:t xml:space="preserve"> </w:t>
            </w:r>
            <w:r>
              <w:rPr>
                <w:b/>
                <w:bCs/>
              </w:rPr>
              <w:t xml:space="preserve">Healthcare Services</w:t>
            </w:r>
            <w:r>
              <w:t xml:space="preserve"> </w:t>
            </w:r>
            <w:r>
              <w:t xml:space="preserve">as an NCII sector</w:t>
            </w:r>
          </w:p>
        </w:tc>
        <w:tc>
          <w:tcPr/>
          <w:p>
            <w:pPr>
              <w:pStyle w:val="Compact"/>
            </w:pPr>
            <w:hyperlink r:id="rId50">
              <w:r>
                <w:rPr>
                  <w:rStyle w:val="Hyperlink"/>
                </w:rPr>
                <w:t xml:space="preserve">3</w:t>
              </w:r>
            </w:hyperlink>
          </w:p>
        </w:tc>
      </w:tr>
      <w:tr>
        <w:tc>
          <w:tcPr/>
          <w:p>
            <w:pPr>
              <w:pStyle w:val="Compact"/>
            </w:pPr>
          </w:p>
        </w:tc>
        <w:tc>
          <w:tcPr/>
          <w:p>
            <w:pPr>
              <w:pStyle w:val="Compact"/>
            </w:pPr>
            <w:r>
              <w:rPr>
                <w:b/>
                <w:bCs/>
              </w:rPr>
              <w:t xml:space="preserve">Indonesia</w:t>
            </w:r>
          </w:p>
        </w:tc>
        <w:tc>
          <w:tcPr/>
          <w:p>
            <w:pPr>
              <w:pStyle w:val="Compact"/>
            </w:pPr>
            <w:r>
              <w:rPr>
                <w:b/>
                <w:bCs/>
              </w:rPr>
              <w:t xml:space="preserve">Explicit (primary):</w:t>
            </w:r>
            <w:r>
              <w:t xml:space="preserve"> </w:t>
            </w:r>
            <w:r>
              <w:t xml:space="preserve">official summary of</w:t>
            </w:r>
            <w:r>
              <w:t xml:space="preserve"> </w:t>
            </w:r>
            <w:r>
              <w:rPr>
                <w:b/>
                <w:bCs/>
              </w:rPr>
              <w:t xml:space="preserve">Perpres 82/2022</w:t>
            </w:r>
            <w:r>
              <w:t xml:space="preserve"> </w:t>
            </w:r>
            <w:r>
              <w:t xml:space="preserve">lists</w:t>
            </w:r>
            <w:r>
              <w:t xml:space="preserve"> </w:t>
            </w:r>
            <w:r>
              <w:rPr>
                <w:b/>
                <w:bCs/>
              </w:rPr>
              <w:t xml:space="preserve">Sektor kesehatan</w:t>
            </w:r>
            <w:r>
              <w:t xml:space="preserve"> </w:t>
            </w:r>
            <w:r>
              <w:t xml:space="preserve">as a strategic sector for Vital Information Infrastructure protection</w:t>
            </w:r>
          </w:p>
        </w:tc>
        <w:tc>
          <w:tcPr/>
          <w:p>
            <w:pPr>
              <w:pStyle w:val="Compact"/>
            </w:pPr>
            <w:hyperlink r:id="rId51">
              <w:r>
                <w:rPr>
                  <w:rStyle w:val="Hyperlink"/>
                </w:rPr>
                <w:t xml:space="preserve">4</w:t>
              </w:r>
            </w:hyperlink>
          </w:p>
        </w:tc>
      </w:tr>
      <w:tr>
        <w:tc>
          <w:tcPr/>
          <w:p>
            <w:pPr>
              <w:pStyle w:val="Compact"/>
            </w:pPr>
          </w:p>
        </w:tc>
        <w:tc>
          <w:tcPr/>
          <w:p>
            <w:pPr>
              <w:pStyle w:val="Compact"/>
            </w:pPr>
            <w:r>
              <w:rPr>
                <w:b/>
                <w:bCs/>
              </w:rPr>
              <w:t xml:space="preserve">Thailand</w:t>
            </w:r>
          </w:p>
        </w:tc>
        <w:tc>
          <w:tcPr/>
          <w:p>
            <w:pPr>
              <w:pStyle w:val="Compact"/>
            </w:pPr>
            <w:r>
              <w:rPr>
                <w:b/>
                <w:bCs/>
              </w:rPr>
              <w:t xml:space="preserve">Explicit (secondary):</w:t>
            </w:r>
            <w:r>
              <w:t xml:space="preserve"> </w:t>
            </w:r>
            <w:r>
              <w:t xml:space="preserve">“Public Health” presented as a CII sector under Thailand’s Cybersecurity Act (source is not a government statute page)</w:t>
            </w:r>
          </w:p>
        </w:tc>
        <w:tc>
          <w:tcPr/>
          <w:p>
            <w:pPr>
              <w:pStyle w:val="Compact"/>
            </w:pPr>
            <w:hyperlink r:id="rId52">
              <w:r>
                <w:rPr>
                  <w:rStyle w:val="Hyperlink"/>
                </w:rPr>
                <w:t xml:space="preserve">5</w:t>
              </w:r>
            </w:hyperlink>
          </w:p>
        </w:tc>
      </w:tr>
      <w:tr>
        <w:tc>
          <w:tcPr/>
          <w:p>
            <w:pPr>
              <w:pStyle w:val="Compact"/>
            </w:pPr>
            <w:r>
              <w:rPr>
                <w:b/>
                <w:bCs/>
              </w:rPr>
              <w:t xml:space="preserve">Africa</w:t>
            </w:r>
          </w:p>
        </w:tc>
        <w:tc>
          <w:tcPr/>
          <w:p>
            <w:pPr>
              <w:pStyle w:val="Compact"/>
            </w:pPr>
            <w:r>
              <w:rPr>
                <w:b/>
                <w:bCs/>
              </w:rPr>
              <w:t xml:space="preserve">Ghana</w:t>
            </w:r>
          </w:p>
        </w:tc>
        <w:tc>
          <w:tcPr/>
          <w:p>
            <w:pPr>
              <w:pStyle w:val="Compact"/>
            </w:pPr>
            <w:r>
              <w:rPr>
                <w:b/>
                <w:bCs/>
              </w:rPr>
              <w:t xml:space="preserve">Explicit (primary):</w:t>
            </w:r>
            <w:r>
              <w:t xml:space="preserve"> </w:t>
            </w:r>
            <w:r>
              <w:t xml:space="preserve">CSA directive lists</w:t>
            </w:r>
            <w:r>
              <w:t xml:space="preserve"> </w:t>
            </w:r>
            <w:r>
              <w:rPr>
                <w:b/>
                <w:bCs/>
              </w:rPr>
              <w:t xml:space="preserve">Health</w:t>
            </w:r>
            <w:r>
              <w:t xml:space="preserve"> </w:t>
            </w:r>
            <w:r>
              <w:t xml:space="preserve">as a Critical Information Infrastructure sector</w:t>
            </w:r>
          </w:p>
        </w:tc>
        <w:tc>
          <w:tcPr/>
          <w:p>
            <w:pPr>
              <w:pStyle w:val="Compact"/>
            </w:pPr>
            <w:hyperlink r:id="rId53">
              <w:r>
                <w:rPr>
                  <w:rStyle w:val="Hyperlink"/>
                </w:rPr>
                <w:t xml:space="preserve">6</w:t>
              </w:r>
            </w:hyperlink>
          </w:p>
        </w:tc>
      </w:tr>
      <w:tr>
        <w:tc>
          <w:tcPr/>
          <w:p>
            <w:pPr>
              <w:pStyle w:val="Compact"/>
            </w:pPr>
          </w:p>
        </w:tc>
        <w:tc>
          <w:tcPr/>
          <w:p>
            <w:pPr>
              <w:pStyle w:val="Compact"/>
            </w:pPr>
            <w:r>
              <w:rPr>
                <w:b/>
                <w:bCs/>
              </w:rPr>
              <w:t xml:space="preserve">Kenya</w:t>
            </w:r>
          </w:p>
        </w:tc>
        <w:tc>
          <w:tcPr/>
          <w:p>
            <w:pPr>
              <w:pStyle w:val="Compact"/>
            </w:pPr>
            <w:r>
              <w:rPr>
                <w:b/>
                <w:bCs/>
              </w:rPr>
              <w:t xml:space="preserve">Explicit (primary):</w:t>
            </w:r>
            <w:r>
              <w:t xml:space="preserve"> </w:t>
            </w:r>
            <w:r>
              <w:t xml:space="preserve">national coordination body list includes</w:t>
            </w:r>
            <w:r>
              <w:t xml:space="preserve"> </w:t>
            </w:r>
            <w:r>
              <w:rPr>
                <w:b/>
                <w:bCs/>
              </w:rPr>
              <w:t xml:space="preserve">health</w:t>
            </w:r>
            <w:r>
              <w:t xml:space="preserve"> </w:t>
            </w:r>
            <w:r>
              <w:t xml:space="preserve">among CII sectors</w:t>
            </w:r>
          </w:p>
        </w:tc>
        <w:tc>
          <w:tcPr/>
          <w:p>
            <w:pPr>
              <w:pStyle w:val="Compact"/>
            </w:pPr>
            <w:hyperlink r:id="rId93">
              <w:r>
                <w:rPr>
                  <w:rStyle w:val="Hyperlink"/>
                </w:rPr>
                <w:t xml:space="preserve">7</w:t>
              </w:r>
            </w:hyperlink>
          </w:p>
        </w:tc>
      </w:tr>
      <w:tr>
        <w:tc>
          <w:tcPr/>
          <w:p>
            <w:pPr>
              <w:pStyle w:val="Compact"/>
            </w:pPr>
          </w:p>
        </w:tc>
        <w:tc>
          <w:tcPr/>
          <w:p>
            <w:pPr>
              <w:pStyle w:val="Compact"/>
            </w:pPr>
            <w:r>
              <w:rPr>
                <w:b/>
                <w:bCs/>
              </w:rPr>
              <w:t xml:space="preserve">Nigeria</w:t>
            </w:r>
          </w:p>
        </w:tc>
        <w:tc>
          <w:tcPr/>
          <w:p>
            <w:pPr>
              <w:pStyle w:val="Compact"/>
            </w:pPr>
            <w:r>
              <w:rPr>
                <w:b/>
                <w:bCs/>
              </w:rPr>
              <w:t xml:space="preserve">Explicit (primary):</w:t>
            </w:r>
            <w:r>
              <w:t xml:space="preserve"> </w:t>
            </w:r>
            <w:r>
              <w:t xml:space="preserve">national cybersecurity policy/strategy text includes</w:t>
            </w:r>
            <w:r>
              <w:t xml:space="preserve"> </w:t>
            </w:r>
            <w:r>
              <w:rPr>
                <w:b/>
                <w:bCs/>
              </w:rPr>
              <w:t xml:space="preserve">Public Health and Healthcare Sector</w:t>
            </w:r>
          </w:p>
        </w:tc>
        <w:tc>
          <w:tcPr/>
          <w:p>
            <w:pPr>
              <w:pStyle w:val="Compact"/>
            </w:pPr>
            <w:hyperlink r:id="rId94">
              <w:r>
                <w:rPr>
                  <w:rStyle w:val="Hyperlink"/>
                </w:rPr>
                <w:t xml:space="preserve">8</w:t>
              </w:r>
            </w:hyperlink>
          </w:p>
        </w:tc>
      </w:tr>
      <w:tr>
        <w:tc>
          <w:tcPr/>
          <w:p>
            <w:pPr>
              <w:pStyle w:val="Compact"/>
            </w:pPr>
          </w:p>
        </w:tc>
        <w:tc>
          <w:tcPr/>
          <w:p>
            <w:pPr>
              <w:pStyle w:val="Compact"/>
            </w:pPr>
            <w:r>
              <w:rPr>
                <w:b/>
                <w:bCs/>
              </w:rPr>
              <w:t xml:space="preserve">Egypt</w:t>
            </w:r>
          </w:p>
        </w:tc>
        <w:tc>
          <w:tcPr/>
          <w:p>
            <w:pPr>
              <w:pStyle w:val="Compact"/>
            </w:pPr>
            <w:r>
              <w:rPr>
                <w:b/>
                <w:bCs/>
              </w:rPr>
              <w:t xml:space="preserve">Not confirmed (primary not found in accessible sources):</w:t>
            </w:r>
            <w:r>
              <w:t xml:space="preserve"> </w:t>
            </w:r>
            <w:r>
              <w:t xml:space="preserve">a strategy launch page was found, but the</w:t>
            </w:r>
            <w:r>
              <w:t xml:space="preserve"> </w:t>
            </w:r>
            <w:r>
              <w:rPr>
                <w:b/>
                <w:bCs/>
              </w:rPr>
              <w:t xml:space="preserve">sector list including health</w:t>
            </w:r>
            <w:r>
              <w:t xml:space="preserve"> </w:t>
            </w:r>
            <w:r>
              <w:t xml:space="preserve">was not located in an accessible primary document in this run</w:t>
            </w:r>
          </w:p>
        </w:tc>
        <w:tc>
          <w:tcPr/>
          <w:p>
            <w:pPr>
              <w:pStyle w:val="Compact"/>
            </w:pPr>
            <w:hyperlink r:id="rId96">
              <w:r>
                <w:rPr>
                  <w:rStyle w:val="Hyperlink"/>
                </w:rPr>
                <w:t xml:space="preserve">9</w:t>
              </w:r>
            </w:hyperlink>
          </w:p>
        </w:tc>
      </w:tr>
      <w:tr>
        <w:tc>
          <w:tcPr/>
          <w:p>
            <w:pPr>
              <w:pStyle w:val="Compact"/>
            </w:pPr>
            <w:r>
              <w:rPr>
                <w:b/>
                <w:bCs/>
              </w:rPr>
              <w:t xml:space="preserve">Middle East</w:t>
            </w:r>
          </w:p>
        </w:tc>
        <w:tc>
          <w:tcPr/>
          <w:p>
            <w:pPr>
              <w:pStyle w:val="Compact"/>
            </w:pPr>
            <w:r>
              <w:rPr>
                <w:b/>
                <w:bCs/>
              </w:rPr>
              <w:t xml:space="preserve">Bahrain</w:t>
            </w:r>
          </w:p>
        </w:tc>
        <w:tc>
          <w:tcPr/>
          <w:p>
            <w:pPr>
              <w:pStyle w:val="Compact"/>
            </w:pPr>
            <w:r>
              <w:rPr>
                <w:b/>
                <w:bCs/>
              </w:rPr>
              <w:t xml:space="preserve">Explicit (primary/official):</w:t>
            </w:r>
            <w:r>
              <w:t xml:space="preserve"> </w:t>
            </w:r>
            <w:r>
              <w:t xml:space="preserve">National Cybersecurity Center lists</w:t>
            </w:r>
            <w:r>
              <w:t xml:space="preserve"> </w:t>
            </w:r>
            <w:r>
              <w:rPr>
                <w:b/>
                <w:bCs/>
              </w:rPr>
              <w:t xml:space="preserve">Health Services</w:t>
            </w:r>
            <w:r>
              <w:t xml:space="preserve"> </w:t>
            </w:r>
            <w:r>
              <w:t xml:space="preserve">as a CNI sector</w:t>
            </w:r>
          </w:p>
        </w:tc>
        <w:tc>
          <w:tcPr/>
          <w:p>
            <w:pPr>
              <w:pStyle w:val="Compact"/>
            </w:pPr>
            <w:hyperlink r:id="rId116">
              <w:r>
                <w:rPr>
                  <w:rStyle w:val="Hyperlink"/>
                </w:rPr>
                <w:t xml:space="preserve">10</w:t>
              </w:r>
            </w:hyperlink>
          </w:p>
        </w:tc>
      </w:tr>
      <w:tr>
        <w:tc>
          <w:tcPr/>
          <w:p>
            <w:pPr>
              <w:pStyle w:val="Compact"/>
            </w:pPr>
          </w:p>
        </w:tc>
        <w:tc>
          <w:tcPr/>
          <w:p>
            <w:pPr>
              <w:pStyle w:val="Compact"/>
            </w:pPr>
            <w:r>
              <w:rPr>
                <w:b/>
                <w:bCs/>
              </w:rPr>
              <w:t xml:space="preserve">Qatar</w:t>
            </w:r>
          </w:p>
        </w:tc>
        <w:tc>
          <w:tcPr/>
          <w:p>
            <w:pPr>
              <w:pStyle w:val="Compact"/>
            </w:pPr>
            <w:r>
              <w:rPr>
                <w:b/>
                <w:bCs/>
              </w:rPr>
              <w:t xml:space="preserve">Not confirmed (primary not found in accessible sources):</w:t>
            </w:r>
            <w:r>
              <w:t xml:space="preserve"> </w:t>
            </w:r>
            <w:r>
              <w:t xml:space="preserve">I only retrieved a news report about the strategy launch (no official sector list including health found in this run)</w:t>
            </w:r>
          </w:p>
        </w:tc>
        <w:tc>
          <w:tcPr/>
          <w:p>
            <w:pPr>
              <w:pStyle w:val="Compact"/>
            </w:pPr>
            <w:hyperlink r:id="rId118">
              <w:r>
                <w:rPr>
                  <w:rStyle w:val="Hyperlink"/>
                </w:rPr>
                <w:t xml:space="preserve">11</w:t>
              </w:r>
            </w:hyperlink>
          </w:p>
        </w:tc>
      </w:tr>
      <w:tr>
        <w:tc>
          <w:tcPr/>
          <w:p>
            <w:pPr>
              <w:pStyle w:val="Compact"/>
            </w:pPr>
          </w:p>
        </w:tc>
        <w:tc>
          <w:tcPr/>
          <w:p>
            <w:pPr>
              <w:pStyle w:val="Compact"/>
            </w:pPr>
            <w:r>
              <w:rPr>
                <w:b/>
                <w:bCs/>
              </w:rPr>
              <w:t xml:space="preserve">United Arab Emirates (UAE)</w:t>
            </w:r>
          </w:p>
        </w:tc>
        <w:tc>
          <w:tcPr/>
          <w:p>
            <w:pPr>
              <w:pStyle w:val="Compact"/>
            </w:pPr>
            <w:r>
              <w:rPr>
                <w:b/>
                <w:bCs/>
              </w:rPr>
              <w:t xml:space="preserve">Explicit (official portal copy):</w:t>
            </w:r>
            <w:r>
              <w:t xml:space="preserve"> </w:t>
            </w:r>
            <w:r>
              <w:t xml:space="preserve">lists</w:t>
            </w:r>
            <w:r>
              <w:t xml:space="preserve"> </w:t>
            </w:r>
            <w:r>
              <w:rPr>
                <w:b/>
                <w:bCs/>
              </w:rPr>
              <w:t xml:space="preserve">Health services</w:t>
            </w:r>
            <w:r>
              <w:t xml:space="preserve"> </w:t>
            </w:r>
            <w:r>
              <w:t xml:space="preserve">among protected critical asset sectors</w:t>
            </w:r>
          </w:p>
        </w:tc>
        <w:tc>
          <w:tcPr/>
          <w:p>
            <w:pPr>
              <w:pStyle w:val="Compact"/>
            </w:pPr>
            <w:hyperlink r:id="rId120">
              <w:r>
                <w:rPr>
                  <w:rStyle w:val="Hyperlink"/>
                </w:rPr>
                <w:t xml:space="preserve">12</w:t>
              </w:r>
            </w:hyperlink>
          </w:p>
        </w:tc>
      </w:tr>
      <w:tr>
        <w:tc>
          <w:tcPr/>
          <w:p>
            <w:pPr>
              <w:pStyle w:val="Compact"/>
            </w:pPr>
            <w:r>
              <w:rPr>
                <w:b/>
                <w:bCs/>
              </w:rPr>
              <w:t xml:space="preserve">Central Asia</w:t>
            </w:r>
          </w:p>
        </w:tc>
        <w:tc>
          <w:tcPr/>
          <w:p>
            <w:pPr>
              <w:pStyle w:val="Compact"/>
            </w:pPr>
            <w:r>
              <w:rPr>
                <w:b/>
                <w:bCs/>
              </w:rPr>
              <w:t xml:space="preserve">Kazakhstan</w:t>
            </w:r>
          </w:p>
        </w:tc>
        <w:tc>
          <w:tcPr/>
          <w:p>
            <w:pPr>
              <w:pStyle w:val="Compact"/>
            </w:pPr>
            <w:r>
              <w:rPr>
                <w:b/>
                <w:bCs/>
              </w:rPr>
              <w:t xml:space="preserve">Explicit (primary):</w:t>
            </w:r>
            <w:r>
              <w:t xml:space="preserve"> </w:t>
            </w:r>
            <w:r>
              <w:t xml:space="preserve">definition/rules for “critical information and communication infrastructure” explicitly include</w:t>
            </w:r>
            <w:r>
              <w:t xml:space="preserve"> </w:t>
            </w:r>
            <w:r>
              <w:rPr>
                <w:b/>
                <w:bCs/>
              </w:rPr>
              <w:t xml:space="preserve">healthcare</w:t>
            </w:r>
          </w:p>
        </w:tc>
        <w:tc>
          <w:tcPr/>
          <w:p>
            <w:pPr>
              <w:pStyle w:val="Compact"/>
            </w:pPr>
            <w:hyperlink r:id="rId338">
              <w:r>
                <w:rPr>
                  <w:rStyle w:val="Hyperlink"/>
                </w:rPr>
                <w:t xml:space="preserve">13</w:t>
              </w:r>
            </w:hyperlink>
          </w:p>
        </w:tc>
      </w:tr>
      <w:tr>
        <w:tc>
          <w:tcPr/>
          <w:p>
            <w:pPr>
              <w:pStyle w:val="Compact"/>
            </w:pPr>
          </w:p>
        </w:tc>
        <w:tc>
          <w:tcPr/>
          <w:p>
            <w:pPr>
              <w:pStyle w:val="Compact"/>
            </w:pPr>
            <w:r>
              <w:rPr>
                <w:b/>
                <w:bCs/>
              </w:rPr>
              <w:t xml:space="preserve">Kyrgyz Republic</w:t>
            </w:r>
          </w:p>
        </w:tc>
        <w:tc>
          <w:tcPr/>
          <w:p>
            <w:pPr>
              <w:pStyle w:val="Compact"/>
            </w:pPr>
            <w:r>
              <w:rPr>
                <w:b/>
                <w:bCs/>
              </w:rPr>
              <w:t xml:space="preserve">Explicit (primary):</w:t>
            </w:r>
            <w:r>
              <w:t xml:space="preserve"> </w:t>
            </w:r>
            <w:r>
              <w:t xml:space="preserve">definition of “critical information infrastructure” includes the field of</w:t>
            </w:r>
            <w:r>
              <w:t xml:space="preserve"> </w:t>
            </w:r>
            <w:r>
              <w:rPr>
                <w:b/>
                <w:bCs/>
              </w:rPr>
              <w:t xml:space="preserve">healthcare</w:t>
            </w:r>
          </w:p>
        </w:tc>
        <w:tc>
          <w:tcPr/>
          <w:p>
            <w:pPr>
              <w:pStyle w:val="Compact"/>
            </w:pPr>
            <w:hyperlink r:id="rId345">
              <w:r>
                <w:rPr>
                  <w:rStyle w:val="Hyperlink"/>
                </w:rPr>
                <w:t xml:space="preserve">14</w:t>
              </w:r>
            </w:hyperlink>
          </w:p>
        </w:tc>
      </w:tr>
      <w:tr>
        <w:tc>
          <w:tcPr/>
          <w:p>
            <w:pPr>
              <w:pStyle w:val="Compact"/>
            </w:pPr>
            <w:r>
              <w:rPr>
                <w:b/>
                <w:bCs/>
              </w:rPr>
              <w:t xml:space="preserve">Southern Africa</w:t>
            </w:r>
          </w:p>
        </w:tc>
        <w:tc>
          <w:tcPr/>
          <w:p>
            <w:pPr>
              <w:pStyle w:val="Compact"/>
            </w:pPr>
            <w:r>
              <w:rPr>
                <w:b/>
                <w:bCs/>
              </w:rPr>
              <w:t xml:space="preserve">Zambia</w:t>
            </w:r>
          </w:p>
        </w:tc>
        <w:tc>
          <w:tcPr/>
          <w:p>
            <w:pPr>
              <w:pStyle w:val="Compact"/>
            </w:pPr>
            <w:r>
              <w:rPr>
                <w:b/>
                <w:bCs/>
              </w:rPr>
              <w:t xml:space="preserve">Explicit (primary):</w:t>
            </w:r>
            <w:r>
              <w:t xml:space="preserve"> </w:t>
            </w:r>
            <w:r>
              <w:t xml:space="preserve">Cyber Security Act defines “critical sector” and explicitly includes</w:t>
            </w:r>
            <w:r>
              <w:t xml:space="preserve"> </w:t>
            </w:r>
            <w:r>
              <w:rPr>
                <w:b/>
                <w:bCs/>
              </w:rPr>
              <w:t xml:space="preserve">health</w:t>
            </w:r>
          </w:p>
        </w:tc>
        <w:tc>
          <w:tcPr/>
          <w:p>
            <w:pPr>
              <w:pStyle w:val="Compact"/>
            </w:pPr>
            <w:hyperlink r:id="rId339">
              <w:r>
                <w:rPr>
                  <w:rStyle w:val="Hyperlink"/>
                </w:rPr>
                <w:t xml:space="preserve">15</w:t>
              </w:r>
            </w:hyperlink>
          </w:p>
        </w:tc>
      </w:tr>
      <w:tr>
        <w:tc>
          <w:tcPr/>
          <w:p>
            <w:pPr>
              <w:pStyle w:val="Compact"/>
            </w:pPr>
          </w:p>
        </w:tc>
        <w:tc>
          <w:tcPr/>
          <w:p>
            <w:pPr>
              <w:pStyle w:val="Compact"/>
            </w:pPr>
            <w:r>
              <w:rPr>
                <w:b/>
                <w:bCs/>
              </w:rPr>
              <w:t xml:space="preserve">Botswana</w:t>
            </w:r>
          </w:p>
        </w:tc>
        <w:tc>
          <w:tcPr/>
          <w:p>
            <w:pPr>
              <w:pStyle w:val="Compact"/>
            </w:pPr>
            <w:r>
              <w:rPr>
                <w:b/>
                <w:bCs/>
              </w:rPr>
              <w:t xml:space="preserve">Explicit (primary):</w:t>
            </w:r>
            <w:r>
              <w:t xml:space="preserve"> </w:t>
            </w:r>
            <w:r>
              <w:t xml:space="preserve">national cybersecurity strategy lists critical infrastructure sectors including</w:t>
            </w:r>
            <w:r>
              <w:t xml:space="preserve"> </w:t>
            </w:r>
            <w:r>
              <w:rPr>
                <w:b/>
                <w:bCs/>
              </w:rPr>
              <w:t xml:space="preserve">health</w:t>
            </w:r>
          </w:p>
        </w:tc>
        <w:tc>
          <w:tcPr/>
          <w:p>
            <w:pPr>
              <w:pStyle w:val="Compact"/>
            </w:pPr>
            <w:hyperlink r:id="rId340">
              <w:r>
                <w:rPr>
                  <w:rStyle w:val="Hyperlink"/>
                </w:rPr>
                <w:t xml:space="preserve">16</w:t>
              </w:r>
            </w:hyperlink>
          </w:p>
        </w:tc>
      </w:tr>
      <w:tr>
        <w:tc>
          <w:tcPr/>
          <w:p>
            <w:pPr>
              <w:pStyle w:val="Compact"/>
            </w:pPr>
            <w:r>
              <w:rPr>
                <w:b/>
                <w:bCs/>
              </w:rPr>
              <w:t xml:space="preserve">Eastern Europe</w:t>
            </w:r>
          </w:p>
        </w:tc>
        <w:tc>
          <w:tcPr/>
          <w:p>
            <w:pPr>
              <w:pStyle w:val="Compact"/>
            </w:pPr>
            <w:r>
              <w:rPr>
                <w:b/>
                <w:bCs/>
              </w:rPr>
              <w:t xml:space="preserve">Russia</w:t>
            </w:r>
          </w:p>
        </w:tc>
        <w:tc>
          <w:tcPr/>
          <w:p>
            <w:pPr>
              <w:pStyle w:val="Compact"/>
            </w:pPr>
            <w:r>
              <w:rPr>
                <w:b/>
                <w:bCs/>
              </w:rPr>
              <w:t xml:space="preserve">Explicit (secondary compilation of legal text):</w:t>
            </w:r>
            <w:r>
              <w:t xml:space="preserve"> </w:t>
            </w:r>
            <w:r>
              <w:t xml:space="preserve">law scope statement includes systems functioning in the sphere of</w:t>
            </w:r>
            <w:r>
              <w:t xml:space="preserve"> </w:t>
            </w:r>
            <w:r>
              <w:rPr>
                <w:b/>
                <w:bCs/>
              </w:rPr>
              <w:t xml:space="preserve">healthcare (здравоохранения)</w:t>
            </w:r>
          </w:p>
        </w:tc>
        <w:tc>
          <w:tcPr/>
          <w:p>
            <w:pPr>
              <w:pStyle w:val="Compact"/>
            </w:pPr>
            <w:hyperlink r:id="rId341">
              <w:r>
                <w:rPr>
                  <w:rStyle w:val="Hyperlink"/>
                </w:rPr>
                <w:t xml:space="preserve">17</w:t>
              </w:r>
            </w:hyperlink>
          </w:p>
        </w:tc>
      </w:tr>
      <w:tr>
        <w:tc>
          <w:tcPr/>
          <w:p>
            <w:pPr>
              <w:pStyle w:val="Compact"/>
            </w:pPr>
          </w:p>
        </w:tc>
        <w:tc>
          <w:tcPr/>
          <w:p>
            <w:pPr>
              <w:pStyle w:val="Compact"/>
            </w:pPr>
            <w:r>
              <w:rPr>
                <w:b/>
                <w:bCs/>
              </w:rPr>
              <w:t xml:space="preserve">Ukraine</w:t>
            </w:r>
          </w:p>
        </w:tc>
        <w:tc>
          <w:tcPr/>
          <w:p>
            <w:pPr>
              <w:pStyle w:val="Compact"/>
            </w:pPr>
            <w:r>
              <w:rPr>
                <w:b/>
                <w:bCs/>
              </w:rPr>
              <w:t xml:space="preserve">Not confirmed (primary not found in accessible sources):</w:t>
            </w:r>
            <w:r>
              <w:t xml:space="preserve"> </w:t>
            </w:r>
            <w:r>
              <w:t xml:space="preserve">I retrieved official legal portals for “critical infrastructure” concepts, but not an accessible sector list explicitly naming health in this run</w:t>
            </w:r>
          </w:p>
        </w:tc>
        <w:tc>
          <w:tcPr/>
          <w:p>
            <w:pPr>
              <w:pStyle w:val="Compact"/>
            </w:pPr>
            <w:hyperlink r:id="rId342">
              <w:r>
                <w:rPr>
                  <w:rStyle w:val="Hyperlink"/>
                </w:rPr>
                <w:t xml:space="preserve">18</w:t>
              </w:r>
            </w:hyperlink>
          </w:p>
        </w:tc>
      </w:tr>
    </w:tbl>
    <w:bookmarkStart w:id="346" w:name="references-global-overview"/>
    <w:p>
      <w:pPr>
        <w:pStyle w:val="Heading2"/>
      </w:pPr>
      <w:r>
        <w:t xml:space="preserve">References (Global Overview)</w:t>
      </w:r>
    </w:p>
    <w:p>
      <w:pPr>
        <w:pStyle w:val="Compact"/>
        <w:numPr>
          <w:ilvl w:val="0"/>
          <w:numId w:val="1303"/>
        </w:numPr>
      </w:pPr>
      <w:r>
        <w:rPr>
          <w:b/>
          <w:bCs/>
        </w:rPr>
        <w:t xml:space="preserve">Government of Chile (Ministerio del Interior / CSIRT Gov).</w:t>
      </w:r>
      <w:r>
        <w:t xml:space="preserve"> </w:t>
      </w:r>
      <w:r>
        <w:rPr>
          <w:b/>
          <w:bCs/>
        </w:rPr>
        <w:t xml:space="preserve">Framework for Essential Services</w:t>
      </w:r>
      <w:r>
        <w:t xml:space="preserve">. (</w:t>
      </w:r>
      <w:hyperlink r:id="rId48">
        <w:r>
          <w:rPr>
            <w:rStyle w:val="Hyperlink"/>
          </w:rPr>
          <w:t xml:space="preserve">Interior.gob.cl</w:t>
        </w:r>
      </w:hyperlink>
      <w:r>
        <w:t xml:space="preserve">)</w:t>
      </w:r>
    </w:p>
    <w:p>
      <w:pPr>
        <w:pStyle w:val="Compact"/>
        <w:numPr>
          <w:ilvl w:val="0"/>
          <w:numId w:val="1303"/>
        </w:numPr>
      </w:pPr>
      <w:r>
        <w:rPr>
          <w:b/>
          <w:bCs/>
        </w:rPr>
        <w:t xml:space="preserve">Cyber Security Agency of Singapore (CSA).</w:t>
      </w:r>
      <w:r>
        <w:t xml:space="preserve"> </w:t>
      </w:r>
      <w:r>
        <w:rPr>
          <w:b/>
          <w:bCs/>
        </w:rPr>
        <w:t xml:space="preserve">Cybersecurity Act: CII Sectors</w:t>
      </w:r>
      <w:r>
        <w:t xml:space="preserve">. (</w:t>
      </w:r>
      <w:hyperlink r:id="rId49">
        <w:r>
          <w:rPr>
            <w:rStyle w:val="Hyperlink"/>
          </w:rPr>
          <w:t xml:space="preserve">CSA</w:t>
        </w:r>
      </w:hyperlink>
      <w:r>
        <w:t xml:space="preserve">)</w:t>
      </w:r>
    </w:p>
    <w:p>
      <w:pPr>
        <w:pStyle w:val="Compact"/>
        <w:numPr>
          <w:ilvl w:val="0"/>
          <w:numId w:val="1303"/>
        </w:numPr>
      </w:pPr>
      <w:r>
        <w:rPr>
          <w:b/>
          <w:bCs/>
        </w:rPr>
        <w:t xml:space="preserve">National Cyber Security Agency (NACSA), Malaysia.</w:t>
      </w:r>
      <w:r>
        <w:t xml:space="preserve"> </w:t>
      </w:r>
      <w:r>
        <w:rPr>
          <w:b/>
          <w:bCs/>
        </w:rPr>
        <w:t xml:space="preserve">NCII Sectors Listing</w:t>
      </w:r>
      <w:r>
        <w:t xml:space="preserve">. (</w:t>
      </w:r>
      <w:hyperlink r:id="rId50">
        <w:r>
          <w:rPr>
            <w:rStyle w:val="Hyperlink"/>
          </w:rPr>
          <w:t xml:space="preserve">NACSA</w:t>
        </w:r>
      </w:hyperlink>
      <w:r>
        <w:t xml:space="preserve">)</w:t>
      </w:r>
    </w:p>
    <w:p>
      <w:pPr>
        <w:pStyle w:val="Compact"/>
        <w:numPr>
          <w:ilvl w:val="0"/>
          <w:numId w:val="1303"/>
        </w:numPr>
      </w:pPr>
      <w:r>
        <w:rPr>
          <w:b/>
          <w:bCs/>
        </w:rPr>
        <w:t xml:space="preserve">Sekretariat Kabinet Republik Indonesia (Setkab).</w:t>
      </w:r>
      <w:r>
        <w:t xml:space="preserve"> </w:t>
      </w:r>
      <w:r>
        <w:rPr>
          <w:b/>
          <w:bCs/>
        </w:rPr>
        <w:t xml:space="preserve">Perpres 82/2022 Summary</w:t>
      </w:r>
      <w:r>
        <w:t xml:space="preserve">. (</w:t>
      </w:r>
      <w:hyperlink r:id="rId51">
        <w:r>
          <w:rPr>
            <w:rStyle w:val="Hyperlink"/>
          </w:rPr>
          <w:t xml:space="preserve">Setkab.go.id</w:t>
        </w:r>
      </w:hyperlink>
      <w:r>
        <w:t xml:space="preserve">)</w:t>
      </w:r>
    </w:p>
    <w:p>
      <w:pPr>
        <w:pStyle w:val="Compact"/>
        <w:numPr>
          <w:ilvl w:val="0"/>
          <w:numId w:val="1303"/>
        </w:numPr>
      </w:pPr>
      <w:r>
        <w:rPr>
          <w:b/>
          <w:bCs/>
        </w:rPr>
        <w:t xml:space="preserve">Thailand Cybersecurity Act Overview</w:t>
      </w:r>
      <w:r>
        <w:t xml:space="preserve">. (</w:t>
      </w:r>
      <w:hyperlink r:id="rId52">
        <w:r>
          <w:rPr>
            <w:rStyle w:val="Hyperlink"/>
          </w:rPr>
          <w:t xml:space="preserve">ABB</w:t>
        </w:r>
      </w:hyperlink>
      <w:r>
        <w:t xml:space="preserve">)</w:t>
      </w:r>
    </w:p>
    <w:p>
      <w:pPr>
        <w:pStyle w:val="Compact"/>
        <w:numPr>
          <w:ilvl w:val="0"/>
          <w:numId w:val="1303"/>
        </w:numPr>
      </w:pPr>
      <w:r>
        <w:rPr>
          <w:b/>
          <w:bCs/>
        </w:rPr>
        <w:t xml:space="preserve">Cyber Security Authority, Ghana.</w:t>
      </w:r>
      <w:r>
        <w:t xml:space="preserve"> </w:t>
      </w:r>
      <w:r>
        <w:rPr>
          <w:b/>
          <w:bCs/>
        </w:rPr>
        <w:t xml:space="preserve">CII Sector Directive</w:t>
      </w:r>
      <w:r>
        <w:t xml:space="preserve">. (</w:t>
      </w:r>
      <w:hyperlink r:id="rId53">
        <w:r>
          <w:rPr>
            <w:rStyle w:val="Hyperlink"/>
          </w:rPr>
          <w:t xml:space="preserve">CSA.gov.gh</w:t>
        </w:r>
      </w:hyperlink>
      <w:r>
        <w:t xml:space="preserve">)</w:t>
      </w:r>
    </w:p>
    <w:p>
      <w:pPr>
        <w:pStyle w:val="Compact"/>
        <w:numPr>
          <w:ilvl w:val="0"/>
          <w:numId w:val="1303"/>
        </w:numPr>
      </w:pPr>
      <w:r>
        <w:rPr>
          <w:b/>
          <w:bCs/>
        </w:rPr>
        <w:t xml:space="preserve">National Cybersecurity Coordination Committee (NC4), Kenya.</w:t>
      </w:r>
      <w:r>
        <w:t xml:space="preserve"> </w:t>
      </w:r>
      <w:r>
        <w:rPr>
          <w:b/>
          <w:bCs/>
        </w:rPr>
        <w:t xml:space="preserve">CII Sector Listing</w:t>
      </w:r>
      <w:r>
        <w:t xml:space="preserve">. (</w:t>
      </w:r>
      <w:hyperlink r:id="rId93">
        <w:r>
          <w:rPr>
            <w:rStyle w:val="Hyperlink"/>
          </w:rPr>
          <w:t xml:space="preserve">NC4</w:t>
        </w:r>
      </w:hyperlink>
      <w:r>
        <w:t xml:space="preserve">)</w:t>
      </w:r>
    </w:p>
    <w:p>
      <w:pPr>
        <w:pStyle w:val="Compact"/>
        <w:numPr>
          <w:ilvl w:val="0"/>
          <w:numId w:val="1303"/>
        </w:numPr>
      </w:pPr>
      <w:r>
        <w:rPr>
          <w:b/>
          <w:bCs/>
        </w:rPr>
        <w:t xml:space="preserve">ngCERT (Nigeria).</w:t>
      </w:r>
      <w:r>
        <w:t xml:space="preserve"> </w:t>
      </w:r>
      <w:r>
        <w:rPr>
          <w:b/>
          <w:bCs/>
        </w:rPr>
        <w:t xml:space="preserve">National Cybersecurity Policy &amp; Strategy</w:t>
      </w:r>
      <w:r>
        <w:t xml:space="preserve">. (</w:t>
      </w:r>
      <w:hyperlink r:id="rId94">
        <w:r>
          <w:rPr>
            <w:rStyle w:val="Hyperlink"/>
          </w:rPr>
          <w:t xml:space="preserve">ngCERT</w:t>
        </w:r>
      </w:hyperlink>
      <w:r>
        <w:t xml:space="preserve">)</w:t>
      </w:r>
    </w:p>
    <w:p>
      <w:pPr>
        <w:pStyle w:val="Compact"/>
        <w:numPr>
          <w:ilvl w:val="0"/>
          <w:numId w:val="1303"/>
        </w:numPr>
      </w:pPr>
      <w:r>
        <w:rPr>
          <w:b/>
          <w:bCs/>
        </w:rPr>
        <w:t xml:space="preserve">EG-CERT (Egypt).</w:t>
      </w:r>
      <w:r>
        <w:t xml:space="preserve"> </w:t>
      </w:r>
      <w:r>
        <w:rPr>
          <w:b/>
          <w:bCs/>
        </w:rPr>
        <w:t xml:space="preserve">National Cybersecurity Strategy 2023-2027</w:t>
      </w:r>
      <w:r>
        <w:t xml:space="preserve">. (</w:t>
      </w:r>
      <w:hyperlink r:id="rId96">
        <w:r>
          <w:rPr>
            <w:rStyle w:val="Hyperlink"/>
          </w:rPr>
          <w:t xml:space="preserve">egcert.eg</w:t>
        </w:r>
      </w:hyperlink>
      <w:r>
        <w:t xml:space="preserve">)</w:t>
      </w:r>
    </w:p>
    <w:p>
      <w:pPr>
        <w:pStyle w:val="Compact"/>
        <w:numPr>
          <w:ilvl w:val="0"/>
          <w:numId w:val="1303"/>
        </w:numPr>
      </w:pPr>
      <w:r>
        <w:rPr>
          <w:b/>
          <w:bCs/>
        </w:rPr>
        <w:t xml:space="preserve">Bahrain National Cybersecurity Center.</w:t>
      </w:r>
      <w:r>
        <w:t xml:space="preserve"> </w:t>
      </w:r>
      <w:r>
        <w:rPr>
          <w:b/>
          <w:bCs/>
        </w:rPr>
        <w:t xml:space="preserve">CNI Sectors List</w:t>
      </w:r>
      <w:r>
        <w:t xml:space="preserve">. (</w:t>
      </w:r>
      <w:hyperlink r:id="rId116">
        <w:r>
          <w:rPr>
            <w:rStyle w:val="Hyperlink"/>
          </w:rPr>
          <w:t xml:space="preserve">NCSC.gov.bh</w:t>
        </w:r>
      </w:hyperlink>
      <w:r>
        <w:t xml:space="preserve">)</w:t>
      </w:r>
    </w:p>
    <w:p>
      <w:pPr>
        <w:pStyle w:val="Compact"/>
        <w:numPr>
          <w:ilvl w:val="0"/>
          <w:numId w:val="1303"/>
        </w:numPr>
      </w:pPr>
      <w:r>
        <w:rPr>
          <w:b/>
          <w:bCs/>
        </w:rPr>
        <w:t xml:space="preserve">The Peninsula Qatar.</w:t>
      </w:r>
      <w:r>
        <w:t xml:space="preserve"> </w:t>
      </w:r>
      <w:r>
        <w:rPr>
          <w:b/>
          <w:bCs/>
        </w:rPr>
        <w:t xml:space="preserve">Qatar Strategy Launch Report</w:t>
      </w:r>
      <w:r>
        <w:t xml:space="preserve">. (</w:t>
      </w:r>
      <w:hyperlink r:id="rId118">
        <w:r>
          <w:rPr>
            <w:rStyle w:val="Hyperlink"/>
          </w:rPr>
          <w:t xml:space="preserve">The Peninsula</w:t>
        </w:r>
      </w:hyperlink>
      <w:r>
        <w:t xml:space="preserve">)</w:t>
      </w:r>
    </w:p>
    <w:p>
      <w:pPr>
        <w:pStyle w:val="Compact"/>
        <w:numPr>
          <w:ilvl w:val="0"/>
          <w:numId w:val="1303"/>
        </w:numPr>
      </w:pPr>
      <w:r>
        <w:rPr>
          <w:b/>
          <w:bCs/>
        </w:rPr>
        <w:t xml:space="preserve">UNODC.</w:t>
      </w:r>
      <w:r>
        <w:t xml:space="preserve"> </w:t>
      </w:r>
      <w:r>
        <w:rPr>
          <w:b/>
          <w:bCs/>
        </w:rPr>
        <w:t xml:space="preserve">UAE National Cybersecurity Strategy Summary</w:t>
      </w:r>
      <w:r>
        <w:t xml:space="preserve">. (</w:t>
      </w:r>
      <w:hyperlink r:id="rId120">
        <w:r>
          <w:rPr>
            <w:rStyle w:val="Hyperlink"/>
          </w:rPr>
          <w:t xml:space="preserve">UNODC</w:t>
        </w:r>
      </w:hyperlink>
      <w:r>
        <w:t xml:space="preserve">)</w:t>
      </w:r>
    </w:p>
    <w:p>
      <w:pPr>
        <w:pStyle w:val="Compact"/>
        <w:numPr>
          <w:ilvl w:val="0"/>
          <w:numId w:val="1303"/>
        </w:numPr>
      </w:pPr>
      <w:r>
        <w:rPr>
          <w:b/>
          <w:bCs/>
        </w:rPr>
        <w:t xml:space="preserve">Republic of Kazakhstan.</w:t>
      </w:r>
      <w:r>
        <w:t xml:space="preserve"> </w:t>
      </w:r>
      <w:r>
        <w:rPr>
          <w:b/>
          <w:bCs/>
        </w:rPr>
        <w:t xml:space="preserve">“Adilet” LIS: CIIC Rules</w:t>
      </w:r>
      <w:r>
        <w:t xml:space="preserve">. (</w:t>
      </w:r>
      <w:hyperlink r:id="rId338">
        <w:r>
          <w:rPr>
            <w:rStyle w:val="Hyperlink"/>
          </w:rPr>
          <w:t xml:space="preserve">Adilet</w:t>
        </w:r>
      </w:hyperlink>
      <w:r>
        <w:t xml:space="preserve">)</w:t>
      </w:r>
    </w:p>
    <w:p>
      <w:pPr>
        <w:pStyle w:val="Compact"/>
        <w:numPr>
          <w:ilvl w:val="0"/>
          <w:numId w:val="1303"/>
        </w:numPr>
      </w:pPr>
      <w:r>
        <w:rPr>
          <w:b/>
          <w:bCs/>
        </w:rPr>
        <w:t xml:space="preserve">Kyrgyz Republic.</w:t>
      </w:r>
      <w:r>
        <w:t xml:space="preserve"> </w:t>
      </w:r>
      <w:r>
        <w:rPr>
          <w:b/>
          <w:bCs/>
        </w:rPr>
        <w:t xml:space="preserve">Regulation for Information Protection in SIS</w:t>
      </w:r>
      <w:r>
        <w:t xml:space="preserve">. (</w:t>
      </w:r>
      <w:hyperlink r:id="rId345">
        <w:r>
          <w:rPr>
            <w:rStyle w:val="Hyperlink"/>
          </w:rPr>
          <w:t xml:space="preserve">dpa.gov.kg</w:t>
        </w:r>
      </w:hyperlink>
      <w:r>
        <w:t xml:space="preserve">)</w:t>
      </w:r>
    </w:p>
    <w:p>
      <w:pPr>
        <w:pStyle w:val="Compact"/>
        <w:numPr>
          <w:ilvl w:val="0"/>
          <w:numId w:val="1303"/>
        </w:numPr>
      </w:pPr>
      <w:r>
        <w:rPr>
          <w:b/>
          <w:bCs/>
        </w:rPr>
        <w:t xml:space="preserve">Republic of Zambia.</w:t>
      </w:r>
      <w:r>
        <w:t xml:space="preserve"> </w:t>
      </w:r>
      <w:r>
        <w:rPr>
          <w:b/>
          <w:bCs/>
        </w:rPr>
        <w:t xml:space="preserve">Cyber Security Act, 2025</w:t>
      </w:r>
      <w:r>
        <w:t xml:space="preserve">. (</w:t>
      </w:r>
      <w:hyperlink r:id="rId339">
        <w:r>
          <w:rPr>
            <w:rStyle w:val="Hyperlink"/>
          </w:rPr>
          <w:t xml:space="preserve">ZambiaLII</w:t>
        </w:r>
      </w:hyperlink>
      <w:r>
        <w:t xml:space="preserve">)</w:t>
      </w:r>
    </w:p>
    <w:p>
      <w:pPr>
        <w:pStyle w:val="Compact"/>
        <w:numPr>
          <w:ilvl w:val="0"/>
          <w:numId w:val="1303"/>
        </w:numPr>
      </w:pPr>
      <w:r>
        <w:rPr>
          <w:b/>
          <w:bCs/>
        </w:rPr>
        <w:t xml:space="preserve">Republic of Botswana.</w:t>
      </w:r>
      <w:r>
        <w:t xml:space="preserve"> </w:t>
      </w:r>
      <w:r>
        <w:rPr>
          <w:b/>
          <w:bCs/>
        </w:rPr>
        <w:t xml:space="preserve">National Cybersecurity Strategy</w:t>
      </w:r>
      <w:r>
        <w:t xml:space="preserve">. (</w:t>
      </w:r>
      <w:hyperlink r:id="rId340">
        <w:r>
          <w:rPr>
            <w:rStyle w:val="Hyperlink"/>
          </w:rPr>
          <w:t xml:space="preserve">BoCRA</w:t>
        </w:r>
      </w:hyperlink>
      <w:r>
        <w:t xml:space="preserve">)</w:t>
      </w:r>
    </w:p>
    <w:p>
      <w:pPr>
        <w:pStyle w:val="Compact"/>
        <w:numPr>
          <w:ilvl w:val="0"/>
          <w:numId w:val="1303"/>
        </w:numPr>
      </w:pPr>
      <w:r>
        <w:rPr>
          <w:b/>
          <w:bCs/>
        </w:rPr>
        <w:t xml:space="preserve">Kaspersky Regulhub.</w:t>
      </w:r>
      <w:r>
        <w:t xml:space="preserve"> </w:t>
      </w:r>
      <w:r>
        <w:rPr>
          <w:b/>
          <w:bCs/>
        </w:rPr>
        <w:t xml:space="preserve">Russia 187-FZ Scope List</w:t>
      </w:r>
      <w:r>
        <w:t xml:space="preserve">. (</w:t>
      </w:r>
      <w:hyperlink r:id="rId341">
        <w:r>
          <w:rPr>
            <w:rStyle w:val="Hyperlink"/>
          </w:rPr>
          <w:t xml:space="preserve">Regulhub</w:t>
        </w:r>
      </w:hyperlink>
      <w:r>
        <w:t xml:space="preserve">)</w:t>
      </w:r>
    </w:p>
    <w:p>
      <w:pPr>
        <w:pStyle w:val="Compact"/>
        <w:numPr>
          <w:ilvl w:val="0"/>
          <w:numId w:val="1303"/>
        </w:numPr>
      </w:pPr>
      <w:r>
        <w:rPr>
          <w:b/>
          <w:bCs/>
        </w:rPr>
        <w:t xml:space="preserve">Verkhovna Rada.</w:t>
      </w:r>
      <w:r>
        <w:t xml:space="preserve"> </w:t>
      </w:r>
      <w:r>
        <w:rPr>
          <w:b/>
          <w:bCs/>
        </w:rPr>
        <w:t xml:space="preserve">Official Legal Portal of Ukraine</w:t>
      </w:r>
      <w:r>
        <w:t xml:space="preserve">. (</w:t>
      </w:r>
      <w:hyperlink r:id="rId342">
        <w:r>
          <w:rPr>
            <w:rStyle w:val="Hyperlink"/>
          </w:rPr>
          <w:t xml:space="preserve">Rada.gov.ua</w:t>
        </w:r>
      </w:hyperlink>
      <w:r>
        <w:t xml:space="preserve">)</w:t>
      </w:r>
    </w:p>
    <w:p>
      <w:pPr>
        <w:sectPr>
          <w:footerReference w:type="first" r:id="rId13"/>
          <w:footerReference w:type="default" r:id="rId11"/>
          <w:footerReference w:type="even" r:id="rId10"/>
          <w:type w:val="nextPage"/>
        </w:sectPr>
      </w:pPr>
    </w:p>
    <w:bookmarkEnd w:id="346"/>
    <w:bookmarkEnd w:id="347"/>
    <w:bookmarkStart w:id="407" w:name="X08c392bacdc7e2ae4b6e28aaeb3c929e1947b22"/>
    <w:p>
      <w:pPr>
        <w:pStyle w:val="Heading1"/>
      </w:pPr>
      <w:r>
        <w:t xml:space="preserve">Health Sector Critical Information Infrastructure: Metrics and Grading Framework</w:t>
      </w:r>
    </w:p>
    <w:bookmarkStart w:id="348" w:name="introduction"/>
    <w:p>
      <w:pPr>
        <w:pStyle w:val="Heading2"/>
      </w:pPr>
      <w:r>
        <w:t xml:space="preserve">Introduction</w:t>
      </w:r>
    </w:p>
    <w:p>
      <w:pPr>
        <w:pStyle w:val="FirstParagraph"/>
      </w:pPr>
      <w:r>
        <w:t xml:space="preserve">This chapter synthesizes the comprehensive analysis of 17 jurisdictions to define a</w:t>
      </w:r>
      <w:r>
        <w:t xml:space="preserve"> </w:t>
      </w:r>
      <w:r>
        <w:rPr>
          <w:b/>
          <w:bCs/>
        </w:rPr>
        <w:t xml:space="preserve">metrics-based framework</w:t>
      </w:r>
      <w:r>
        <w:t xml:space="preserve"> </w:t>
      </w:r>
      <w:r>
        <w:t xml:space="preserve">for identifying and classifying health sector entities as</w:t>
      </w:r>
      <w:r>
        <w:t xml:space="preserve"> </w:t>
      </w:r>
      <w:r>
        <w:rPr>
          <w:b/>
          <w:bCs/>
        </w:rPr>
        <w:t xml:space="preserve">Critical Information Infrastructure (CII)</w:t>
      </w:r>
      <w:r>
        <w:t xml:space="preserve">. The framework combines quantitative thresholds with qualitative criteria, drawing on global best practices to create a practical, adaptable approach.</w:t>
      </w:r>
    </w:p>
    <w:p>
      <w:r>
        <w:pict>
          <v:rect style="width:0;height:1.5pt" o:hralign="center" o:hrstd="t" o:hr="t"/>
        </w:pict>
      </w:r>
    </w:p>
    <w:bookmarkEnd w:id="348"/>
    <w:bookmarkStart w:id="352" w:name="part-1-designation-metrics"/>
    <w:p>
      <w:pPr>
        <w:pStyle w:val="Heading2"/>
      </w:pPr>
      <w:r>
        <w:t xml:space="preserve">Part 1: Designation Metrics</w:t>
      </w:r>
    </w:p>
    <w:bookmarkStart w:id="349" w:name="X0f8d6382e291c338260622cddab28b2a186ff09"/>
    <w:p>
      <w:pPr>
        <w:pStyle w:val="Heading3"/>
      </w:pPr>
      <w:r>
        <w:t xml:space="preserve">1.1 Quantitative Thresholds (Direct Evidence from Global Frameworks)</w:t>
      </w:r>
    </w:p>
    <w:tbl>
      <w:tblPr>
        <w:tblStyle w:val="Table"/>
        <w:tblW w:type="pct" w:w="5000"/>
        <w:tblLayout w:type="fixed"/>
        <w:tblLook w:firstRow="1" w:lastRow="0" w:firstColumn="0" w:lastColumn="0" w:noHBand="0" w:noVBand="0" w:val="0020"/>
      </w:tblPr>
      <w:tblGrid>
        <w:gridCol w:w="2071"/>
        <w:gridCol w:w="1340"/>
        <w:gridCol w:w="2558"/>
        <w:gridCol w:w="1949"/>
      </w:tblGrid>
      <w:tr>
        <w:trPr>
          <w:tblHeader w:val="on"/>
        </w:trPr>
        <w:tc>
          <w:tcPr/>
          <w:p>
            <w:pPr>
              <w:pStyle w:val="Compact"/>
              <w:jc w:val="left"/>
            </w:pPr>
            <w:r>
              <w:t xml:space="preserve">Metric Category</w:t>
            </w:r>
          </w:p>
        </w:tc>
        <w:tc>
          <w:tcPr/>
          <w:p>
            <w:pPr>
              <w:pStyle w:val="Compact"/>
              <w:jc w:val="left"/>
            </w:pPr>
            <w:r>
              <w:t xml:space="preserve">Threshold</w:t>
            </w:r>
          </w:p>
        </w:tc>
        <w:tc>
          <w:tcPr/>
          <w:p>
            <w:pPr>
              <w:pStyle w:val="Compact"/>
              <w:jc w:val="left"/>
            </w:pPr>
            <w:r>
              <w:t xml:space="preserve">Jurisdiction Source</w:t>
            </w:r>
          </w:p>
        </w:tc>
        <w:tc>
          <w:tcPr/>
          <w:p>
            <w:pPr>
              <w:pStyle w:val="Compact"/>
              <w:jc w:val="left"/>
            </w:pPr>
            <w:r>
              <w:t xml:space="preserve">Evidence Level</w:t>
            </w:r>
          </w:p>
        </w:tc>
      </w:tr>
      <w:tr>
        <w:tc>
          <w:tcPr/>
          <w:p>
            <w:pPr>
              <w:pStyle w:val="Compact"/>
              <w:jc w:val="left"/>
            </w:pPr>
            <w:r>
              <w:rPr>
                <w:b/>
                <w:bCs/>
              </w:rPr>
              <w:t xml:space="preserve">Inpatient case volume</w:t>
            </w:r>
          </w:p>
        </w:tc>
        <w:tc>
          <w:tcPr/>
          <w:p>
            <w:pPr>
              <w:pStyle w:val="Compact"/>
              <w:jc w:val="left"/>
            </w:pPr>
            <w:r>
              <w:t xml:space="preserve">≥30,000 full inpatient cases/year</w:t>
            </w:r>
          </w:p>
        </w:tc>
        <w:tc>
          <w:tcPr/>
          <w:p>
            <w:pPr>
              <w:pStyle w:val="Compact"/>
              <w:jc w:val="left"/>
            </w:pPr>
            <w:r>
              <w:t xml:space="preserve">Germany (BSI-KritisV Anhang 5)</w:t>
            </w:r>
          </w:p>
        </w:tc>
        <w:tc>
          <w:tcPr/>
          <w:p>
            <w:pPr>
              <w:pStyle w:val="Compact"/>
              <w:jc w:val="left"/>
            </w:pPr>
            <w:r>
              <w:t xml:space="preserve">Explicit</w:t>
            </w:r>
          </w:p>
        </w:tc>
      </w:tr>
      <w:tr>
        <w:tc>
          <w:tcPr/>
          <w:p>
            <w:pPr>
              <w:pStyle w:val="Compact"/>
              <w:jc w:val="left"/>
            </w:pPr>
            <w:r>
              <w:rPr>
                <w:b/>
                <w:bCs/>
              </w:rPr>
              <w:t xml:space="preserve">ICU presence</w:t>
            </w:r>
          </w:p>
        </w:tc>
        <w:tc>
          <w:tcPr/>
          <w:p>
            <w:pPr>
              <w:pStyle w:val="Compact"/>
              <w:jc w:val="left"/>
            </w:pPr>
            <w:r>
              <w:t xml:space="preserve">Hospital has a general ICU (capable of mechanical ventilation for several days + invasive cardiovascular monitoring)</w:t>
            </w:r>
          </w:p>
        </w:tc>
        <w:tc>
          <w:tcPr/>
          <w:p>
            <w:pPr>
              <w:pStyle w:val="Compact"/>
              <w:jc w:val="left"/>
            </w:pPr>
            <w:r>
              <w:t xml:space="preserve">Australia (SOCI Act 2018)</w:t>
            </w:r>
          </w:p>
        </w:tc>
        <w:tc>
          <w:tcPr/>
          <w:p>
            <w:pPr>
              <w:pStyle w:val="Compact"/>
              <w:jc w:val="left"/>
            </w:pPr>
            <w:r>
              <w:t xml:space="preserve">Explicit</w:t>
            </w:r>
          </w:p>
        </w:tc>
      </w:tr>
      <w:tr>
        <w:tc>
          <w:tcPr/>
          <w:p>
            <w:pPr>
              <w:pStyle w:val="Compact"/>
              <w:jc w:val="left"/>
            </w:pPr>
            <w:r>
              <w:rPr>
                <w:b/>
                <w:bCs/>
              </w:rPr>
              <w:t xml:space="preserve">Organization size</w:t>
            </w:r>
          </w:p>
        </w:tc>
        <w:tc>
          <w:tcPr/>
          <w:p>
            <w:pPr>
              <w:pStyle w:val="Compact"/>
              <w:jc w:val="left"/>
            </w:pPr>
            <w:r>
              <w:t xml:space="preserve">≥50 employees OR €10M+ annual turnover</w:t>
            </w:r>
          </w:p>
        </w:tc>
        <w:tc>
          <w:tcPr/>
          <w:p>
            <w:pPr>
              <w:pStyle w:val="Compact"/>
              <w:jc w:val="left"/>
            </w:pPr>
            <w:r>
              <w:t xml:space="preserve">EU NIS2 Directive</w:t>
            </w:r>
          </w:p>
        </w:tc>
        <w:tc>
          <w:tcPr/>
          <w:p>
            <w:pPr>
              <w:pStyle w:val="Compact"/>
              <w:jc w:val="left"/>
            </w:pPr>
            <w:r>
              <w:t xml:space="preserve">Explicit</w:t>
            </w:r>
          </w:p>
        </w:tc>
      </w:tr>
      <w:tr>
        <w:tc>
          <w:tcPr/>
          <w:p>
            <w:pPr>
              <w:pStyle w:val="Compact"/>
              <w:jc w:val="left"/>
            </w:pPr>
            <w:r>
              <w:rPr>
                <w:b/>
                <w:bCs/>
              </w:rPr>
              <w:t xml:space="preserve">Laboratory throughput</w:t>
            </w:r>
          </w:p>
        </w:tc>
        <w:tc>
          <w:tcPr/>
          <w:p>
            <w:pPr>
              <w:pStyle w:val="Compact"/>
              <w:jc w:val="left"/>
            </w:pPr>
            <w:r>
              <w:t xml:space="preserve">≥1,500,000 diagnostic tests/year</w:t>
            </w:r>
          </w:p>
        </w:tc>
        <w:tc>
          <w:tcPr/>
          <w:p>
            <w:pPr>
              <w:pStyle w:val="Compact"/>
              <w:jc w:val="left"/>
            </w:pPr>
            <w:r>
              <w:t xml:space="preserve">Germany (BSI-KritisV)</w:t>
            </w:r>
          </w:p>
        </w:tc>
        <w:tc>
          <w:tcPr/>
          <w:p>
            <w:pPr>
              <w:pStyle w:val="Compact"/>
              <w:jc w:val="left"/>
            </w:pPr>
            <w:r>
              <w:t xml:space="preserve">Explicit</w:t>
            </w:r>
          </w:p>
        </w:tc>
      </w:tr>
      <w:tr>
        <w:tc>
          <w:tcPr/>
          <w:p>
            <w:pPr>
              <w:pStyle w:val="Compact"/>
              <w:jc w:val="left"/>
            </w:pPr>
            <w:r>
              <w:rPr>
                <w:b/>
                <w:bCs/>
              </w:rPr>
              <w:t xml:space="preserve">Blood/plasma production</w:t>
            </w:r>
          </w:p>
        </w:tc>
        <w:tc>
          <w:tcPr/>
          <w:p>
            <w:pPr>
              <w:pStyle w:val="Compact"/>
              <w:jc w:val="left"/>
            </w:pPr>
            <w:r>
              <w:t xml:space="preserve">≥34,000 products manufactured or marketed/year</w:t>
            </w:r>
          </w:p>
        </w:tc>
        <w:tc>
          <w:tcPr/>
          <w:p>
            <w:pPr>
              <w:pStyle w:val="Compact"/>
              <w:jc w:val="left"/>
            </w:pPr>
            <w:r>
              <w:t xml:space="preserve">Germany (BSI-KritisV)</w:t>
            </w:r>
          </w:p>
        </w:tc>
        <w:tc>
          <w:tcPr/>
          <w:p>
            <w:pPr>
              <w:pStyle w:val="Compact"/>
              <w:jc w:val="left"/>
            </w:pPr>
            <w:r>
              <w:t xml:space="preserve">Explicit</w:t>
            </w:r>
          </w:p>
        </w:tc>
      </w:tr>
      <w:tr>
        <w:tc>
          <w:tcPr/>
          <w:p>
            <w:pPr>
              <w:pStyle w:val="Compact"/>
              <w:jc w:val="left"/>
            </w:pPr>
            <w:r>
              <w:rPr>
                <w:b/>
                <w:bCs/>
              </w:rPr>
              <w:t xml:space="preserve">Customer impact (national)</w:t>
            </w:r>
          </w:p>
        </w:tc>
        <w:tc>
          <w:tcPr/>
          <w:p>
            <w:pPr>
              <w:pStyle w:val="Compact"/>
              <w:jc w:val="left"/>
            </w:pPr>
            <w:r>
              <w:t xml:space="preserve">Service loss affecting &gt;100,000 customers</w:t>
            </w:r>
          </w:p>
        </w:tc>
        <w:tc>
          <w:tcPr/>
          <w:p>
            <w:pPr>
              <w:pStyle w:val="Compact"/>
              <w:jc w:val="left"/>
            </w:pPr>
            <w:r>
              <w:t xml:space="preserve">New Zealand (NVA 2023)</w:t>
            </w:r>
          </w:p>
        </w:tc>
        <w:tc>
          <w:tcPr/>
          <w:p>
            <w:pPr>
              <w:pStyle w:val="Compact"/>
              <w:jc w:val="left"/>
            </w:pPr>
            <w:r>
              <w:t xml:space="preserve">Explicit</w:t>
            </w:r>
          </w:p>
        </w:tc>
      </w:tr>
      <w:tr>
        <w:tc>
          <w:tcPr/>
          <w:p>
            <w:pPr>
              <w:pStyle w:val="Compact"/>
              <w:jc w:val="left"/>
            </w:pPr>
            <w:r>
              <w:rPr>
                <w:b/>
                <w:bCs/>
              </w:rPr>
              <w:t xml:space="preserve">Customer impact (regional)</w:t>
            </w:r>
          </w:p>
        </w:tc>
        <w:tc>
          <w:tcPr/>
          <w:p>
            <w:pPr>
              <w:pStyle w:val="Compact"/>
              <w:jc w:val="left"/>
            </w:pPr>
            <w:r>
              <w:t xml:space="preserve">Service loss affecting 20,000–100,000 customers</w:t>
            </w:r>
          </w:p>
        </w:tc>
        <w:tc>
          <w:tcPr/>
          <w:p>
            <w:pPr>
              <w:pStyle w:val="Compact"/>
              <w:jc w:val="left"/>
            </w:pPr>
            <w:r>
              <w:t xml:space="preserve">New Zealand (NVA 2023)</w:t>
            </w:r>
          </w:p>
        </w:tc>
        <w:tc>
          <w:tcPr/>
          <w:p>
            <w:pPr>
              <w:pStyle w:val="Compact"/>
              <w:jc w:val="left"/>
            </w:pPr>
            <w:r>
              <w:t xml:space="preserve">Explicit</w:t>
            </w:r>
          </w:p>
        </w:tc>
      </w:tr>
    </w:tbl>
    <w:bookmarkEnd w:id="349"/>
    <w:bookmarkStart w:id="351" w:name="qualitative-designation-criteria"/>
    <w:p>
      <w:pPr>
        <w:pStyle w:val="Heading3"/>
      </w:pPr>
      <w:r>
        <w:t xml:space="preserve">1.2 Qualitative Designation Criteria</w:t>
      </w:r>
    </w:p>
    <w:bookmarkStart w:id="350" w:name="Xa063072a6853053f1a6389ede47066e2047aaba"/>
    <w:p>
      <w:pPr>
        <w:pStyle w:val="Heading4"/>
      </w:pPr>
      <w:r>
        <w:t xml:space="preserve">Functional Criticality Criteria (from 17 jurisdictions)</w:t>
      </w:r>
    </w:p>
    <w:tbl>
      <w:tblPr>
        <w:tblStyle w:val="Table"/>
        <w:tblW w:type="pct" w:w="5000"/>
        <w:tblLayout w:type="fixed"/>
        <w:tblLook w:firstRow="1" w:lastRow="0" w:firstColumn="0" w:lastColumn="0" w:noHBand="0" w:noVBand="0" w:val="0020"/>
      </w:tblPr>
      <w:tblGrid>
        <w:gridCol w:w="1853"/>
        <w:gridCol w:w="2190"/>
        <w:gridCol w:w="3875"/>
      </w:tblGrid>
      <w:tr>
        <w:trPr>
          <w:tblHeader w:val="on"/>
        </w:trPr>
        <w:tc>
          <w:tcPr/>
          <w:p>
            <w:pPr>
              <w:pStyle w:val="Compact"/>
              <w:jc w:val="left"/>
            </w:pPr>
            <w:r>
              <w:t xml:space="preserve">Criterion</w:t>
            </w:r>
          </w:p>
        </w:tc>
        <w:tc>
          <w:tcPr/>
          <w:p>
            <w:pPr>
              <w:pStyle w:val="Compact"/>
              <w:jc w:val="left"/>
            </w:pPr>
            <w:r>
              <w:t xml:space="preserve">Description</w:t>
            </w:r>
          </w:p>
        </w:tc>
        <w:tc>
          <w:tcPr/>
          <w:p>
            <w:pPr>
              <w:pStyle w:val="Compact"/>
              <w:jc w:val="left"/>
            </w:pPr>
            <w:r>
              <w:t xml:space="preserve">Jurisdiction Examples</w:t>
            </w:r>
          </w:p>
        </w:tc>
      </w:tr>
      <w:tr>
        <w:tc>
          <w:tcPr/>
          <w:p>
            <w:pPr>
              <w:pStyle w:val="Compact"/>
              <w:jc w:val="left"/>
            </w:pPr>
            <w:r>
              <w:rPr>
                <w:b/>
                <w:bCs/>
              </w:rPr>
              <w:t xml:space="preserve">Sole provider</w:t>
            </w:r>
          </w:p>
        </w:tc>
        <w:tc>
          <w:tcPr/>
          <w:p>
            <w:pPr>
              <w:pStyle w:val="Compact"/>
              <w:jc w:val="left"/>
            </w:pPr>
            <w:r>
              <w:t xml:space="preserve">Entity is the only provider of an essential service in a geographic area</w:t>
            </w:r>
          </w:p>
        </w:tc>
        <w:tc>
          <w:tcPr/>
          <w:p>
            <w:pPr>
              <w:pStyle w:val="Compact"/>
              <w:jc w:val="left"/>
            </w:pPr>
            <w:r>
              <w:t xml:space="preserve">EU NIS2, UK, Singapore</w:t>
            </w:r>
          </w:p>
        </w:tc>
      </w:tr>
      <w:tr>
        <w:tc>
          <w:tcPr/>
          <w:p>
            <w:pPr>
              <w:pStyle w:val="Compact"/>
              <w:jc w:val="left"/>
            </w:pPr>
            <w:r>
              <w:rPr>
                <w:b/>
                <w:bCs/>
              </w:rPr>
              <w:t xml:space="preserve">Debilitating effect</w:t>
            </w:r>
          </w:p>
        </w:tc>
        <w:tc>
          <w:tcPr/>
          <w:p>
            <w:pPr>
              <w:pStyle w:val="Compact"/>
              <w:jc w:val="left"/>
            </w:pPr>
            <w:r>
              <w:t xml:space="preserve">System compromise would have a debilitating effect on service availability</w:t>
            </w:r>
          </w:p>
        </w:tc>
        <w:tc>
          <w:tcPr/>
          <w:p>
            <w:pPr>
              <w:pStyle w:val="Compact"/>
              <w:jc w:val="left"/>
            </w:pPr>
            <w:r>
              <w:t xml:space="preserve">Singapore (Cybersecurity Act)</w:t>
            </w:r>
          </w:p>
        </w:tc>
      </w:tr>
      <w:tr>
        <w:tc>
          <w:tcPr/>
          <w:p>
            <w:pPr>
              <w:pStyle w:val="Compact"/>
              <w:jc w:val="left"/>
            </w:pPr>
            <w:r>
              <w:rPr>
                <w:b/>
                <w:bCs/>
              </w:rPr>
              <w:t xml:space="preserve">Public health impact</w:t>
            </w:r>
          </w:p>
        </w:tc>
        <w:tc>
          <w:tcPr/>
          <w:p>
            <w:pPr>
              <w:pStyle w:val="Compact"/>
              <w:jc w:val="left"/>
            </w:pPr>
            <w:r>
              <w:t xml:space="preserve">Disruption could seriously affect public health or safety</w:t>
            </w:r>
          </w:p>
        </w:tc>
        <w:tc>
          <w:tcPr/>
          <w:p>
            <w:pPr>
              <w:pStyle w:val="Compact"/>
              <w:jc w:val="left"/>
            </w:pPr>
            <w:r>
              <w:t xml:space="preserve">EU NIS2, Norway, Thailand, France</w:t>
            </w:r>
          </w:p>
        </w:tc>
      </w:tr>
      <w:tr>
        <w:tc>
          <w:tcPr/>
          <w:p>
            <w:pPr>
              <w:pStyle w:val="Compact"/>
              <w:jc w:val="left"/>
            </w:pPr>
            <w:r>
              <w:rPr>
                <w:b/>
                <w:bCs/>
              </w:rPr>
              <w:t xml:space="preserve">Cross-border impact</w:t>
            </w:r>
          </w:p>
        </w:tc>
        <w:tc>
          <w:tcPr/>
          <w:p>
            <w:pPr>
              <w:pStyle w:val="Compact"/>
              <w:jc w:val="left"/>
            </w:pPr>
            <w:r>
              <w:t xml:space="preserve">Significant systemic risk with potential cross-border effects</w:t>
            </w:r>
          </w:p>
        </w:tc>
        <w:tc>
          <w:tcPr/>
          <w:p>
            <w:pPr>
              <w:pStyle w:val="Compact"/>
              <w:jc w:val="left"/>
            </w:pPr>
            <w:r>
              <w:t xml:space="preserve">EU NIS2</w:t>
            </w:r>
          </w:p>
        </w:tc>
      </w:tr>
      <w:tr>
        <w:tc>
          <w:tcPr/>
          <w:p>
            <w:pPr>
              <w:pStyle w:val="Compact"/>
              <w:jc w:val="left"/>
            </w:pPr>
            <w:r>
              <w:rPr>
                <w:b/>
                <w:bCs/>
              </w:rPr>
              <w:t xml:space="preserve">Life-safety dependency</w:t>
            </w:r>
          </w:p>
        </w:tc>
        <w:tc>
          <w:tcPr/>
          <w:p>
            <w:pPr>
              <w:pStyle w:val="Compact"/>
              <w:jc w:val="left"/>
            </w:pPr>
            <w:r>
              <w:t xml:space="preserve">Direct dependency for life-critical patient care</w:t>
            </w:r>
          </w:p>
        </w:tc>
        <w:tc>
          <w:tcPr/>
          <w:p>
            <w:pPr>
              <w:pStyle w:val="Compact"/>
              <w:jc w:val="left"/>
            </w:pPr>
            <w:r>
              <w:t xml:space="preserve">All 17 jurisdictions</w:t>
            </w:r>
          </w:p>
        </w:tc>
      </w:tr>
      <w:tr>
        <w:tc>
          <w:tcPr/>
          <w:p>
            <w:pPr>
              <w:pStyle w:val="Compact"/>
              <w:jc w:val="left"/>
            </w:pPr>
            <w:r>
              <w:rPr>
                <w:b/>
                <w:bCs/>
              </w:rPr>
              <w:t xml:space="preserve">National/regional importance</w:t>
            </w:r>
          </w:p>
        </w:tc>
        <w:tc>
          <w:tcPr/>
          <w:p>
            <w:pPr>
              <w:pStyle w:val="Compact"/>
              <w:jc w:val="left"/>
            </w:pPr>
            <w:r>
              <w:t xml:space="preserve">Critical due to specific importance at national or regional level</w:t>
            </w:r>
          </w:p>
        </w:tc>
        <w:tc>
          <w:tcPr/>
          <w:p>
            <w:pPr>
              <w:pStyle w:val="Compact"/>
              <w:jc w:val="left"/>
            </w:pPr>
            <w:r>
              <w:t xml:space="preserve">EU NIS2, South Korea</w:t>
            </w:r>
          </w:p>
        </w:tc>
      </w:tr>
      <w:tr>
        <w:tc>
          <w:tcPr/>
          <w:p>
            <w:pPr>
              <w:pStyle w:val="Compact"/>
              <w:jc w:val="left"/>
            </w:pPr>
            <w:r>
              <w:rPr>
                <w:b/>
                <w:bCs/>
              </w:rPr>
              <w:t xml:space="preserve">Core function essentiality</w:t>
            </w:r>
          </w:p>
        </w:tc>
        <w:tc>
          <w:tcPr/>
          <w:p>
            <w:pPr>
              <w:pStyle w:val="Compact"/>
              <w:jc w:val="left"/>
            </w:pPr>
            <w:r>
              <w:t xml:space="preserve">System is essential to the core function of the infrastructure</w:t>
            </w:r>
          </w:p>
        </w:tc>
        <w:tc>
          <w:tcPr/>
          <w:p>
            <w:pPr>
              <w:pStyle w:val="Compact"/>
              <w:jc w:val="left"/>
            </w:pPr>
            <w:r>
              <w:t xml:space="preserve">Hong Kong</w:t>
            </w:r>
          </w:p>
        </w:tc>
      </w:tr>
      <w:tr>
        <w:tc>
          <w:tcPr/>
          <w:p>
            <w:pPr>
              <w:pStyle w:val="Compact"/>
              <w:jc w:val="left"/>
            </w:pPr>
            <w:r>
              <w:rPr>
                <w:b/>
                <w:bCs/>
              </w:rPr>
              <w:t xml:space="preserve">Substitutability</w:t>
            </w:r>
          </w:p>
        </w:tc>
        <w:tc>
          <w:tcPr/>
          <w:p>
            <w:pPr>
              <w:pStyle w:val="Compact"/>
              <w:jc w:val="left"/>
            </w:pPr>
            <w:r>
              <w:t xml:space="preserve">Difficult to substitute or replace</w:t>
            </w:r>
          </w:p>
        </w:tc>
        <w:tc>
          <w:tcPr/>
          <w:p>
            <w:pPr>
              <w:pStyle w:val="Compact"/>
              <w:jc w:val="left"/>
            </w:pPr>
            <w:r>
              <w:t xml:space="preserve">France, Hong Kong</w:t>
            </w:r>
          </w:p>
        </w:tc>
      </w:tr>
    </w:tbl>
    <w:p>
      <w:r>
        <w:pict>
          <v:rect style="width:0;height:1.5pt" o:hralign="center" o:hrstd="t" o:hr="t"/>
        </w:pict>
      </w:r>
    </w:p>
    <w:bookmarkEnd w:id="350"/>
    <w:bookmarkEnd w:id="351"/>
    <w:bookmarkEnd w:id="352"/>
    <w:bookmarkStart w:id="358" w:name="Xd0bd1a97e50c16631ca7a4f9372500c0088372a"/>
    <w:p>
      <w:pPr>
        <w:pStyle w:val="Heading2"/>
      </w:pPr>
      <w:r>
        <w:t xml:space="preserve">Part 2: Multi-Tier Classification Framework</w:t>
      </w:r>
    </w:p>
    <w:bookmarkStart w:id="353" w:name="recommended-three-tier-model"/>
    <w:p>
      <w:pPr>
        <w:pStyle w:val="Heading3"/>
      </w:pPr>
      <w:r>
        <w:t xml:space="preserve">2.1 Recommended Three-Tier Model</w:t>
      </w:r>
    </w:p>
    <w:p>
      <w:pPr>
        <w:pStyle w:val="FirstParagraph"/>
      </w:pPr>
      <w:r>
        <w:t xml:space="preserve">Based on global synthesis, a</w:t>
      </w:r>
      <w:r>
        <w:t xml:space="preserve"> </w:t>
      </w:r>
      <w:r>
        <w:rPr>
          <w:b/>
          <w:bCs/>
        </w:rPr>
        <w:t xml:space="preserve">three-tier classification</w:t>
      </w:r>
      <w:r>
        <w:t xml:space="preserve"> </w:t>
      </w:r>
      <w:r>
        <w:t xml:space="preserve">balances precision with administrative feasibility:</w:t>
      </w:r>
    </w:p>
    <w:p>
      <w:pPr>
        <w:pStyle w:val="SourceCode"/>
      </w:pPr>
      <w:r>
        <w:rPr>
          <w:rStyle w:val="VerbatimChar"/>
        </w:rPr>
        <w:t xml:space="preserve">┌─────────────────────────────────────────────────────────────────┐</w:t>
      </w:r>
      <w:r>
        <w:br/>
      </w:r>
      <w:r>
        <w:rPr>
          <w:rStyle w:val="VerbatimChar"/>
        </w:rPr>
        <w:t xml:space="preserve">│                     TIER 1: ESSENTIAL                           │</w:t>
      </w:r>
      <w:r>
        <w:br/>
      </w:r>
      <w:r>
        <w:rPr>
          <w:rStyle w:val="VerbatimChar"/>
        </w:rPr>
        <w:t xml:space="preserve">│     (Highest obligations, ex-ante supervision, 24/7 monitoring) │</w:t>
      </w:r>
      <w:r>
        <w:br/>
      </w:r>
      <w:r>
        <w:rPr>
          <w:rStyle w:val="VerbatimChar"/>
        </w:rPr>
        <w:t xml:space="preserve">├─────────────────────────────────────────────────────────────────┤</w:t>
      </w:r>
      <w:r>
        <w:br/>
      </w:r>
      <w:r>
        <w:rPr>
          <w:rStyle w:val="VerbatimChar"/>
        </w:rPr>
        <w:t xml:space="preserve">│                     TIER 2: IMPORTANT                           │</w:t>
      </w:r>
      <w:r>
        <w:br/>
      </w:r>
      <w:r>
        <w:rPr>
          <w:rStyle w:val="VerbatimChar"/>
        </w:rPr>
        <w:t xml:space="preserve">│     (Moderate obligations, ex-post supervision, regular audits) │</w:t>
      </w:r>
      <w:r>
        <w:br/>
      </w:r>
      <w:r>
        <w:rPr>
          <w:rStyle w:val="VerbatimChar"/>
        </w:rPr>
        <w:t xml:space="preserve">├─────────────────────────────────────────────────────────────────┤</w:t>
      </w:r>
      <w:r>
        <w:br/>
      </w:r>
      <w:r>
        <w:rPr>
          <w:rStyle w:val="VerbatimChar"/>
        </w:rPr>
        <w:t xml:space="preserve">│                     TIER 3: BASELINE                            │</w:t>
      </w:r>
      <w:r>
        <w:br/>
      </w:r>
      <w:r>
        <w:rPr>
          <w:rStyle w:val="VerbatimChar"/>
        </w:rPr>
        <w:t xml:space="preserve">│     (Basic cyber hygiene, voluntary reporting, self-assessment) │</w:t>
      </w:r>
      <w:r>
        <w:br/>
      </w:r>
      <w:r>
        <w:rPr>
          <w:rStyle w:val="VerbatimChar"/>
        </w:rPr>
        <w:t xml:space="preserve">└─────────────────────────────────────────────────────────────────┘</w:t>
      </w:r>
    </w:p>
    <w:bookmarkEnd w:id="353"/>
    <w:bookmarkStart w:id="357" w:name="tier-definitions-and-criteria"/>
    <w:p>
      <w:pPr>
        <w:pStyle w:val="Heading3"/>
      </w:pPr>
      <w:r>
        <w:t xml:space="preserve">2.2 Tier Definitions and Criteria</w:t>
      </w:r>
    </w:p>
    <w:bookmarkStart w:id="354" w:name="tier-1-essential-critical"/>
    <w:p>
      <w:pPr>
        <w:pStyle w:val="Heading4"/>
      </w:pPr>
      <w:r>
        <w:t xml:space="preserve">TIER 1: Essential (Critical)</w:t>
      </w:r>
    </w:p>
    <w:tbl>
      <w:tblPr>
        <w:tblStyle w:val="Table"/>
        <w:tblW w:type="pct" w:w="5000"/>
        <w:tblLayout w:type="fixed"/>
        <w:tblLook w:firstRow="1" w:lastRow="0" w:firstColumn="0" w:lastColumn="0" w:noHBand="0" w:noVBand="0" w:val="0020"/>
      </w:tblPr>
      <w:tblGrid>
        <w:gridCol w:w="2489"/>
        <w:gridCol w:w="3620"/>
        <w:gridCol w:w="1810"/>
      </w:tblGrid>
      <w:tr>
        <w:trPr>
          <w:tblHeader w:val="on"/>
        </w:trPr>
        <w:tc>
          <w:tcPr/>
          <w:p>
            <w:pPr>
              <w:pStyle w:val="Compact"/>
              <w:jc w:val="left"/>
            </w:pPr>
            <w:r>
              <w:t xml:space="preserve">Criterion</w:t>
            </w:r>
          </w:p>
        </w:tc>
        <w:tc>
          <w:tcPr/>
          <w:p>
            <w:pPr>
              <w:pStyle w:val="Compact"/>
              <w:jc w:val="left"/>
            </w:pPr>
            <w:r>
              <w:t xml:space="preserve">Threshold/Test</w:t>
            </w:r>
          </w:p>
        </w:tc>
        <w:tc>
          <w:tcPr/>
          <w:p>
            <w:pPr>
              <w:pStyle w:val="Compact"/>
              <w:jc w:val="left"/>
            </w:pPr>
            <w:r>
              <w:t xml:space="preserve">Weight</w:t>
            </w:r>
          </w:p>
        </w:tc>
      </w:tr>
      <w:tr>
        <w:tc>
          <w:tcPr/>
          <w:p>
            <w:pPr>
              <w:pStyle w:val="Compact"/>
              <w:jc w:val="left"/>
            </w:pPr>
            <w:r>
              <w:rPr>
                <w:b/>
                <w:bCs/>
              </w:rPr>
              <w:t xml:space="preserve">Quantitative Size</w:t>
            </w:r>
          </w:p>
        </w:tc>
        <w:tc>
          <w:tcPr/>
          <w:p>
            <w:pPr>
              <w:pStyle w:val="Compact"/>
              <w:jc w:val="left"/>
            </w:pPr>
            <w:r>
              <w:t xml:space="preserve">Meets ANY explicit threshold (e.g., ≥30,000 cases/year OR ≥50 employees)</w:t>
            </w:r>
          </w:p>
        </w:tc>
        <w:tc>
          <w:tcPr/>
          <w:p>
            <w:pPr>
              <w:pStyle w:val="Compact"/>
              <w:jc w:val="left"/>
            </w:pPr>
            <w:r>
              <w:t xml:space="preserve">High</w:t>
            </w:r>
          </w:p>
        </w:tc>
      </w:tr>
      <w:tr>
        <w:tc>
          <w:tcPr/>
          <w:p>
            <w:pPr>
              <w:pStyle w:val="Compact"/>
              <w:jc w:val="left"/>
            </w:pPr>
            <w:r>
              <w:rPr>
                <w:b/>
                <w:bCs/>
              </w:rPr>
              <w:t xml:space="preserve">ICU/Emergency Capability</w:t>
            </w:r>
          </w:p>
        </w:tc>
        <w:tc>
          <w:tcPr/>
          <w:p>
            <w:pPr>
              <w:pStyle w:val="Compact"/>
              <w:jc w:val="left"/>
            </w:pPr>
            <w:r>
              <w:t xml:space="preserve">Hospital with ICU and/or major trauma/emergency department</w:t>
            </w:r>
          </w:p>
        </w:tc>
        <w:tc>
          <w:tcPr/>
          <w:p>
            <w:pPr>
              <w:pStyle w:val="Compact"/>
              <w:jc w:val="left"/>
            </w:pPr>
            <w:r>
              <w:t xml:space="preserve">High</w:t>
            </w:r>
          </w:p>
        </w:tc>
      </w:tr>
      <w:tr>
        <w:tc>
          <w:tcPr/>
          <w:p>
            <w:pPr>
              <w:pStyle w:val="Compact"/>
              <w:jc w:val="left"/>
            </w:pPr>
            <w:r>
              <w:rPr>
                <w:b/>
                <w:bCs/>
              </w:rPr>
              <w:t xml:space="preserve">National System</w:t>
            </w:r>
          </w:p>
        </w:tc>
        <w:tc>
          <w:tcPr/>
          <w:p>
            <w:pPr>
              <w:pStyle w:val="Compact"/>
              <w:jc w:val="left"/>
            </w:pPr>
            <w:r>
              <w:t xml:space="preserve">Operates a national-level health information system</w:t>
            </w:r>
          </w:p>
        </w:tc>
        <w:tc>
          <w:tcPr/>
          <w:p>
            <w:pPr>
              <w:pStyle w:val="Compact"/>
              <w:jc w:val="left"/>
            </w:pPr>
            <w:r>
              <w:t xml:space="preserve">High</w:t>
            </w:r>
          </w:p>
        </w:tc>
      </w:tr>
      <w:tr>
        <w:tc>
          <w:tcPr/>
          <w:p>
            <w:pPr>
              <w:pStyle w:val="Compact"/>
              <w:jc w:val="left"/>
            </w:pPr>
            <w:r>
              <w:rPr>
                <w:b/>
                <w:bCs/>
              </w:rPr>
              <w:t xml:space="preserve">Sole Provider</w:t>
            </w:r>
          </w:p>
        </w:tc>
        <w:tc>
          <w:tcPr/>
          <w:p>
            <w:pPr>
              <w:pStyle w:val="Compact"/>
              <w:jc w:val="left"/>
            </w:pPr>
            <w:r>
              <w:t xml:space="preserve">Only provider of essential health service in region</w:t>
            </w:r>
          </w:p>
        </w:tc>
        <w:tc>
          <w:tcPr/>
          <w:p>
            <w:pPr>
              <w:pStyle w:val="Compact"/>
              <w:jc w:val="left"/>
            </w:pPr>
            <w:r>
              <w:t xml:space="preserve">High</w:t>
            </w:r>
          </w:p>
        </w:tc>
      </w:tr>
      <w:tr>
        <w:tc>
          <w:tcPr/>
          <w:p>
            <w:pPr>
              <w:pStyle w:val="Compact"/>
              <w:jc w:val="left"/>
            </w:pPr>
            <w:r>
              <w:rPr>
                <w:b/>
                <w:bCs/>
              </w:rPr>
              <w:t xml:space="preserve">Blood/Organ Services</w:t>
            </w:r>
          </w:p>
        </w:tc>
        <w:tc>
          <w:tcPr/>
          <w:p>
            <w:pPr>
              <w:pStyle w:val="Compact"/>
              <w:jc w:val="left"/>
            </w:pPr>
            <w:r>
              <w:t xml:space="preserve">Operates blood bank, organ allocation, or transfusion services at national/regional level</w:t>
            </w:r>
          </w:p>
        </w:tc>
        <w:tc>
          <w:tcPr/>
          <w:p>
            <w:pPr>
              <w:pStyle w:val="Compact"/>
              <w:jc w:val="left"/>
            </w:pPr>
            <w:r>
              <w:t xml:space="preserve">High</w:t>
            </w:r>
          </w:p>
        </w:tc>
      </w:tr>
      <w:tr>
        <w:tc>
          <w:tcPr/>
          <w:p>
            <w:pPr>
              <w:pStyle w:val="Compact"/>
              <w:jc w:val="left"/>
            </w:pPr>
            <w:r>
              <w:rPr>
                <w:b/>
                <w:bCs/>
              </w:rPr>
              <w:t xml:space="preserve">Disease Surveillance</w:t>
            </w:r>
          </w:p>
        </w:tc>
        <w:tc>
          <w:tcPr/>
          <w:p>
            <w:pPr>
              <w:pStyle w:val="Compact"/>
              <w:jc w:val="left"/>
            </w:pPr>
            <w:r>
              <w:t xml:space="preserve">Operates infectious disease surveillance at national/regional level</w:t>
            </w:r>
          </w:p>
        </w:tc>
        <w:tc>
          <w:tcPr/>
          <w:p>
            <w:pPr>
              <w:pStyle w:val="Compact"/>
              <w:jc w:val="left"/>
            </w:pPr>
            <w:r>
              <w:t xml:space="preserve">High</w:t>
            </w:r>
          </w:p>
        </w:tc>
      </w:tr>
    </w:tbl>
    <w:p>
      <w:pPr>
        <w:pStyle w:val="BodyText"/>
      </w:pPr>
      <w:r>
        <w:rPr>
          <w:b/>
          <w:bCs/>
        </w:rPr>
        <w:t xml:space="preserve">Examples of Tier 1 Entities:</w:t>
      </w:r>
      <w:r>
        <w:t xml:space="preserve"> </w:t>
      </w:r>
      <w:r>
        <w:t xml:space="preserve">- Major hospitals with ICU and emergency departments</w:t>
      </w:r>
      <w:r>
        <w:t xml:space="preserve"> </w:t>
      </w:r>
      <w:r>
        <w:t xml:space="preserve">- National/regional health information exchanges (EHR platforms)</w:t>
      </w:r>
      <w:r>
        <w:t xml:space="preserve"> </w:t>
      </w:r>
      <w:r>
        <w:t xml:space="preserve">- National blood and organ allocation services</w:t>
      </w:r>
      <w:r>
        <w:t xml:space="preserve"> </w:t>
      </w:r>
      <w:r>
        <w:t xml:space="preserve">- Disease surveillance and epidemic response systems</w:t>
      </w:r>
      <w:r>
        <w:t xml:space="preserve"> </w:t>
      </w:r>
      <w:r>
        <w:t xml:space="preserve">- Emergency ambulance dispatch systems (CAD)</w:t>
      </w:r>
      <w:r>
        <w:t xml:space="preserve"> </w:t>
      </w:r>
      <w:r>
        <w:t xml:space="preserve">- Class III Grade A hospitals (China terminology)</w:t>
      </w:r>
    </w:p>
    <w:p>
      <w:r>
        <w:pict>
          <v:rect style="width:0;height:1.5pt" o:hralign="center" o:hrstd="t" o:hr="t"/>
        </w:pict>
      </w:r>
    </w:p>
    <w:bookmarkEnd w:id="354"/>
    <w:bookmarkStart w:id="355" w:name="tier-2-important"/>
    <w:p>
      <w:pPr>
        <w:pStyle w:val="Heading4"/>
      </w:pPr>
      <w:r>
        <w:t xml:space="preserve">TIER 2: Important</w:t>
      </w:r>
    </w:p>
    <w:tbl>
      <w:tblPr>
        <w:tblStyle w:val="Table"/>
        <w:tblW w:type="pct" w:w="5000"/>
        <w:tblLayout w:type="fixed"/>
        <w:tblLook w:firstRow="1" w:lastRow="0" w:firstColumn="0" w:lastColumn="0" w:noHBand="0" w:noVBand="0" w:val="0020"/>
      </w:tblPr>
      <w:tblGrid>
        <w:gridCol w:w="2489"/>
        <w:gridCol w:w="3620"/>
        <w:gridCol w:w="1810"/>
      </w:tblGrid>
      <w:tr>
        <w:trPr>
          <w:tblHeader w:val="on"/>
        </w:trPr>
        <w:tc>
          <w:tcPr/>
          <w:p>
            <w:pPr>
              <w:pStyle w:val="Compact"/>
              <w:jc w:val="left"/>
            </w:pPr>
            <w:r>
              <w:t xml:space="preserve">Criterion</w:t>
            </w:r>
          </w:p>
        </w:tc>
        <w:tc>
          <w:tcPr/>
          <w:p>
            <w:pPr>
              <w:pStyle w:val="Compact"/>
              <w:jc w:val="left"/>
            </w:pPr>
            <w:r>
              <w:t xml:space="preserve">Threshold/Test</w:t>
            </w:r>
          </w:p>
        </w:tc>
        <w:tc>
          <w:tcPr/>
          <w:p>
            <w:pPr>
              <w:pStyle w:val="Compact"/>
              <w:jc w:val="left"/>
            </w:pPr>
            <w:r>
              <w:t xml:space="preserve">Weight</w:t>
            </w:r>
          </w:p>
        </w:tc>
      </w:tr>
      <w:tr>
        <w:tc>
          <w:tcPr/>
          <w:p>
            <w:pPr>
              <w:pStyle w:val="Compact"/>
              <w:jc w:val="left"/>
            </w:pPr>
            <w:r>
              <w:rPr>
                <w:b/>
                <w:bCs/>
              </w:rPr>
              <w:t xml:space="preserve">Moderate Size</w:t>
            </w:r>
          </w:p>
        </w:tc>
        <w:tc>
          <w:tcPr/>
          <w:p>
            <w:pPr>
              <w:pStyle w:val="Compact"/>
              <w:jc w:val="left"/>
            </w:pPr>
            <w:r>
              <w:t xml:space="preserve">Employs 10-49 OR €2M-€10M turnover</w:t>
            </w:r>
          </w:p>
        </w:tc>
        <w:tc>
          <w:tcPr/>
          <w:p>
            <w:pPr>
              <w:pStyle w:val="Compact"/>
              <w:jc w:val="left"/>
            </w:pPr>
            <w:r>
              <w:t xml:space="preserve">Medium</w:t>
            </w:r>
          </w:p>
        </w:tc>
      </w:tr>
      <w:tr>
        <w:tc>
          <w:tcPr/>
          <w:p>
            <w:pPr>
              <w:pStyle w:val="Compact"/>
              <w:jc w:val="left"/>
            </w:pPr>
            <w:r>
              <w:rPr>
                <w:b/>
                <w:bCs/>
              </w:rPr>
              <w:t xml:space="preserve">Regional Service</w:t>
            </w:r>
          </w:p>
        </w:tc>
        <w:tc>
          <w:tcPr/>
          <w:p>
            <w:pPr>
              <w:pStyle w:val="Compact"/>
              <w:jc w:val="left"/>
            </w:pPr>
            <w:r>
              <w:t xml:space="preserve">Provides essential services at regional/metropolitan level</w:t>
            </w:r>
          </w:p>
        </w:tc>
        <w:tc>
          <w:tcPr/>
          <w:p>
            <w:pPr>
              <w:pStyle w:val="Compact"/>
              <w:jc w:val="left"/>
            </w:pPr>
            <w:r>
              <w:t xml:space="preserve">Medium</w:t>
            </w:r>
          </w:p>
        </w:tc>
      </w:tr>
      <w:tr>
        <w:tc>
          <w:tcPr/>
          <w:p>
            <w:pPr>
              <w:pStyle w:val="Compact"/>
              <w:jc w:val="left"/>
            </w:pPr>
            <w:r>
              <w:rPr>
                <w:b/>
                <w:bCs/>
              </w:rPr>
              <w:t xml:space="preserve">Supply Chain Criticality</w:t>
            </w:r>
          </w:p>
        </w:tc>
        <w:tc>
          <w:tcPr/>
          <w:p>
            <w:pPr>
              <w:pStyle w:val="Compact"/>
              <w:jc w:val="left"/>
            </w:pPr>
            <w:r>
              <w:t xml:space="preserve">Key supplier to Tier 1 entities</w:t>
            </w:r>
          </w:p>
        </w:tc>
        <w:tc>
          <w:tcPr/>
          <w:p>
            <w:pPr>
              <w:pStyle w:val="Compact"/>
              <w:jc w:val="left"/>
            </w:pPr>
            <w:r>
              <w:t xml:space="preserve">Medium</w:t>
            </w:r>
          </w:p>
        </w:tc>
      </w:tr>
      <w:tr>
        <w:tc>
          <w:tcPr/>
          <w:p>
            <w:pPr>
              <w:pStyle w:val="Compact"/>
              <w:jc w:val="left"/>
            </w:pPr>
            <w:r>
              <w:rPr>
                <w:b/>
                <w:bCs/>
              </w:rPr>
              <w:t xml:space="preserve">Specialty Care</w:t>
            </w:r>
          </w:p>
        </w:tc>
        <w:tc>
          <w:tcPr/>
          <w:p>
            <w:pPr>
              <w:pStyle w:val="Compact"/>
              <w:jc w:val="left"/>
            </w:pPr>
            <w:r>
              <w:t xml:space="preserve">Specialty hospital or referral center</w:t>
            </w:r>
          </w:p>
        </w:tc>
        <w:tc>
          <w:tcPr/>
          <w:p>
            <w:pPr>
              <w:pStyle w:val="Compact"/>
              <w:jc w:val="left"/>
            </w:pPr>
            <w:r>
              <w:t xml:space="preserve">Medium</w:t>
            </w:r>
          </w:p>
        </w:tc>
      </w:tr>
      <w:tr>
        <w:tc>
          <w:tcPr/>
          <w:p>
            <w:pPr>
              <w:pStyle w:val="Compact"/>
              <w:jc w:val="left"/>
            </w:pPr>
            <w:r>
              <w:rPr>
                <w:b/>
                <w:bCs/>
              </w:rPr>
              <w:t xml:space="preserve">Diagnostic Services</w:t>
            </w:r>
          </w:p>
        </w:tc>
        <w:tc>
          <w:tcPr/>
          <w:p>
            <w:pPr>
              <w:pStyle w:val="Compact"/>
              <w:jc w:val="left"/>
            </w:pPr>
            <w:r>
              <w:t xml:space="preserve">Medical laboratories (reference/diagnostic)</w:t>
            </w:r>
          </w:p>
        </w:tc>
        <w:tc>
          <w:tcPr/>
          <w:p>
            <w:pPr>
              <w:pStyle w:val="Compact"/>
              <w:jc w:val="left"/>
            </w:pPr>
            <w:r>
              <w:t xml:space="preserve">Medium</w:t>
            </w:r>
          </w:p>
        </w:tc>
      </w:tr>
      <w:tr>
        <w:tc>
          <w:tcPr/>
          <w:p>
            <w:pPr>
              <w:pStyle w:val="Compact"/>
              <w:jc w:val="left"/>
            </w:pPr>
            <w:r>
              <w:rPr>
                <w:b/>
                <w:bCs/>
              </w:rPr>
              <w:t xml:space="preserve">Pharmaceutical</w:t>
            </w:r>
          </w:p>
        </w:tc>
        <w:tc>
          <w:tcPr/>
          <w:p>
            <w:pPr>
              <w:pStyle w:val="Compact"/>
              <w:jc w:val="left"/>
            </w:pPr>
            <w:r>
              <w:t xml:space="preserve">Pharmaceutical manufacturers/distributors</w:t>
            </w:r>
          </w:p>
        </w:tc>
        <w:tc>
          <w:tcPr/>
          <w:p>
            <w:pPr>
              <w:pStyle w:val="Compact"/>
              <w:jc w:val="left"/>
            </w:pPr>
            <w:r>
              <w:t xml:space="preserve">Medium</w:t>
            </w:r>
          </w:p>
        </w:tc>
      </w:tr>
    </w:tbl>
    <w:p>
      <w:pPr>
        <w:pStyle w:val="BodyText"/>
      </w:pPr>
      <w:r>
        <w:rPr>
          <w:b/>
          <w:bCs/>
        </w:rPr>
        <w:t xml:space="preserve">Examples of Tier 2 Entities:</w:t>
      </w:r>
      <w:r>
        <w:t xml:space="preserve"> </w:t>
      </w:r>
      <w:r>
        <w:t xml:space="preserve">- Community hospitals without ICU but with significant ED</w:t>
      </w:r>
      <w:r>
        <w:t xml:space="preserve"> </w:t>
      </w:r>
      <w:r>
        <w:t xml:space="preserve">- Reference and diagnostic laboratories</w:t>
      </w:r>
      <w:r>
        <w:t xml:space="preserve"> </w:t>
      </w:r>
      <w:r>
        <w:t xml:space="preserve">- Pharmaceutical manufacturers and distributors</w:t>
      </w:r>
      <w:r>
        <w:t xml:space="preserve"> </w:t>
      </w:r>
      <w:r>
        <w:t xml:space="preserve">- Medical device manufacturers (especially IVD and implantables)</w:t>
      </w:r>
      <w:r>
        <w:t xml:space="preserve"> </w:t>
      </w:r>
      <w:r>
        <w:t xml:space="preserve">- Regional immunization registries</w:t>
      </w:r>
      <w:r>
        <w:t xml:space="preserve"> </w:t>
      </w:r>
      <w:r>
        <w:t xml:space="preserve">- Managed service providers (MSPs) serving health sector</w:t>
      </w:r>
    </w:p>
    <w:p>
      <w:r>
        <w:pict>
          <v:rect style="width:0;height:1.5pt" o:hralign="center" o:hrstd="t" o:hr="t"/>
        </w:pict>
      </w:r>
    </w:p>
    <w:bookmarkEnd w:id="355"/>
    <w:bookmarkStart w:id="356" w:name="tier-3-baseline"/>
    <w:p>
      <w:pPr>
        <w:pStyle w:val="Heading4"/>
      </w:pPr>
      <w:r>
        <w:t xml:space="preserve">TIER 3: Baseline</w:t>
      </w:r>
    </w:p>
    <w:tbl>
      <w:tblPr>
        <w:tblStyle w:val="Table"/>
        <w:tblW w:type="pct" w:w="5000"/>
        <w:tblLayout w:type="fixed"/>
        <w:tblLook w:firstRow="1" w:lastRow="0" w:firstColumn="0" w:lastColumn="0" w:noHBand="0" w:noVBand="0" w:val="0020"/>
      </w:tblPr>
      <w:tblGrid>
        <w:gridCol w:w="2489"/>
        <w:gridCol w:w="3620"/>
        <w:gridCol w:w="1810"/>
      </w:tblGrid>
      <w:tr>
        <w:trPr>
          <w:tblHeader w:val="on"/>
        </w:trPr>
        <w:tc>
          <w:tcPr/>
          <w:p>
            <w:pPr>
              <w:pStyle w:val="Compact"/>
              <w:jc w:val="left"/>
            </w:pPr>
            <w:r>
              <w:t xml:space="preserve">Criterion</w:t>
            </w:r>
          </w:p>
        </w:tc>
        <w:tc>
          <w:tcPr/>
          <w:p>
            <w:pPr>
              <w:pStyle w:val="Compact"/>
              <w:jc w:val="left"/>
            </w:pPr>
            <w:r>
              <w:t xml:space="preserve">Threshold/Test</w:t>
            </w:r>
          </w:p>
        </w:tc>
        <w:tc>
          <w:tcPr/>
          <w:p>
            <w:pPr>
              <w:pStyle w:val="Compact"/>
              <w:jc w:val="left"/>
            </w:pPr>
            <w:r>
              <w:t xml:space="preserve">Weight</w:t>
            </w:r>
          </w:p>
        </w:tc>
      </w:tr>
      <w:tr>
        <w:tc>
          <w:tcPr/>
          <w:p>
            <w:pPr>
              <w:pStyle w:val="Compact"/>
              <w:jc w:val="left"/>
            </w:pPr>
            <w:r>
              <w:rPr>
                <w:b/>
                <w:bCs/>
              </w:rPr>
              <w:t xml:space="preserve">Small Enterprise</w:t>
            </w:r>
          </w:p>
        </w:tc>
        <w:tc>
          <w:tcPr/>
          <w:p>
            <w:pPr>
              <w:pStyle w:val="Compact"/>
              <w:jc w:val="left"/>
            </w:pPr>
            <w:r>
              <w:t xml:space="preserve">&lt;10 employees AND &lt;€2M turnover</w:t>
            </w:r>
          </w:p>
        </w:tc>
        <w:tc>
          <w:tcPr/>
          <w:p>
            <w:pPr>
              <w:pStyle w:val="Compact"/>
              <w:jc w:val="left"/>
            </w:pPr>
            <w:r>
              <w:t xml:space="preserve">Low</w:t>
            </w:r>
          </w:p>
        </w:tc>
      </w:tr>
      <w:tr>
        <w:tc>
          <w:tcPr/>
          <w:p>
            <w:pPr>
              <w:pStyle w:val="Compact"/>
              <w:jc w:val="left"/>
            </w:pPr>
            <w:r>
              <w:rPr>
                <w:b/>
                <w:bCs/>
              </w:rPr>
              <w:t xml:space="preserve">Local Service</w:t>
            </w:r>
          </w:p>
        </w:tc>
        <w:tc>
          <w:tcPr/>
          <w:p>
            <w:pPr>
              <w:pStyle w:val="Compact"/>
              <w:jc w:val="left"/>
            </w:pPr>
            <w:r>
              <w:t xml:space="preserve">Provides primarily local/community services</w:t>
            </w:r>
          </w:p>
        </w:tc>
        <w:tc>
          <w:tcPr/>
          <w:p>
            <w:pPr>
              <w:pStyle w:val="Compact"/>
              <w:jc w:val="left"/>
            </w:pPr>
            <w:r>
              <w:t xml:space="preserve">Low</w:t>
            </w:r>
          </w:p>
        </w:tc>
      </w:tr>
      <w:tr>
        <w:tc>
          <w:tcPr/>
          <w:p>
            <w:pPr>
              <w:pStyle w:val="Compact"/>
              <w:jc w:val="left"/>
            </w:pPr>
            <w:r>
              <w:rPr>
                <w:b/>
                <w:bCs/>
              </w:rPr>
              <w:t xml:space="preserve">Redundancy Available</w:t>
            </w:r>
          </w:p>
        </w:tc>
        <w:tc>
          <w:tcPr/>
          <w:p>
            <w:pPr>
              <w:pStyle w:val="Compact"/>
              <w:jc w:val="left"/>
            </w:pPr>
            <w:r>
              <w:t xml:space="preserve">Alternative providers exist in the service area</w:t>
            </w:r>
          </w:p>
        </w:tc>
        <w:tc>
          <w:tcPr/>
          <w:p>
            <w:pPr>
              <w:pStyle w:val="Compact"/>
              <w:jc w:val="left"/>
            </w:pPr>
            <w:r>
              <w:t xml:space="preserve">Low</w:t>
            </w:r>
          </w:p>
        </w:tc>
      </w:tr>
      <w:tr>
        <w:tc>
          <w:tcPr/>
          <w:p>
            <w:pPr>
              <w:pStyle w:val="Compact"/>
              <w:jc w:val="left"/>
            </w:pPr>
            <w:r>
              <w:rPr>
                <w:b/>
                <w:bCs/>
              </w:rPr>
              <w:t xml:space="preserve">Non-acute Care</w:t>
            </w:r>
          </w:p>
        </w:tc>
        <w:tc>
          <w:tcPr/>
          <w:p>
            <w:pPr>
              <w:pStyle w:val="Compact"/>
              <w:jc w:val="left"/>
            </w:pPr>
            <w:r>
              <w:t xml:space="preserve">Outpatient specialty, primary care, wellness</w:t>
            </w:r>
          </w:p>
        </w:tc>
        <w:tc>
          <w:tcPr/>
          <w:p>
            <w:pPr>
              <w:pStyle w:val="Compact"/>
              <w:jc w:val="left"/>
            </w:pPr>
            <w:r>
              <w:t xml:space="preserve">Low</w:t>
            </w:r>
          </w:p>
        </w:tc>
      </w:tr>
    </w:tbl>
    <w:p>
      <w:pPr>
        <w:pStyle w:val="BodyText"/>
      </w:pPr>
      <w:r>
        <w:rPr>
          <w:b/>
          <w:bCs/>
        </w:rPr>
        <w:t xml:space="preserve">Examples of Tier 3 Entities:</w:t>
      </w:r>
      <w:r>
        <w:t xml:space="preserve"> </w:t>
      </w:r>
      <w:r>
        <w:t xml:space="preserve">- Primary care/GP clinics (unless sole provider)</w:t>
      </w:r>
      <w:r>
        <w:t xml:space="preserve"> </w:t>
      </w:r>
      <w:r>
        <w:t xml:space="preserve">- Outpatient specialty clinics</w:t>
      </w:r>
      <w:r>
        <w:t xml:space="preserve"> </w:t>
      </w:r>
      <w:r>
        <w:t xml:space="preserve">- Dental practices</w:t>
      </w:r>
      <w:r>
        <w:t xml:space="preserve"> </w:t>
      </w:r>
      <w:r>
        <w:t xml:space="preserve">- Allied health providers</w:t>
      </w:r>
      <w:r>
        <w:t xml:space="preserve"> </w:t>
      </w:r>
      <w:r>
        <w:t xml:space="preserve">- Health research institutions (non-pandemic)</w:t>
      </w:r>
    </w:p>
    <w:p>
      <w:r>
        <w:pict>
          <v:rect style="width:0;height:1.5pt" o:hralign="center" o:hrstd="t" o:hr="t"/>
        </w:pict>
      </w:r>
    </w:p>
    <w:bookmarkEnd w:id="356"/>
    <w:bookmarkEnd w:id="357"/>
    <w:bookmarkEnd w:id="358"/>
    <w:bookmarkStart w:id="362" w:name="part-3-scoring-methodology"/>
    <w:p>
      <w:pPr>
        <w:pStyle w:val="Heading2"/>
      </w:pPr>
      <w:r>
        <w:t xml:space="preserve">Part 3: Scoring Methodology</w:t>
      </w:r>
    </w:p>
    <w:bookmarkStart w:id="359" w:name="weighted-scoring-matrix"/>
    <w:p>
      <w:pPr>
        <w:pStyle w:val="Heading3"/>
      </w:pPr>
      <w:r>
        <w:t xml:space="preserve">3.1 Weighted Scoring Matrix</w:t>
      </w:r>
    </w:p>
    <w:p>
      <w:pPr>
        <w:pStyle w:val="FirstParagraph"/>
      </w:pPr>
      <w:r>
        <w:t xml:space="preserve">A</w:t>
      </w:r>
      <w:r>
        <w:t xml:space="preserve"> </w:t>
      </w:r>
      <w:r>
        <w:rPr>
          <w:b/>
          <w:bCs/>
        </w:rPr>
        <w:t xml:space="preserve">point-based scoring system</w:t>
      </w:r>
      <w:r>
        <w:t xml:space="preserve"> </w:t>
      </w:r>
      <w:r>
        <w:t xml:space="preserve">translates criteria into tier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w:t>
            </w:r>
          </w:p>
        </w:tc>
        <w:tc>
          <w:tcPr/>
          <w:p>
            <w:pPr>
              <w:pStyle w:val="Compact"/>
              <w:jc w:val="center"/>
            </w:pPr>
            <w:r>
              <w:t xml:space="preserve">Max Points</w:t>
            </w:r>
          </w:p>
        </w:tc>
      </w:tr>
      <w:tr>
        <w:tc>
          <w:tcPr/>
          <w:p>
            <w:pPr>
              <w:pStyle w:val="Compact"/>
              <w:jc w:val="left"/>
            </w:pPr>
            <w:r>
              <w:rPr>
                <w:b/>
                <w:bCs/>
              </w:rPr>
              <w:t xml:space="preserve">A. Scale</w:t>
            </w:r>
          </w:p>
        </w:tc>
        <w:tc>
          <w:tcPr/>
          <w:p>
            <w:pPr>
              <w:pStyle w:val="Compact"/>
            </w:pPr>
          </w:p>
        </w:tc>
        <w:tc>
          <w:tcPr/>
          <w:p>
            <w:pPr>
              <w:pStyle w:val="Compact"/>
            </w:pPr>
          </w:p>
        </w:tc>
        <w:tc>
          <w:tcPr/>
          <w:p>
            <w:pPr>
              <w:pStyle w:val="Compact"/>
              <w:jc w:val="center"/>
            </w:pPr>
            <w:r>
              <w:rPr>
                <w:b/>
                <w:bCs/>
              </w:rPr>
              <w:t xml:space="preserve">30</w:t>
            </w:r>
          </w:p>
        </w:tc>
      </w:tr>
      <w:tr>
        <w:tc>
          <w:tcPr/>
          <w:p>
            <w:pPr>
              <w:pStyle w:val="Compact"/>
            </w:pPr>
          </w:p>
        </w:tc>
        <w:tc>
          <w:tcPr/>
          <w:p>
            <w:pPr>
              <w:pStyle w:val="Compact"/>
              <w:jc w:val="left"/>
            </w:pPr>
            <w:r>
              <w:t xml:space="preserve">≥30,000 inpatient cases/year</w:t>
            </w:r>
          </w:p>
        </w:tc>
        <w:tc>
          <w:tcPr/>
          <w:p>
            <w:pPr>
              <w:pStyle w:val="Compact"/>
              <w:jc w:val="center"/>
            </w:pPr>
            <w:r>
              <w:t xml:space="preserve">30</w:t>
            </w:r>
          </w:p>
        </w:tc>
        <w:tc>
          <w:tcPr/>
          <w:p>
            <w:pPr>
              <w:pStyle w:val="Compact"/>
            </w:pPr>
          </w:p>
        </w:tc>
      </w:tr>
      <w:tr>
        <w:tc>
          <w:tcPr/>
          <w:p>
            <w:pPr>
              <w:pStyle w:val="Compact"/>
            </w:pPr>
          </w:p>
        </w:tc>
        <w:tc>
          <w:tcPr/>
          <w:p>
            <w:pPr>
              <w:pStyle w:val="Compact"/>
              <w:jc w:val="left"/>
            </w:pPr>
            <w:r>
              <w:t xml:space="preserve">15,000–29,999 cases/year</w:t>
            </w:r>
          </w:p>
        </w:tc>
        <w:tc>
          <w:tcPr/>
          <w:p>
            <w:pPr>
              <w:pStyle w:val="Compact"/>
              <w:jc w:val="center"/>
            </w:pPr>
            <w:r>
              <w:t xml:space="preserve">20</w:t>
            </w:r>
          </w:p>
        </w:tc>
        <w:tc>
          <w:tcPr/>
          <w:p>
            <w:pPr>
              <w:pStyle w:val="Compact"/>
            </w:pPr>
          </w:p>
        </w:tc>
      </w:tr>
      <w:tr>
        <w:tc>
          <w:tcPr/>
          <w:p>
            <w:pPr>
              <w:pStyle w:val="Compact"/>
            </w:pPr>
          </w:p>
        </w:tc>
        <w:tc>
          <w:tcPr/>
          <w:p>
            <w:pPr>
              <w:pStyle w:val="Compact"/>
              <w:jc w:val="left"/>
            </w:pPr>
            <w:r>
              <w:t xml:space="preserve">5,000–14,999 cases/year</w:t>
            </w:r>
          </w:p>
        </w:tc>
        <w:tc>
          <w:tcPr/>
          <w:p>
            <w:pPr>
              <w:pStyle w:val="Compact"/>
              <w:jc w:val="center"/>
            </w:pPr>
            <w:r>
              <w:t xml:space="preserve">10</w:t>
            </w:r>
          </w:p>
        </w:tc>
        <w:tc>
          <w:tcPr/>
          <w:p>
            <w:pPr>
              <w:pStyle w:val="Compact"/>
            </w:pPr>
          </w:p>
        </w:tc>
      </w:tr>
      <w:tr>
        <w:tc>
          <w:tcPr/>
          <w:p>
            <w:pPr>
              <w:pStyle w:val="Compact"/>
            </w:pPr>
          </w:p>
        </w:tc>
        <w:tc>
          <w:tcPr/>
          <w:p>
            <w:pPr>
              <w:pStyle w:val="Compact"/>
              <w:jc w:val="left"/>
            </w:pPr>
            <w:r>
              <w:t xml:space="preserve">&lt;5,000 cases/year</w:t>
            </w:r>
          </w:p>
        </w:tc>
        <w:tc>
          <w:tcPr/>
          <w:p>
            <w:pPr>
              <w:pStyle w:val="Compact"/>
              <w:jc w:val="center"/>
            </w:pPr>
            <w:r>
              <w:t xml:space="preserve">5</w:t>
            </w:r>
          </w:p>
        </w:tc>
        <w:tc>
          <w:tcPr/>
          <w:p>
            <w:pPr>
              <w:pStyle w:val="Compact"/>
            </w:pPr>
          </w:p>
        </w:tc>
      </w:tr>
      <w:tr>
        <w:tc>
          <w:tcPr/>
          <w:p>
            <w:pPr>
              <w:pStyle w:val="Compact"/>
              <w:jc w:val="left"/>
            </w:pPr>
            <w:r>
              <w:rPr>
                <w:b/>
                <w:bCs/>
              </w:rPr>
              <w:t xml:space="preserve">B. Capability</w:t>
            </w:r>
          </w:p>
        </w:tc>
        <w:tc>
          <w:tcPr/>
          <w:p>
            <w:pPr>
              <w:pStyle w:val="Compact"/>
            </w:pPr>
          </w:p>
        </w:tc>
        <w:tc>
          <w:tcPr/>
          <w:p>
            <w:pPr>
              <w:pStyle w:val="Compact"/>
            </w:pPr>
          </w:p>
        </w:tc>
        <w:tc>
          <w:tcPr/>
          <w:p>
            <w:pPr>
              <w:pStyle w:val="Compact"/>
              <w:jc w:val="center"/>
            </w:pPr>
            <w:r>
              <w:rPr>
                <w:b/>
                <w:bCs/>
              </w:rPr>
              <w:t xml:space="preserve">25</w:t>
            </w:r>
          </w:p>
        </w:tc>
      </w:tr>
      <w:tr>
        <w:tc>
          <w:tcPr/>
          <w:p>
            <w:pPr>
              <w:pStyle w:val="Compact"/>
            </w:pPr>
          </w:p>
        </w:tc>
        <w:tc>
          <w:tcPr/>
          <w:p>
            <w:pPr>
              <w:pStyle w:val="Compact"/>
              <w:jc w:val="left"/>
            </w:pPr>
            <w:r>
              <w:t xml:space="preserve">General ICU present</w:t>
            </w:r>
          </w:p>
        </w:tc>
        <w:tc>
          <w:tcPr/>
          <w:p>
            <w:pPr>
              <w:pStyle w:val="Compact"/>
              <w:jc w:val="center"/>
            </w:pPr>
            <w:r>
              <w:t xml:space="preserve">25</w:t>
            </w:r>
          </w:p>
        </w:tc>
        <w:tc>
          <w:tcPr/>
          <w:p>
            <w:pPr>
              <w:pStyle w:val="Compact"/>
            </w:pPr>
          </w:p>
        </w:tc>
      </w:tr>
      <w:tr>
        <w:tc>
          <w:tcPr/>
          <w:p>
            <w:pPr>
              <w:pStyle w:val="Compact"/>
            </w:pPr>
          </w:p>
        </w:tc>
        <w:tc>
          <w:tcPr/>
          <w:p>
            <w:pPr>
              <w:pStyle w:val="Compact"/>
              <w:jc w:val="left"/>
            </w:pPr>
            <w:r>
              <w:t xml:space="preserve">High-dependency unit (no ICU)</w:t>
            </w:r>
          </w:p>
        </w:tc>
        <w:tc>
          <w:tcPr/>
          <w:p>
            <w:pPr>
              <w:pStyle w:val="Compact"/>
              <w:jc w:val="center"/>
            </w:pPr>
            <w:r>
              <w:t xml:space="preserve">15</w:t>
            </w:r>
          </w:p>
        </w:tc>
        <w:tc>
          <w:tcPr/>
          <w:p>
            <w:pPr>
              <w:pStyle w:val="Compact"/>
            </w:pPr>
          </w:p>
        </w:tc>
      </w:tr>
      <w:tr>
        <w:tc>
          <w:tcPr/>
          <w:p>
            <w:pPr>
              <w:pStyle w:val="Compact"/>
            </w:pPr>
          </w:p>
        </w:tc>
        <w:tc>
          <w:tcPr/>
          <w:p>
            <w:pPr>
              <w:pStyle w:val="Compact"/>
              <w:jc w:val="left"/>
            </w:pPr>
            <w:r>
              <w:t xml:space="preserve">Emergency department only</w:t>
            </w:r>
          </w:p>
        </w:tc>
        <w:tc>
          <w:tcPr/>
          <w:p>
            <w:pPr>
              <w:pStyle w:val="Compact"/>
              <w:jc w:val="center"/>
            </w:pPr>
            <w:r>
              <w:t xml:space="preserve">10</w:t>
            </w:r>
          </w:p>
        </w:tc>
        <w:tc>
          <w:tcPr/>
          <w:p>
            <w:pPr>
              <w:pStyle w:val="Compact"/>
            </w:pPr>
          </w:p>
        </w:tc>
      </w:tr>
      <w:tr>
        <w:tc>
          <w:tcPr/>
          <w:p>
            <w:pPr>
              <w:pStyle w:val="Compact"/>
            </w:pPr>
          </w:p>
        </w:tc>
        <w:tc>
          <w:tcPr/>
          <w:p>
            <w:pPr>
              <w:pStyle w:val="Compact"/>
              <w:jc w:val="left"/>
            </w:pPr>
            <w:r>
              <w:t xml:space="preserve">No acute care capability</w:t>
            </w:r>
          </w:p>
        </w:tc>
        <w:tc>
          <w:tcPr/>
          <w:p>
            <w:pPr>
              <w:pStyle w:val="Compact"/>
              <w:jc w:val="center"/>
            </w:pPr>
            <w:r>
              <w:t xml:space="preserve">0</w:t>
            </w:r>
          </w:p>
        </w:tc>
        <w:tc>
          <w:tcPr/>
          <w:p>
            <w:pPr>
              <w:pStyle w:val="Compact"/>
            </w:pPr>
          </w:p>
        </w:tc>
      </w:tr>
      <w:tr>
        <w:tc>
          <w:tcPr/>
          <w:p>
            <w:pPr>
              <w:pStyle w:val="Compact"/>
              <w:jc w:val="left"/>
            </w:pPr>
            <w:r>
              <w:rPr>
                <w:b/>
                <w:bCs/>
              </w:rPr>
              <w:t xml:space="preserve">C. Functions</w:t>
            </w:r>
          </w:p>
        </w:tc>
        <w:tc>
          <w:tcPr/>
          <w:p>
            <w:pPr>
              <w:pStyle w:val="Compact"/>
            </w:pPr>
          </w:p>
        </w:tc>
        <w:tc>
          <w:tcPr/>
          <w:p>
            <w:pPr>
              <w:pStyle w:val="Compact"/>
            </w:pPr>
          </w:p>
        </w:tc>
        <w:tc>
          <w:tcPr/>
          <w:p>
            <w:pPr>
              <w:pStyle w:val="Compact"/>
              <w:jc w:val="center"/>
            </w:pPr>
            <w:r>
              <w:rPr>
                <w:b/>
                <w:bCs/>
              </w:rPr>
              <w:t xml:space="preserve">25</w:t>
            </w:r>
          </w:p>
        </w:tc>
      </w:tr>
      <w:tr>
        <w:tc>
          <w:tcPr/>
          <w:p>
            <w:pPr>
              <w:pStyle w:val="Compact"/>
            </w:pPr>
          </w:p>
        </w:tc>
        <w:tc>
          <w:tcPr/>
          <w:p>
            <w:pPr>
              <w:pStyle w:val="Compact"/>
              <w:jc w:val="left"/>
            </w:pPr>
            <w:r>
              <w:t xml:space="preserve">Emergency dispatch (111/999/911)</w:t>
            </w:r>
          </w:p>
        </w:tc>
        <w:tc>
          <w:tcPr/>
          <w:p>
            <w:pPr>
              <w:pStyle w:val="Compact"/>
              <w:jc w:val="center"/>
            </w:pPr>
            <w:r>
              <w:t xml:space="preserve">25</w:t>
            </w:r>
          </w:p>
        </w:tc>
        <w:tc>
          <w:tcPr/>
          <w:p>
            <w:pPr>
              <w:pStyle w:val="Compact"/>
            </w:pPr>
          </w:p>
        </w:tc>
      </w:tr>
      <w:tr>
        <w:tc>
          <w:tcPr/>
          <w:p>
            <w:pPr>
              <w:pStyle w:val="Compact"/>
            </w:pPr>
          </w:p>
        </w:tc>
        <w:tc>
          <w:tcPr/>
          <w:p>
            <w:pPr>
              <w:pStyle w:val="Compact"/>
              <w:jc w:val="left"/>
            </w:pPr>
            <w:r>
              <w:t xml:space="preserve">Blood bank/transfusion services</w:t>
            </w:r>
          </w:p>
        </w:tc>
        <w:tc>
          <w:tcPr/>
          <w:p>
            <w:pPr>
              <w:pStyle w:val="Compact"/>
              <w:jc w:val="center"/>
            </w:pPr>
            <w:r>
              <w:t xml:space="preserve">20</w:t>
            </w:r>
          </w:p>
        </w:tc>
        <w:tc>
          <w:tcPr/>
          <w:p>
            <w:pPr>
              <w:pStyle w:val="Compact"/>
            </w:pPr>
          </w:p>
        </w:tc>
      </w:tr>
      <w:tr>
        <w:tc>
          <w:tcPr/>
          <w:p>
            <w:pPr>
              <w:pStyle w:val="Compact"/>
            </w:pPr>
          </w:p>
        </w:tc>
        <w:tc>
          <w:tcPr/>
          <w:p>
            <w:pPr>
              <w:pStyle w:val="Compact"/>
              <w:jc w:val="left"/>
            </w:pPr>
            <w:r>
              <w:t xml:space="preserve">Disease surveillance (national/regional)</w:t>
            </w:r>
          </w:p>
        </w:tc>
        <w:tc>
          <w:tcPr/>
          <w:p>
            <w:pPr>
              <w:pStyle w:val="Compact"/>
              <w:jc w:val="center"/>
            </w:pPr>
            <w:r>
              <w:t xml:space="preserve">20</w:t>
            </w:r>
          </w:p>
        </w:tc>
        <w:tc>
          <w:tcPr/>
          <w:p>
            <w:pPr>
              <w:pStyle w:val="Compact"/>
            </w:pPr>
          </w:p>
        </w:tc>
      </w:tr>
      <w:tr>
        <w:tc>
          <w:tcPr/>
          <w:p>
            <w:pPr>
              <w:pStyle w:val="Compact"/>
            </w:pPr>
          </w:p>
        </w:tc>
        <w:tc>
          <w:tcPr/>
          <w:p>
            <w:pPr>
              <w:pStyle w:val="Compact"/>
              <w:jc w:val="left"/>
            </w:pPr>
            <w:r>
              <w:t xml:space="preserve">Organ allocation services</w:t>
            </w:r>
          </w:p>
        </w:tc>
        <w:tc>
          <w:tcPr/>
          <w:p>
            <w:pPr>
              <w:pStyle w:val="Compact"/>
              <w:jc w:val="center"/>
            </w:pPr>
            <w:r>
              <w:t xml:space="preserve">20</w:t>
            </w:r>
          </w:p>
        </w:tc>
        <w:tc>
          <w:tcPr/>
          <w:p>
            <w:pPr>
              <w:pStyle w:val="Compact"/>
            </w:pPr>
          </w:p>
        </w:tc>
      </w:tr>
      <w:tr>
        <w:tc>
          <w:tcPr/>
          <w:p>
            <w:pPr>
              <w:pStyle w:val="Compact"/>
            </w:pPr>
          </w:p>
        </w:tc>
        <w:tc>
          <w:tcPr/>
          <w:p>
            <w:pPr>
              <w:pStyle w:val="Compact"/>
              <w:jc w:val="left"/>
            </w:pPr>
            <w:r>
              <w:t xml:space="preserve">National EHR/HIE platform</w:t>
            </w:r>
          </w:p>
        </w:tc>
        <w:tc>
          <w:tcPr/>
          <w:p>
            <w:pPr>
              <w:pStyle w:val="Compact"/>
              <w:jc w:val="center"/>
            </w:pPr>
            <w:r>
              <w:t xml:space="preserve">25</w:t>
            </w:r>
          </w:p>
        </w:tc>
        <w:tc>
          <w:tcPr/>
          <w:p>
            <w:pPr>
              <w:pStyle w:val="Compact"/>
            </w:pPr>
          </w:p>
        </w:tc>
      </w:tr>
      <w:tr>
        <w:tc>
          <w:tcPr/>
          <w:p>
            <w:pPr>
              <w:pStyle w:val="Compact"/>
            </w:pPr>
          </w:p>
        </w:tc>
        <w:tc>
          <w:tcPr/>
          <w:p>
            <w:pPr>
              <w:pStyle w:val="Compact"/>
              <w:jc w:val="left"/>
            </w:pPr>
            <w:r>
              <w:t xml:space="preserve">Regional EHR/HIE platform</w:t>
            </w:r>
          </w:p>
        </w:tc>
        <w:tc>
          <w:tcPr/>
          <w:p>
            <w:pPr>
              <w:pStyle w:val="Compact"/>
              <w:jc w:val="center"/>
            </w:pPr>
            <w:r>
              <w:t xml:space="preserve">15</w:t>
            </w:r>
          </w:p>
        </w:tc>
        <w:tc>
          <w:tcPr/>
          <w:p>
            <w:pPr>
              <w:pStyle w:val="Compact"/>
            </w:pPr>
          </w:p>
        </w:tc>
      </w:tr>
      <w:tr>
        <w:tc>
          <w:tcPr/>
          <w:p>
            <w:pPr>
              <w:pStyle w:val="Compact"/>
              <w:jc w:val="left"/>
            </w:pPr>
            <w:r>
              <w:rPr>
                <w:b/>
                <w:bCs/>
              </w:rPr>
              <w:t xml:space="preserve">D. Uniqueness</w:t>
            </w:r>
          </w:p>
        </w:tc>
        <w:tc>
          <w:tcPr/>
          <w:p>
            <w:pPr>
              <w:pStyle w:val="Compact"/>
            </w:pPr>
          </w:p>
        </w:tc>
        <w:tc>
          <w:tcPr/>
          <w:p>
            <w:pPr>
              <w:pStyle w:val="Compact"/>
            </w:pPr>
          </w:p>
        </w:tc>
        <w:tc>
          <w:tcPr/>
          <w:p>
            <w:pPr>
              <w:pStyle w:val="Compact"/>
              <w:jc w:val="center"/>
            </w:pPr>
            <w:r>
              <w:rPr>
                <w:b/>
                <w:bCs/>
              </w:rPr>
              <w:t xml:space="preserve">10</w:t>
            </w:r>
          </w:p>
        </w:tc>
      </w:tr>
      <w:tr>
        <w:tc>
          <w:tcPr/>
          <w:p>
            <w:pPr>
              <w:pStyle w:val="Compact"/>
            </w:pPr>
          </w:p>
        </w:tc>
        <w:tc>
          <w:tcPr/>
          <w:p>
            <w:pPr>
              <w:pStyle w:val="Compact"/>
              <w:jc w:val="left"/>
            </w:pPr>
            <w:r>
              <w:t xml:space="preserve">Sole provider in region</w:t>
            </w:r>
          </w:p>
        </w:tc>
        <w:tc>
          <w:tcPr/>
          <w:p>
            <w:pPr>
              <w:pStyle w:val="Compact"/>
              <w:jc w:val="center"/>
            </w:pPr>
            <w:r>
              <w:t xml:space="preserve">10</w:t>
            </w:r>
          </w:p>
        </w:tc>
        <w:tc>
          <w:tcPr/>
          <w:p>
            <w:pPr>
              <w:pStyle w:val="Compact"/>
            </w:pPr>
          </w:p>
        </w:tc>
      </w:tr>
      <w:tr>
        <w:tc>
          <w:tcPr/>
          <w:p>
            <w:pPr>
              <w:pStyle w:val="Compact"/>
            </w:pPr>
          </w:p>
        </w:tc>
        <w:tc>
          <w:tcPr/>
          <w:p>
            <w:pPr>
              <w:pStyle w:val="Compact"/>
              <w:jc w:val="left"/>
            </w:pPr>
            <w:r>
              <w:t xml:space="preserve">Unique specialty capability</w:t>
            </w:r>
          </w:p>
        </w:tc>
        <w:tc>
          <w:tcPr/>
          <w:p>
            <w:pPr>
              <w:pStyle w:val="Compact"/>
              <w:jc w:val="center"/>
            </w:pPr>
            <w:r>
              <w:t xml:space="preserve">8</w:t>
            </w:r>
          </w:p>
        </w:tc>
        <w:tc>
          <w:tcPr/>
          <w:p>
            <w:pPr>
              <w:pStyle w:val="Compact"/>
            </w:pPr>
          </w:p>
        </w:tc>
      </w:tr>
      <w:tr>
        <w:tc>
          <w:tcPr/>
          <w:p>
            <w:pPr>
              <w:pStyle w:val="Compact"/>
            </w:pPr>
          </w:p>
        </w:tc>
        <w:tc>
          <w:tcPr/>
          <w:p>
            <w:pPr>
              <w:pStyle w:val="Compact"/>
              <w:jc w:val="left"/>
            </w:pPr>
            <w:r>
              <w:t xml:space="preserve">Alternative providers available</w:t>
            </w:r>
          </w:p>
        </w:tc>
        <w:tc>
          <w:tcPr/>
          <w:p>
            <w:pPr>
              <w:pStyle w:val="Compact"/>
              <w:jc w:val="center"/>
            </w:pPr>
            <w:r>
              <w:t xml:space="preserve">0</w:t>
            </w:r>
          </w:p>
        </w:tc>
        <w:tc>
          <w:tcPr/>
          <w:p>
            <w:pPr>
              <w:pStyle w:val="Compact"/>
            </w:pPr>
          </w:p>
        </w:tc>
      </w:tr>
      <w:tr>
        <w:tc>
          <w:tcPr/>
          <w:p>
            <w:pPr>
              <w:pStyle w:val="Compact"/>
              <w:jc w:val="left"/>
            </w:pPr>
            <w:r>
              <w:rPr>
                <w:b/>
                <w:bCs/>
              </w:rPr>
              <w:t xml:space="preserve">E. Dependencies</w:t>
            </w:r>
          </w:p>
        </w:tc>
        <w:tc>
          <w:tcPr/>
          <w:p>
            <w:pPr>
              <w:pStyle w:val="Compact"/>
            </w:pPr>
          </w:p>
        </w:tc>
        <w:tc>
          <w:tcPr/>
          <w:p>
            <w:pPr>
              <w:pStyle w:val="Compact"/>
            </w:pPr>
          </w:p>
        </w:tc>
        <w:tc>
          <w:tcPr/>
          <w:p>
            <w:pPr>
              <w:pStyle w:val="Compact"/>
              <w:jc w:val="center"/>
            </w:pPr>
            <w:r>
              <w:rPr>
                <w:b/>
                <w:bCs/>
              </w:rPr>
              <w:t xml:space="preserve">10</w:t>
            </w:r>
          </w:p>
        </w:tc>
      </w:tr>
      <w:tr>
        <w:tc>
          <w:tcPr/>
          <w:p>
            <w:pPr>
              <w:pStyle w:val="Compact"/>
            </w:pPr>
          </w:p>
        </w:tc>
        <w:tc>
          <w:tcPr/>
          <w:p>
            <w:pPr>
              <w:pStyle w:val="Compact"/>
              <w:jc w:val="left"/>
            </w:pPr>
            <w:r>
              <w:t xml:space="preserve">Cross-sector dependencies (telecom, power)</w:t>
            </w:r>
          </w:p>
        </w:tc>
        <w:tc>
          <w:tcPr/>
          <w:p>
            <w:pPr>
              <w:pStyle w:val="Compact"/>
              <w:jc w:val="center"/>
            </w:pPr>
            <w:r>
              <w:t xml:space="preserve">10</w:t>
            </w:r>
          </w:p>
        </w:tc>
        <w:tc>
          <w:tcPr/>
          <w:p>
            <w:pPr>
              <w:pStyle w:val="Compact"/>
            </w:pPr>
          </w:p>
        </w:tc>
      </w:tr>
      <w:tr>
        <w:tc>
          <w:tcPr/>
          <w:p>
            <w:pPr>
              <w:pStyle w:val="Compact"/>
            </w:pPr>
          </w:p>
        </w:tc>
        <w:tc>
          <w:tcPr/>
          <w:p>
            <w:pPr>
              <w:pStyle w:val="Compact"/>
              <w:jc w:val="left"/>
            </w:pPr>
            <w:r>
              <w:t xml:space="preserve">Other health systems depend on this entity</w:t>
            </w:r>
          </w:p>
        </w:tc>
        <w:tc>
          <w:tcPr/>
          <w:p>
            <w:pPr>
              <w:pStyle w:val="Compact"/>
              <w:jc w:val="center"/>
            </w:pPr>
            <w:r>
              <w:t xml:space="preserve">8</w:t>
            </w:r>
          </w:p>
        </w:tc>
        <w:tc>
          <w:tcPr/>
          <w:p>
            <w:pPr>
              <w:pStyle w:val="Compact"/>
            </w:pPr>
          </w:p>
        </w:tc>
      </w:tr>
      <w:tr>
        <w:tc>
          <w:tcPr/>
          <w:p>
            <w:pPr>
              <w:pStyle w:val="Compact"/>
            </w:pPr>
          </w:p>
        </w:tc>
        <w:tc>
          <w:tcPr/>
          <w:p>
            <w:pPr>
              <w:pStyle w:val="Compact"/>
              <w:jc w:val="left"/>
            </w:pPr>
            <w:r>
              <w:t xml:space="preserve">Limited external dependencies</w:t>
            </w:r>
          </w:p>
        </w:tc>
        <w:tc>
          <w:tcPr/>
          <w:p>
            <w:pPr>
              <w:pStyle w:val="Compact"/>
              <w:jc w:val="center"/>
            </w:pPr>
            <w:r>
              <w:t xml:space="preserve">3</w:t>
            </w:r>
          </w:p>
        </w:tc>
        <w:tc>
          <w:tcPr/>
          <w:p>
            <w:pPr>
              <w:pStyle w:val="Compact"/>
            </w:pPr>
          </w:p>
        </w:tc>
      </w:tr>
    </w:tbl>
    <w:bookmarkEnd w:id="359"/>
    <w:bookmarkStart w:id="360" w:name="tier-classification-thresholds"/>
    <w:p>
      <w:pPr>
        <w:pStyle w:val="Heading3"/>
      </w:pPr>
      <w:r>
        <w:t xml:space="preserve">3.2 Tier Classification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Score Range</w:t>
            </w:r>
          </w:p>
        </w:tc>
        <w:tc>
          <w:tcPr/>
          <w:p>
            <w:pPr>
              <w:pStyle w:val="Compact"/>
              <w:jc w:val="left"/>
            </w:pPr>
            <w:r>
              <w:t xml:space="preserve">Classification</w:t>
            </w:r>
          </w:p>
        </w:tc>
      </w:tr>
      <w:tr>
        <w:tc>
          <w:tcPr/>
          <w:p>
            <w:pPr>
              <w:pStyle w:val="Compact"/>
              <w:jc w:val="left"/>
            </w:pPr>
            <w:r>
              <w:rPr>
                <w:b/>
                <w:bCs/>
              </w:rPr>
              <w:t xml:space="preserve">Tier 1</w:t>
            </w:r>
          </w:p>
        </w:tc>
        <w:tc>
          <w:tcPr/>
          <w:p>
            <w:pPr>
              <w:pStyle w:val="Compact"/>
              <w:jc w:val="left"/>
            </w:pPr>
            <w:r>
              <w:t xml:space="preserve">≥60 points</w:t>
            </w:r>
          </w:p>
        </w:tc>
        <w:tc>
          <w:tcPr/>
          <w:p>
            <w:pPr>
              <w:pStyle w:val="Compact"/>
              <w:jc w:val="left"/>
            </w:pPr>
            <w:r>
              <w:t xml:space="preserve">Essential</w:t>
            </w:r>
          </w:p>
        </w:tc>
      </w:tr>
      <w:tr>
        <w:tc>
          <w:tcPr/>
          <w:p>
            <w:pPr>
              <w:pStyle w:val="Compact"/>
              <w:jc w:val="left"/>
            </w:pPr>
            <w:r>
              <w:rPr>
                <w:b/>
                <w:bCs/>
              </w:rPr>
              <w:t xml:space="preserve">Tier 2</w:t>
            </w:r>
          </w:p>
        </w:tc>
        <w:tc>
          <w:tcPr/>
          <w:p>
            <w:pPr>
              <w:pStyle w:val="Compact"/>
              <w:jc w:val="left"/>
            </w:pPr>
            <w:r>
              <w:t xml:space="preserve">30–59 points</w:t>
            </w:r>
          </w:p>
        </w:tc>
        <w:tc>
          <w:tcPr/>
          <w:p>
            <w:pPr>
              <w:pStyle w:val="Compact"/>
              <w:jc w:val="left"/>
            </w:pPr>
            <w:r>
              <w:t xml:space="preserve">Important</w:t>
            </w:r>
          </w:p>
        </w:tc>
      </w:tr>
      <w:tr>
        <w:tc>
          <w:tcPr/>
          <w:p>
            <w:pPr>
              <w:pStyle w:val="Compact"/>
              <w:jc w:val="left"/>
            </w:pPr>
            <w:r>
              <w:rPr>
                <w:b/>
                <w:bCs/>
              </w:rPr>
              <w:t xml:space="preserve">Tier 3</w:t>
            </w:r>
          </w:p>
        </w:tc>
        <w:tc>
          <w:tcPr/>
          <w:p>
            <w:pPr>
              <w:pStyle w:val="Compact"/>
              <w:jc w:val="left"/>
            </w:pPr>
            <w:r>
              <w:t xml:space="preserve">&lt;30 points</w:t>
            </w:r>
          </w:p>
        </w:tc>
        <w:tc>
          <w:tcPr/>
          <w:p>
            <w:pPr>
              <w:pStyle w:val="Compact"/>
              <w:jc w:val="left"/>
            </w:pPr>
            <w:r>
              <w:t xml:space="preserve">Baseline</w:t>
            </w:r>
          </w:p>
        </w:tc>
      </w:tr>
    </w:tbl>
    <w:bookmarkEnd w:id="360"/>
    <w:bookmarkStart w:id="361" w:name="Xfabeb31f20db8a2e79d3604754e5f1e92655255"/>
    <w:p>
      <w:pPr>
        <w:pStyle w:val="Heading3"/>
      </w:pPr>
      <w:r>
        <w:t xml:space="preserve">3.3 Automatic Tier 1 Triggers (</w:t>
      </w:r>
      <w:r>
        <w:t xml:space="preserve">“Regardless of Size”</w:t>
      </w:r>
      <w:r>
        <w:t xml:space="preserve"> </w:t>
      </w:r>
      <w:r>
        <w:t xml:space="preserve">Criteria)</w:t>
      </w:r>
    </w:p>
    <w:p>
      <w:pPr>
        <w:pStyle w:val="FirstParagraph"/>
      </w:pPr>
      <w:r>
        <w:t xml:space="preserve">Regardless of score, an entity is automatically classified as</w:t>
      </w:r>
      <w:r>
        <w:t xml:space="preserve"> </w:t>
      </w:r>
      <w:r>
        <w:rPr>
          <w:b/>
          <w:bCs/>
        </w:rPr>
        <w:t xml:space="preserve">Tier 1</w:t>
      </w:r>
      <w:r>
        <w:t xml:space="preserve"> </w:t>
      </w:r>
      <w:r>
        <w:t xml:space="preserve">if:</w:t>
      </w:r>
    </w:p>
    <w:p>
      <w:pPr>
        <w:pStyle w:val="Compact"/>
        <w:numPr>
          <w:ilvl w:val="0"/>
          <w:numId w:val="1304"/>
        </w:numPr>
      </w:pPr>
      <w:r>
        <w:rPr>
          <w:b/>
          <w:bCs/>
        </w:rPr>
        <w:t xml:space="preserve">Sole provider</w:t>
      </w:r>
      <w:r>
        <w:t xml:space="preserve"> </w:t>
      </w:r>
      <w:r>
        <w:t xml:space="preserve">of an essential health service in a geographic area</w:t>
      </w:r>
    </w:p>
    <w:p>
      <w:pPr>
        <w:pStyle w:val="Compact"/>
        <w:numPr>
          <w:ilvl w:val="0"/>
          <w:numId w:val="1304"/>
        </w:numPr>
      </w:pPr>
      <w:r>
        <w:t xml:space="preserve">Operates a</w:t>
      </w:r>
      <w:r>
        <w:t xml:space="preserve"> </w:t>
      </w:r>
      <w:r>
        <w:rPr>
          <w:b/>
          <w:bCs/>
        </w:rPr>
        <w:t xml:space="preserve">national-level</w:t>
      </w:r>
      <w:r>
        <w:t xml:space="preserve"> </w:t>
      </w:r>
      <w:r>
        <w:t xml:space="preserve">health information system</w:t>
      </w:r>
    </w:p>
    <w:p>
      <w:pPr>
        <w:pStyle w:val="Compact"/>
        <w:numPr>
          <w:ilvl w:val="0"/>
          <w:numId w:val="1304"/>
        </w:numPr>
      </w:pPr>
      <w:r>
        <w:t xml:space="preserve">Operates</w:t>
      </w:r>
      <w:r>
        <w:t xml:space="preserve"> </w:t>
      </w:r>
      <w:r>
        <w:rPr>
          <w:b/>
          <w:bCs/>
        </w:rPr>
        <w:t xml:space="preserve">emergency ambulance dispatch</w:t>
      </w:r>
      <w:r>
        <w:t xml:space="preserve"> </w:t>
      </w:r>
      <w:r>
        <w:t xml:space="preserve">or</w:t>
      </w:r>
      <w:r>
        <w:t xml:space="preserve"> </w:t>
      </w:r>
      <w:r>
        <w:rPr>
          <w:b/>
          <w:bCs/>
        </w:rPr>
        <w:t xml:space="preserve">air ambulance</w:t>
      </w:r>
      <w:r>
        <w:t xml:space="preserve"> </w:t>
      </w:r>
      <w:r>
        <w:t xml:space="preserve">services</w:t>
      </w:r>
    </w:p>
    <w:p>
      <w:pPr>
        <w:pStyle w:val="Compact"/>
        <w:numPr>
          <w:ilvl w:val="0"/>
          <w:numId w:val="1304"/>
        </w:numPr>
      </w:pPr>
      <w:r>
        <w:t xml:space="preserve">Operates</w:t>
      </w:r>
      <w:r>
        <w:t xml:space="preserve"> </w:t>
      </w:r>
      <w:r>
        <w:rPr>
          <w:b/>
          <w:bCs/>
        </w:rPr>
        <w:t xml:space="preserve">blood or organ allocation</w:t>
      </w:r>
      <w:r>
        <w:t xml:space="preserve"> </w:t>
      </w:r>
      <w:r>
        <w:t xml:space="preserve">services at national/regional level</w:t>
      </w:r>
    </w:p>
    <w:p>
      <w:pPr>
        <w:pStyle w:val="Compact"/>
        <w:numPr>
          <w:ilvl w:val="0"/>
          <w:numId w:val="1304"/>
        </w:numPr>
      </w:pPr>
      <w:r>
        <w:t xml:space="preserve">Operates national/regional</w:t>
      </w:r>
      <w:r>
        <w:t xml:space="preserve"> </w:t>
      </w:r>
      <w:r>
        <w:rPr>
          <w:b/>
          <w:bCs/>
        </w:rPr>
        <w:t xml:space="preserve">infectious disease surveillance</w:t>
      </w:r>
    </w:p>
    <w:p>
      <w:pPr>
        <w:pStyle w:val="Compact"/>
        <w:numPr>
          <w:ilvl w:val="0"/>
          <w:numId w:val="1304"/>
        </w:numPr>
      </w:pPr>
      <w:r>
        <w:t xml:space="preserve">Explicitly designated by competent authority as</w:t>
      </w:r>
      <w:r>
        <w:t xml:space="preserve"> </w:t>
      </w:r>
      <w:r>
        <w:rPr>
          <w:b/>
          <w:bCs/>
        </w:rPr>
        <w:t xml:space="preserve">CII</w:t>
      </w:r>
    </w:p>
    <w:p>
      <w:r>
        <w:pict>
          <v:rect style="width:0;height:1.5pt" o:hralign="center" o:hrstd="t" o:hr="t"/>
        </w:pict>
      </w:r>
    </w:p>
    <w:bookmarkEnd w:id="361"/>
    <w:bookmarkEnd w:id="362"/>
    <w:bookmarkStart w:id="365" w:name="part-4-system-level-metrics"/>
    <w:p>
      <w:pPr>
        <w:pStyle w:val="Heading2"/>
      </w:pPr>
      <w:r>
        <w:t xml:space="preserve">Part 4: System-Level Metrics</w:t>
      </w:r>
    </w:p>
    <w:bookmarkStart w:id="363" w:name="X06125dca9430004d16efe1bc9608a556c46a549"/>
    <w:p>
      <w:pPr>
        <w:pStyle w:val="Heading3"/>
      </w:pPr>
      <w:r>
        <w:t xml:space="preserve">4.1 Critical Health Information Systems (Global Consensus)</w:t>
      </w:r>
    </w:p>
    <w:p>
      <w:pPr>
        <w:pStyle w:val="FirstParagraph"/>
      </w:pPr>
      <w:r>
        <w:t xml:space="preserve">The following systems are prioritized across</w:t>
      </w:r>
      <w:r>
        <w:t xml:space="preserve"> </w:t>
      </w:r>
      <w:r>
        <w:rPr>
          <w:b/>
          <w:bCs/>
        </w:rPr>
        <w:t xml:space="preserve">80%+ of jurisdictions</w:t>
      </w:r>
      <w:r>
        <w:t xml:space="preserve">:</w:t>
      </w:r>
    </w:p>
    <w:tbl>
      <w:tblPr>
        <w:tblStyle w:val="Table"/>
        <w:tblW w:type="pct" w:w="5000"/>
        <w:tblLayout w:type="fixed"/>
        <w:tblLook w:firstRow="1" w:lastRow="0" w:firstColumn="0" w:lastColumn="0" w:noHBand="0" w:noVBand="0" w:val="0020"/>
      </w:tblPr>
      <w:tblGrid>
        <w:gridCol w:w="2926"/>
        <w:gridCol w:w="3960"/>
        <w:gridCol w:w="1033"/>
      </w:tblGrid>
      <w:tr>
        <w:trPr>
          <w:tblHeader w:val="on"/>
        </w:trPr>
        <w:tc>
          <w:tcPr/>
          <w:p>
            <w:pPr>
              <w:pStyle w:val="Compact"/>
              <w:jc w:val="left"/>
            </w:pPr>
            <w:r>
              <w:t xml:space="preserve">System Category</w:t>
            </w:r>
          </w:p>
        </w:tc>
        <w:tc>
          <w:tcPr/>
          <w:p>
            <w:pPr>
              <w:pStyle w:val="Compact"/>
              <w:jc w:val="left"/>
            </w:pPr>
            <w:r>
              <w:t xml:space="preserve">Criticality Rationale</w:t>
            </w:r>
          </w:p>
        </w:tc>
        <w:tc>
          <w:tcPr/>
          <w:p>
            <w:pPr>
              <w:pStyle w:val="Compact"/>
              <w:jc w:val="left"/>
            </w:pPr>
            <w:r>
              <w:t xml:space="preserve">Tier</w:t>
            </w:r>
          </w:p>
        </w:tc>
      </w:tr>
      <w:tr>
        <w:tc>
          <w:tcPr/>
          <w:p>
            <w:pPr>
              <w:pStyle w:val="Compact"/>
              <w:jc w:val="left"/>
            </w:pPr>
            <w:r>
              <w:rPr>
                <w:b/>
                <w:bCs/>
              </w:rPr>
              <w:t xml:space="preserve">Emergency Dispatch (CAD)</w:t>
            </w:r>
          </w:p>
        </w:tc>
        <w:tc>
          <w:tcPr/>
          <w:p>
            <w:pPr>
              <w:pStyle w:val="Compact"/>
              <w:jc w:val="left"/>
            </w:pPr>
            <w:r>
              <w:t xml:space="preserve">Immediate life-safety impact</w:t>
            </w:r>
          </w:p>
        </w:tc>
        <w:tc>
          <w:tcPr/>
          <w:p>
            <w:pPr>
              <w:pStyle w:val="Compact"/>
              <w:jc w:val="left"/>
            </w:pPr>
            <w:r>
              <w:t xml:space="preserve">1</w:t>
            </w:r>
          </w:p>
        </w:tc>
      </w:tr>
      <w:tr>
        <w:tc>
          <w:tcPr/>
          <w:p>
            <w:pPr>
              <w:pStyle w:val="Compact"/>
              <w:jc w:val="left"/>
            </w:pPr>
            <w:r>
              <w:rPr>
                <w:b/>
                <w:bCs/>
              </w:rPr>
              <w:t xml:space="preserve">Hospital EMR/EHR</w:t>
            </w:r>
            <w:r>
              <w:t xml:space="preserve"> </w:t>
            </w:r>
            <w:r>
              <w:t xml:space="preserve">(ICU/ED settings)</w:t>
            </w:r>
          </w:p>
        </w:tc>
        <w:tc>
          <w:tcPr/>
          <w:p>
            <w:pPr>
              <w:pStyle w:val="Compact"/>
              <w:jc w:val="left"/>
            </w:pPr>
            <w:r>
              <w:t xml:space="preserve">Direct patient care continuity</w:t>
            </w:r>
          </w:p>
        </w:tc>
        <w:tc>
          <w:tcPr/>
          <w:p>
            <w:pPr>
              <w:pStyle w:val="Compact"/>
              <w:jc w:val="left"/>
            </w:pPr>
            <w:r>
              <w:t xml:space="preserve">1</w:t>
            </w:r>
          </w:p>
        </w:tc>
      </w:tr>
      <w:tr>
        <w:tc>
          <w:tcPr/>
          <w:p>
            <w:pPr>
              <w:pStyle w:val="Compact"/>
              <w:jc w:val="left"/>
            </w:pPr>
            <w:r>
              <w:rPr>
                <w:b/>
                <w:bCs/>
              </w:rPr>
              <w:t xml:space="preserve">ICU Monitoring Systems</w:t>
            </w:r>
          </w:p>
        </w:tc>
        <w:tc>
          <w:tcPr/>
          <w:p>
            <w:pPr>
              <w:pStyle w:val="Compact"/>
              <w:jc w:val="left"/>
            </w:pPr>
            <w:r>
              <w:t xml:space="preserve">Real-time life support</w:t>
            </w:r>
          </w:p>
        </w:tc>
        <w:tc>
          <w:tcPr/>
          <w:p>
            <w:pPr>
              <w:pStyle w:val="Compact"/>
              <w:jc w:val="left"/>
            </w:pPr>
            <w:r>
              <w:t xml:space="preserve">1</w:t>
            </w:r>
          </w:p>
        </w:tc>
      </w:tr>
      <w:tr>
        <w:tc>
          <w:tcPr/>
          <w:p>
            <w:pPr>
              <w:pStyle w:val="Compact"/>
              <w:jc w:val="left"/>
            </w:pPr>
            <w:r>
              <w:rPr>
                <w:b/>
                <w:bCs/>
              </w:rPr>
              <w:t xml:space="preserve">Blood Bank/Transfusion</w:t>
            </w:r>
          </w:p>
        </w:tc>
        <w:tc>
          <w:tcPr/>
          <w:p>
            <w:pPr>
              <w:pStyle w:val="Compact"/>
              <w:jc w:val="left"/>
            </w:pPr>
            <w:r>
              <w:t xml:space="preserve">Immediate clinical dependency</w:t>
            </w:r>
          </w:p>
        </w:tc>
        <w:tc>
          <w:tcPr/>
          <w:p>
            <w:pPr>
              <w:pStyle w:val="Compact"/>
              <w:jc w:val="left"/>
            </w:pPr>
            <w:r>
              <w:t xml:space="preserve">1</w:t>
            </w:r>
          </w:p>
        </w:tc>
      </w:tr>
      <w:tr>
        <w:tc>
          <w:tcPr/>
          <w:p>
            <w:pPr>
              <w:pStyle w:val="Compact"/>
              <w:jc w:val="left"/>
            </w:pPr>
            <w:r>
              <w:rPr>
                <w:b/>
                <w:bCs/>
              </w:rPr>
              <w:t xml:space="preserve">Disease Surveillance</w:t>
            </w:r>
          </w:p>
        </w:tc>
        <w:tc>
          <w:tcPr/>
          <w:p>
            <w:pPr>
              <w:pStyle w:val="Compact"/>
              <w:jc w:val="left"/>
            </w:pPr>
            <w:r>
              <w:t xml:space="preserve">Epidemic response capability</w:t>
            </w:r>
          </w:p>
        </w:tc>
        <w:tc>
          <w:tcPr/>
          <w:p>
            <w:pPr>
              <w:pStyle w:val="Compact"/>
              <w:jc w:val="left"/>
            </w:pPr>
            <w:r>
              <w:t xml:space="preserve">1</w:t>
            </w:r>
          </w:p>
        </w:tc>
      </w:tr>
      <w:tr>
        <w:tc>
          <w:tcPr/>
          <w:p>
            <w:pPr>
              <w:pStyle w:val="Compact"/>
              <w:jc w:val="left"/>
            </w:pPr>
            <w:r>
              <w:rPr>
                <w:b/>
                <w:bCs/>
              </w:rPr>
              <w:t xml:space="preserve">National EHR/HIE</w:t>
            </w:r>
          </w:p>
        </w:tc>
        <w:tc>
          <w:tcPr/>
          <w:p>
            <w:pPr>
              <w:pStyle w:val="Compact"/>
              <w:jc w:val="left"/>
            </w:pPr>
            <w:r>
              <w:t xml:space="preserve">Systemic healthcare function</w:t>
            </w:r>
          </w:p>
        </w:tc>
        <w:tc>
          <w:tcPr/>
          <w:p>
            <w:pPr>
              <w:pStyle w:val="Compact"/>
              <w:jc w:val="left"/>
            </w:pPr>
            <w:r>
              <w:t xml:space="preserve">1</w:t>
            </w:r>
          </w:p>
        </w:tc>
      </w:tr>
      <w:tr>
        <w:tc>
          <w:tcPr/>
          <w:p>
            <w:pPr>
              <w:pStyle w:val="Compact"/>
              <w:jc w:val="left"/>
            </w:pPr>
            <w:r>
              <w:rPr>
                <w:b/>
                <w:bCs/>
              </w:rPr>
              <w:t xml:space="preserve">Operating Theatre Management</w:t>
            </w:r>
          </w:p>
        </w:tc>
        <w:tc>
          <w:tcPr/>
          <w:p>
            <w:pPr>
              <w:pStyle w:val="Compact"/>
              <w:jc w:val="left"/>
            </w:pPr>
            <w:r>
              <w:t xml:space="preserve">Surgical care continuity</w:t>
            </w:r>
          </w:p>
        </w:tc>
        <w:tc>
          <w:tcPr/>
          <w:p>
            <w:pPr>
              <w:pStyle w:val="Compact"/>
              <w:jc w:val="left"/>
            </w:pPr>
            <w:r>
              <w:t xml:space="preserve">1-2</w:t>
            </w:r>
          </w:p>
        </w:tc>
      </w:tr>
      <w:tr>
        <w:tc>
          <w:tcPr/>
          <w:p>
            <w:pPr>
              <w:pStyle w:val="Compact"/>
              <w:jc w:val="left"/>
            </w:pPr>
            <w:r>
              <w:rPr>
                <w:b/>
                <w:bCs/>
              </w:rPr>
              <w:t xml:space="preserve">Pharmacy Management</w:t>
            </w:r>
          </w:p>
        </w:tc>
        <w:tc>
          <w:tcPr/>
          <w:p>
            <w:pPr>
              <w:pStyle w:val="Compact"/>
              <w:jc w:val="left"/>
            </w:pPr>
            <w:r>
              <w:t xml:space="preserve">Medication safety</w:t>
            </w:r>
          </w:p>
        </w:tc>
        <w:tc>
          <w:tcPr/>
          <w:p>
            <w:pPr>
              <w:pStyle w:val="Compact"/>
              <w:jc w:val="left"/>
            </w:pPr>
            <w:r>
              <w:t xml:space="preserve">1-2</w:t>
            </w:r>
          </w:p>
        </w:tc>
      </w:tr>
      <w:tr>
        <w:tc>
          <w:tcPr/>
          <w:p>
            <w:pPr>
              <w:pStyle w:val="Compact"/>
              <w:jc w:val="left"/>
            </w:pPr>
            <w:r>
              <w:rPr>
                <w:b/>
                <w:bCs/>
              </w:rPr>
              <w:t xml:space="preserve">LIMS (Laboratory)</w:t>
            </w:r>
          </w:p>
        </w:tc>
        <w:tc>
          <w:tcPr/>
          <w:p>
            <w:pPr>
              <w:pStyle w:val="Compact"/>
              <w:jc w:val="left"/>
            </w:pPr>
            <w:r>
              <w:t xml:space="preserve">Diagnostic capability</w:t>
            </w:r>
          </w:p>
        </w:tc>
        <w:tc>
          <w:tcPr/>
          <w:p>
            <w:pPr>
              <w:pStyle w:val="Compact"/>
              <w:jc w:val="left"/>
            </w:pPr>
            <w:r>
              <w:t xml:space="preserve">2</w:t>
            </w:r>
          </w:p>
        </w:tc>
      </w:tr>
      <w:tr>
        <w:tc>
          <w:tcPr/>
          <w:p>
            <w:pPr>
              <w:pStyle w:val="Compact"/>
              <w:jc w:val="left"/>
            </w:pPr>
            <w:r>
              <w:rPr>
                <w:b/>
                <w:bCs/>
              </w:rPr>
              <w:t xml:space="preserve">RIS/PACS (Radiology)</w:t>
            </w:r>
          </w:p>
        </w:tc>
        <w:tc>
          <w:tcPr/>
          <w:p>
            <w:pPr>
              <w:pStyle w:val="Compact"/>
              <w:jc w:val="left"/>
            </w:pPr>
            <w:r>
              <w:t xml:space="preserve">Diagnostic capability</w:t>
            </w:r>
          </w:p>
        </w:tc>
        <w:tc>
          <w:tcPr/>
          <w:p>
            <w:pPr>
              <w:pStyle w:val="Compact"/>
              <w:jc w:val="left"/>
            </w:pPr>
            <w:r>
              <w:t xml:space="preserve">2</w:t>
            </w:r>
          </w:p>
        </w:tc>
      </w:tr>
      <w:tr>
        <w:tc>
          <w:tcPr/>
          <w:p>
            <w:pPr>
              <w:pStyle w:val="Compact"/>
              <w:jc w:val="left"/>
            </w:pPr>
            <w:r>
              <w:rPr>
                <w:b/>
                <w:bCs/>
              </w:rPr>
              <w:t xml:space="preserve">Hospital ADT/PAS</w:t>
            </w:r>
          </w:p>
        </w:tc>
        <w:tc>
          <w:tcPr/>
          <w:p>
            <w:pPr>
              <w:pStyle w:val="Compact"/>
              <w:jc w:val="left"/>
            </w:pPr>
            <w:r>
              <w:t xml:space="preserve">Administrative continuity</w:t>
            </w:r>
          </w:p>
        </w:tc>
        <w:tc>
          <w:tcPr/>
          <w:p>
            <w:pPr>
              <w:pStyle w:val="Compact"/>
              <w:jc w:val="left"/>
            </w:pPr>
            <w:r>
              <w:t xml:space="preserve">2</w:t>
            </w:r>
          </w:p>
        </w:tc>
      </w:tr>
      <w:tr>
        <w:tc>
          <w:tcPr/>
          <w:p>
            <w:pPr>
              <w:pStyle w:val="Compact"/>
              <w:jc w:val="left"/>
            </w:pPr>
            <w:r>
              <w:rPr>
                <w:b/>
                <w:bCs/>
              </w:rPr>
              <w:t xml:space="preserve">ePrescribing</w:t>
            </w:r>
          </w:p>
        </w:tc>
        <w:tc>
          <w:tcPr/>
          <w:p>
            <w:pPr>
              <w:pStyle w:val="Compact"/>
              <w:jc w:val="left"/>
            </w:pPr>
            <w:r>
              <w:t xml:space="preserve">Medication management</w:t>
            </w:r>
          </w:p>
        </w:tc>
        <w:tc>
          <w:tcPr/>
          <w:p>
            <w:pPr>
              <w:pStyle w:val="Compact"/>
              <w:jc w:val="left"/>
            </w:pPr>
            <w:r>
              <w:t xml:space="preserve">2</w:t>
            </w:r>
          </w:p>
        </w:tc>
      </w:tr>
      <w:tr>
        <w:tc>
          <w:tcPr/>
          <w:p>
            <w:pPr>
              <w:pStyle w:val="Compact"/>
              <w:jc w:val="left"/>
            </w:pPr>
            <w:r>
              <w:rPr>
                <w:b/>
                <w:bCs/>
              </w:rPr>
              <w:t xml:space="preserve">Immunization Registries</w:t>
            </w:r>
          </w:p>
        </w:tc>
        <w:tc>
          <w:tcPr/>
          <w:p>
            <w:pPr>
              <w:pStyle w:val="Compact"/>
              <w:jc w:val="left"/>
            </w:pPr>
            <w:r>
              <w:t xml:space="preserve">Public health function</w:t>
            </w:r>
          </w:p>
        </w:tc>
        <w:tc>
          <w:tcPr/>
          <w:p>
            <w:pPr>
              <w:pStyle w:val="Compact"/>
              <w:jc w:val="left"/>
            </w:pPr>
            <w:r>
              <w:t xml:space="preserve">2</w:t>
            </w:r>
          </w:p>
        </w:tc>
      </w:tr>
      <w:tr>
        <w:tc>
          <w:tcPr/>
          <w:p>
            <w:pPr>
              <w:pStyle w:val="Compact"/>
              <w:jc w:val="left"/>
            </w:pPr>
            <w:r>
              <w:rPr>
                <w:b/>
                <w:bCs/>
              </w:rPr>
              <w:t xml:space="preserve">Organ Transplant Allocation</w:t>
            </w:r>
          </w:p>
        </w:tc>
        <w:tc>
          <w:tcPr/>
          <w:p>
            <w:pPr>
              <w:pStyle w:val="Compact"/>
              <w:jc w:val="left"/>
            </w:pPr>
            <w:r>
              <w:t xml:space="preserve">Life-critical matching</w:t>
            </w:r>
          </w:p>
        </w:tc>
        <w:tc>
          <w:tcPr/>
          <w:p>
            <w:pPr>
              <w:pStyle w:val="Compact"/>
              <w:jc w:val="left"/>
            </w:pPr>
            <w:r>
              <w:t xml:space="preserve">1</w:t>
            </w:r>
          </w:p>
        </w:tc>
      </w:tr>
    </w:tbl>
    <w:bookmarkEnd w:id="363"/>
    <w:bookmarkStart w:id="364" w:name="system-criticality-scoring"/>
    <w:p>
      <w:pPr>
        <w:pStyle w:val="Heading3"/>
      </w:pPr>
      <w:r>
        <w:t xml:space="preserve">4.2 System Criticality Scoring</w:t>
      </w:r>
    </w:p>
    <w:tbl>
      <w:tblPr>
        <w:tblStyle w:val="Table"/>
        <w:tblW w:type="pct" w:w="5000"/>
        <w:tblLayout w:type="fixed"/>
        <w:tblLook w:firstRow="1" w:lastRow="0" w:firstColumn="0" w:lastColumn="0" w:noHBand="0" w:noVBand="0" w:val="0020"/>
      </w:tblPr>
      <w:tblGrid>
        <w:gridCol w:w="1760"/>
        <w:gridCol w:w="4620"/>
        <w:gridCol w:w="1540"/>
      </w:tblGrid>
      <w:tr>
        <w:trPr>
          <w:tblHeader w:val="on"/>
        </w:trPr>
        <w:tc>
          <w:tcPr/>
          <w:p>
            <w:pPr>
              <w:pStyle w:val="Compact"/>
              <w:jc w:val="left"/>
            </w:pPr>
            <w:r>
              <w:t xml:space="preserve">Factor</w:t>
            </w:r>
          </w:p>
        </w:tc>
        <w:tc>
          <w:tcPr/>
          <w:p>
            <w:pPr>
              <w:pStyle w:val="Compact"/>
              <w:jc w:val="left"/>
            </w:pPr>
            <w:r>
              <w:t xml:space="preserve">Assessment Question</w:t>
            </w:r>
          </w:p>
        </w:tc>
        <w:tc>
          <w:tcPr/>
          <w:p>
            <w:pPr>
              <w:pStyle w:val="Compact"/>
              <w:jc w:val="center"/>
            </w:pPr>
            <w:r>
              <w:t xml:space="preserve">Score</w:t>
            </w:r>
          </w:p>
        </w:tc>
      </w:tr>
      <w:tr>
        <w:tc>
          <w:tcPr/>
          <w:p>
            <w:pPr>
              <w:pStyle w:val="Compact"/>
              <w:jc w:val="left"/>
            </w:pPr>
            <w:r>
              <w:rPr>
                <w:b/>
                <w:bCs/>
              </w:rPr>
              <w:t xml:space="preserve">Availability Impact</w:t>
            </w:r>
          </w:p>
        </w:tc>
        <w:tc>
          <w:tcPr/>
          <w:p>
            <w:pPr>
              <w:pStyle w:val="Compact"/>
              <w:jc w:val="left"/>
            </w:pPr>
            <w:r>
              <w:t xml:space="preserve">Service unavailable: life-threatening within 4 hours?</w:t>
            </w:r>
          </w:p>
        </w:tc>
        <w:tc>
          <w:tcPr/>
          <w:p>
            <w:pPr>
              <w:pStyle w:val="Compact"/>
              <w:jc w:val="center"/>
            </w:pPr>
            <w:r>
              <w:t xml:space="preserve">0-10</w:t>
            </w:r>
          </w:p>
        </w:tc>
      </w:tr>
      <w:tr>
        <w:tc>
          <w:tcPr/>
          <w:p>
            <w:pPr>
              <w:pStyle w:val="Compact"/>
              <w:jc w:val="left"/>
            </w:pPr>
            <w:r>
              <w:rPr>
                <w:b/>
                <w:bCs/>
              </w:rPr>
              <w:t xml:space="preserve">Integrity Impact</w:t>
            </w:r>
          </w:p>
        </w:tc>
        <w:tc>
          <w:tcPr/>
          <w:p>
            <w:pPr>
              <w:pStyle w:val="Compact"/>
              <w:jc w:val="left"/>
            </w:pPr>
            <w:r>
              <w:t xml:space="preserve">Data corruption: direct patient harm possible?</w:t>
            </w:r>
          </w:p>
        </w:tc>
        <w:tc>
          <w:tcPr/>
          <w:p>
            <w:pPr>
              <w:pStyle w:val="Compact"/>
              <w:jc w:val="center"/>
            </w:pPr>
            <w:r>
              <w:t xml:space="preserve">0-10</w:t>
            </w:r>
          </w:p>
        </w:tc>
      </w:tr>
      <w:tr>
        <w:tc>
          <w:tcPr/>
          <w:p>
            <w:pPr>
              <w:pStyle w:val="Compact"/>
              <w:jc w:val="left"/>
            </w:pPr>
            <w:r>
              <w:rPr>
                <w:b/>
                <w:bCs/>
              </w:rPr>
              <w:t xml:space="preserve">Confidentiality Impact</w:t>
            </w:r>
          </w:p>
        </w:tc>
        <w:tc>
          <w:tcPr/>
          <w:p>
            <w:pPr>
              <w:pStyle w:val="Compact"/>
              <w:jc w:val="left"/>
            </w:pPr>
            <w:r>
              <w:t xml:space="preserve">Breach: significant personal health data exposure?</w:t>
            </w:r>
          </w:p>
        </w:tc>
        <w:tc>
          <w:tcPr/>
          <w:p>
            <w:pPr>
              <w:pStyle w:val="Compact"/>
              <w:jc w:val="center"/>
            </w:pPr>
            <w:r>
              <w:t xml:space="preserve">0-10</w:t>
            </w:r>
          </w:p>
        </w:tc>
      </w:tr>
      <w:tr>
        <w:tc>
          <w:tcPr/>
          <w:p>
            <w:pPr>
              <w:pStyle w:val="Compact"/>
              <w:jc w:val="left"/>
            </w:pPr>
            <w:r>
              <w:rPr>
                <w:b/>
                <w:bCs/>
              </w:rPr>
              <w:t xml:space="preserve">Substitutability</w:t>
            </w:r>
          </w:p>
        </w:tc>
        <w:tc>
          <w:tcPr/>
          <w:p>
            <w:pPr>
              <w:pStyle w:val="Compact"/>
              <w:jc w:val="left"/>
            </w:pPr>
            <w:r>
              <w:t xml:space="preserve">Manual workaround available?</w:t>
            </w:r>
          </w:p>
        </w:tc>
        <w:tc>
          <w:tcPr/>
          <w:p>
            <w:pPr>
              <w:pStyle w:val="Compact"/>
              <w:jc w:val="center"/>
            </w:pPr>
            <w:r>
              <w:t xml:space="preserve">0-10</w:t>
            </w:r>
          </w:p>
        </w:tc>
      </w:tr>
      <w:tr>
        <w:tc>
          <w:tcPr/>
          <w:p>
            <w:pPr>
              <w:pStyle w:val="Compact"/>
              <w:jc w:val="left"/>
            </w:pPr>
            <w:r>
              <w:rPr>
                <w:b/>
                <w:bCs/>
              </w:rPr>
              <w:t xml:space="preserve">Recovery Time</w:t>
            </w:r>
          </w:p>
        </w:tc>
        <w:tc>
          <w:tcPr/>
          <w:p>
            <w:pPr>
              <w:pStyle w:val="Compact"/>
              <w:jc w:val="left"/>
            </w:pPr>
            <w:r>
              <w:t xml:space="preserve">RTO &gt; 24 hours = critical</w:t>
            </w:r>
          </w:p>
        </w:tc>
        <w:tc>
          <w:tcPr/>
          <w:p>
            <w:pPr>
              <w:pStyle w:val="Compact"/>
              <w:jc w:val="center"/>
            </w:pPr>
            <w:r>
              <w:t xml:space="preserve">0-10</w:t>
            </w:r>
          </w:p>
        </w:tc>
      </w:tr>
    </w:tbl>
    <w:p>
      <w:pPr>
        <w:pStyle w:val="BodyText"/>
      </w:pPr>
      <w:r>
        <w:rPr>
          <w:b/>
          <w:bCs/>
        </w:rPr>
        <w:t xml:space="preserve">Total: 50 points maximum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Score</w:t>
            </w:r>
          </w:p>
        </w:tc>
        <w:tc>
          <w:tcPr/>
          <w:p>
            <w:pPr>
              <w:pStyle w:val="Compact"/>
              <w:jc w:val="left"/>
            </w:pPr>
            <w:r>
              <w:t xml:space="preserve">System Tier</w:t>
            </w:r>
          </w:p>
        </w:tc>
      </w:tr>
      <w:tr>
        <w:tc>
          <w:tcPr/>
          <w:p>
            <w:pPr>
              <w:pStyle w:val="Compact"/>
              <w:jc w:val="left"/>
            </w:pPr>
            <w:r>
              <w:t xml:space="preserve">≥35</w:t>
            </w:r>
          </w:p>
        </w:tc>
        <w:tc>
          <w:tcPr/>
          <w:p>
            <w:pPr>
              <w:pStyle w:val="Compact"/>
              <w:jc w:val="left"/>
            </w:pPr>
            <w:r>
              <w:t xml:space="preserve">Tier 1 System</w:t>
            </w:r>
          </w:p>
        </w:tc>
      </w:tr>
      <w:tr>
        <w:tc>
          <w:tcPr/>
          <w:p>
            <w:pPr>
              <w:pStyle w:val="Compact"/>
              <w:jc w:val="left"/>
            </w:pPr>
            <w:r>
              <w:t xml:space="preserve">20–34</w:t>
            </w:r>
          </w:p>
        </w:tc>
        <w:tc>
          <w:tcPr/>
          <w:p>
            <w:pPr>
              <w:pStyle w:val="Compact"/>
              <w:jc w:val="left"/>
            </w:pPr>
            <w:r>
              <w:t xml:space="preserve">Tier 2 System</w:t>
            </w:r>
          </w:p>
        </w:tc>
      </w:tr>
      <w:tr>
        <w:tc>
          <w:tcPr/>
          <w:p>
            <w:pPr>
              <w:pStyle w:val="Compact"/>
              <w:jc w:val="left"/>
            </w:pPr>
            <w:r>
              <w:t xml:space="preserve">&lt;20</w:t>
            </w:r>
          </w:p>
        </w:tc>
        <w:tc>
          <w:tcPr/>
          <w:p>
            <w:pPr>
              <w:pStyle w:val="Compact"/>
              <w:jc w:val="left"/>
            </w:pPr>
            <w:r>
              <w:t xml:space="preserve">Tier 3 System</w:t>
            </w:r>
          </w:p>
        </w:tc>
      </w:tr>
    </w:tbl>
    <w:p>
      <w:r>
        <w:pict>
          <v:rect style="width:0;height:1.5pt" o:hralign="center" o:hrstd="t" o:hr="t"/>
        </w:pict>
      </w:r>
    </w:p>
    <w:bookmarkEnd w:id="364"/>
    <w:bookmarkEnd w:id="365"/>
    <w:bookmarkStart w:id="368" w:name="part-5-incident-impact-thresholds"/>
    <w:p>
      <w:pPr>
        <w:pStyle w:val="Heading2"/>
      </w:pPr>
      <w:r>
        <w:t xml:space="preserve">Part 5: Incident Impact Thresholds</w:t>
      </w:r>
    </w:p>
    <w:bookmarkStart w:id="366" w:name="X72e4e7ecd23e663044c2960f5b25a8c569bea60"/>
    <w:p>
      <w:pPr>
        <w:pStyle w:val="Heading3"/>
      </w:pPr>
      <w:r>
        <w:t xml:space="preserve">5.1 UK-Style Quantitative Thresholds (Most Explicit Globally)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Impact Category</w:t>
            </w:r>
          </w:p>
        </w:tc>
        <w:tc>
          <w:tcPr/>
          <w:p>
            <w:pPr>
              <w:pStyle w:val="Compact"/>
              <w:jc w:val="left"/>
            </w:pPr>
            <w:r>
              <w:t xml:space="preserve">Threshold</w:t>
            </w:r>
          </w:p>
        </w:tc>
        <w:tc>
          <w:tcPr/>
          <w:p>
            <w:pPr>
              <w:pStyle w:val="Compact"/>
              <w:jc w:val="left"/>
            </w:pPr>
            <w:r>
              <w:t xml:space="preserve">Tier Applicability</w:t>
            </w:r>
          </w:p>
        </w:tc>
      </w:tr>
      <w:tr>
        <w:tc>
          <w:tcPr/>
          <w:p>
            <w:pPr>
              <w:pStyle w:val="Compact"/>
              <w:jc w:val="left"/>
            </w:pPr>
            <w:r>
              <w:rPr>
                <w:b/>
                <w:bCs/>
              </w:rPr>
              <w:t xml:space="preserve">Excess fatalities</w:t>
            </w:r>
          </w:p>
        </w:tc>
        <w:tc>
          <w:tcPr/>
          <w:p>
            <w:pPr>
              <w:pStyle w:val="Compact"/>
              <w:jc w:val="left"/>
            </w:pPr>
            <w:r>
              <w:t xml:space="preserve">&gt;0</w:t>
            </w:r>
          </w:p>
        </w:tc>
        <w:tc>
          <w:tcPr/>
          <w:p>
            <w:pPr>
              <w:pStyle w:val="Compact"/>
              <w:jc w:val="left"/>
            </w:pPr>
            <w:r>
              <w:t xml:space="preserve">All tiers</w:t>
            </w:r>
          </w:p>
        </w:tc>
      </w:tr>
      <w:tr>
        <w:tc>
          <w:tcPr/>
          <w:p>
            <w:pPr>
              <w:pStyle w:val="Compact"/>
              <w:jc w:val="left"/>
            </w:pPr>
            <w:r>
              <w:rPr>
                <w:b/>
                <w:bCs/>
              </w:rPr>
              <w:t xml:space="preserve">Potential clinical harm</w:t>
            </w:r>
          </w:p>
        </w:tc>
        <w:tc>
          <w:tcPr/>
          <w:p>
            <w:pPr>
              <w:pStyle w:val="Compact"/>
              <w:jc w:val="left"/>
            </w:pPr>
            <w:r>
              <w:t xml:space="preserve">&gt;50 patients at risk</w:t>
            </w:r>
          </w:p>
        </w:tc>
        <w:tc>
          <w:tcPr/>
          <w:p>
            <w:pPr>
              <w:pStyle w:val="Compact"/>
              <w:jc w:val="left"/>
            </w:pPr>
            <w:r>
              <w:t xml:space="preserve">Tier 1, 2</w:t>
            </w:r>
          </w:p>
        </w:tc>
      </w:tr>
      <w:tr>
        <w:tc>
          <w:tcPr/>
          <w:p>
            <w:pPr>
              <w:pStyle w:val="Compact"/>
              <w:jc w:val="left"/>
            </w:pPr>
            <w:r>
              <w:rPr>
                <w:b/>
                <w:bCs/>
              </w:rPr>
              <w:t xml:space="preserve">ED closure/diversion</w:t>
            </w:r>
          </w:p>
        </w:tc>
        <w:tc>
          <w:tcPr/>
          <w:p>
            <w:pPr>
              <w:pStyle w:val="Compact"/>
              <w:jc w:val="left"/>
            </w:pPr>
            <w:r>
              <w:t xml:space="preserve">&gt;3 hours (major trauma center)</w:t>
            </w:r>
          </w:p>
        </w:tc>
        <w:tc>
          <w:tcPr/>
          <w:p>
            <w:pPr>
              <w:pStyle w:val="Compact"/>
              <w:jc w:val="left"/>
            </w:pPr>
            <w:r>
              <w:t xml:space="preserve">Tier 1</w:t>
            </w:r>
          </w:p>
        </w:tc>
      </w:tr>
      <w:tr>
        <w:tc>
          <w:tcPr/>
          <w:p>
            <w:pPr>
              <w:pStyle w:val="Compact"/>
              <w:jc w:val="left"/>
            </w:pPr>
            <w:r>
              <w:rPr>
                <w:b/>
                <w:bCs/>
              </w:rPr>
              <w:t xml:space="preserve">ED closure/diversion</w:t>
            </w:r>
          </w:p>
        </w:tc>
        <w:tc>
          <w:tcPr/>
          <w:p>
            <w:pPr>
              <w:pStyle w:val="Compact"/>
              <w:jc w:val="left"/>
            </w:pPr>
            <w:r>
              <w:t xml:space="preserve">&gt;24 hours (other hospitals)</w:t>
            </w:r>
          </w:p>
        </w:tc>
        <w:tc>
          <w:tcPr/>
          <w:p>
            <w:pPr>
              <w:pStyle w:val="Compact"/>
              <w:jc w:val="left"/>
            </w:pPr>
            <w:r>
              <w:t xml:space="preserve">Tier 2</w:t>
            </w:r>
          </w:p>
        </w:tc>
      </w:tr>
      <w:tr>
        <w:tc>
          <w:tcPr/>
          <w:p>
            <w:pPr>
              <w:pStyle w:val="Compact"/>
              <w:jc w:val="left"/>
            </w:pPr>
            <w:r>
              <w:rPr>
                <w:b/>
                <w:bCs/>
              </w:rPr>
              <w:t xml:space="preserve">Outpatient appointments cancelled</w:t>
            </w:r>
          </w:p>
        </w:tc>
        <w:tc>
          <w:tcPr/>
          <w:p>
            <w:pPr>
              <w:pStyle w:val="Compact"/>
              <w:jc w:val="left"/>
            </w:pPr>
            <w:r>
              <w:t xml:space="preserve">&gt;1,500</w:t>
            </w:r>
          </w:p>
        </w:tc>
        <w:tc>
          <w:tcPr/>
          <w:p>
            <w:pPr>
              <w:pStyle w:val="Compact"/>
              <w:jc w:val="left"/>
            </w:pPr>
            <w:r>
              <w:t xml:space="preserve">Tier 1, 2</w:t>
            </w:r>
          </w:p>
        </w:tc>
      </w:tr>
      <w:tr>
        <w:tc>
          <w:tcPr/>
          <w:p>
            <w:pPr>
              <w:pStyle w:val="Compact"/>
              <w:jc w:val="left"/>
            </w:pPr>
            <w:r>
              <w:rPr>
                <w:b/>
                <w:bCs/>
              </w:rPr>
              <w:t xml:space="preserve">Inpatient episodes cancelled</w:t>
            </w:r>
          </w:p>
        </w:tc>
        <w:tc>
          <w:tcPr/>
          <w:p>
            <w:pPr>
              <w:pStyle w:val="Compact"/>
              <w:jc w:val="left"/>
            </w:pPr>
            <w:r>
              <w:t xml:space="preserve">&gt;250</w:t>
            </w:r>
          </w:p>
        </w:tc>
        <w:tc>
          <w:tcPr/>
          <w:p>
            <w:pPr>
              <w:pStyle w:val="Compact"/>
              <w:jc w:val="left"/>
            </w:pPr>
            <w:r>
              <w:t xml:space="preserve">Tier 1, 2</w:t>
            </w:r>
          </w:p>
        </w:tc>
      </w:tr>
      <w:tr>
        <w:tc>
          <w:tcPr/>
          <w:p>
            <w:pPr>
              <w:pStyle w:val="Compact"/>
              <w:jc w:val="left"/>
            </w:pPr>
            <w:r>
              <w:rPr>
                <w:b/>
                <w:bCs/>
              </w:rPr>
              <w:t xml:space="preserve">Emergency call-taking unavailable</w:t>
            </w:r>
          </w:p>
        </w:tc>
        <w:tc>
          <w:tcPr/>
          <w:p>
            <w:pPr>
              <w:pStyle w:val="Compact"/>
              <w:jc w:val="left"/>
            </w:pPr>
            <w:r>
              <w:t xml:space="preserve">&gt;3 hours</w:t>
            </w:r>
          </w:p>
        </w:tc>
        <w:tc>
          <w:tcPr/>
          <w:p>
            <w:pPr>
              <w:pStyle w:val="Compact"/>
              <w:jc w:val="left"/>
            </w:pPr>
            <w:r>
              <w:t xml:space="preserve">Tier 1</w:t>
            </w:r>
          </w:p>
        </w:tc>
      </w:tr>
      <w:tr>
        <w:tc>
          <w:tcPr/>
          <w:p>
            <w:pPr>
              <w:pStyle w:val="Compact"/>
              <w:jc w:val="left"/>
            </w:pPr>
            <w:r>
              <w:rPr>
                <w:b/>
                <w:bCs/>
              </w:rPr>
              <w:t xml:space="preserve">Data breach</w:t>
            </w:r>
          </w:p>
        </w:tc>
        <w:tc>
          <w:tcPr/>
          <w:p>
            <w:pPr>
              <w:pStyle w:val="Compact"/>
              <w:jc w:val="left"/>
            </w:pPr>
            <w:r>
              <w:t xml:space="preserve">&gt;30,000 records</w:t>
            </w:r>
          </w:p>
        </w:tc>
        <w:tc>
          <w:tcPr/>
          <w:p>
            <w:pPr>
              <w:pStyle w:val="Compact"/>
              <w:jc w:val="left"/>
            </w:pPr>
            <w:r>
              <w:t xml:space="preserve">All tiers</w:t>
            </w:r>
          </w:p>
        </w:tc>
      </w:tr>
    </w:tbl>
    <w:bookmarkEnd w:id="366"/>
    <w:bookmarkStart w:id="367" w:name="reporting-timelines-global-convergence"/>
    <w:p>
      <w:pPr>
        <w:pStyle w:val="Heading3"/>
      </w:pPr>
      <w:r>
        <w:t xml:space="preserve">5.2 Reporting Timelines (Global Convergence)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Reporting Stage</w:t>
            </w:r>
          </w:p>
        </w:tc>
        <w:tc>
          <w:tcPr/>
          <w:p>
            <w:pPr>
              <w:pStyle w:val="Compact"/>
              <w:jc w:val="left"/>
            </w:pPr>
            <w:r>
              <w:t xml:space="preserve">Standard</w:t>
            </w:r>
          </w:p>
        </w:tc>
        <w:tc>
          <w:tcPr/>
          <w:p>
            <w:pPr>
              <w:pStyle w:val="Compact"/>
              <w:jc w:val="center"/>
            </w:pPr>
            <w:r>
              <w:t xml:space="preserve">Tier 1</w:t>
            </w:r>
          </w:p>
        </w:tc>
        <w:tc>
          <w:tcPr/>
          <w:p>
            <w:pPr>
              <w:pStyle w:val="Compact"/>
              <w:jc w:val="center"/>
            </w:pPr>
            <w:r>
              <w:t xml:space="preserve">Tier 2</w:t>
            </w:r>
          </w:p>
        </w:tc>
        <w:tc>
          <w:tcPr/>
          <w:p>
            <w:pPr>
              <w:pStyle w:val="Compact"/>
              <w:jc w:val="center"/>
            </w:pPr>
            <w:r>
              <w:t xml:space="preserve">Tier 3</w:t>
            </w:r>
          </w:p>
        </w:tc>
      </w:tr>
      <w:tr>
        <w:tc>
          <w:tcPr/>
          <w:p>
            <w:pPr>
              <w:pStyle w:val="Compact"/>
              <w:jc w:val="left"/>
            </w:pPr>
            <w:r>
              <w:rPr>
                <w:b/>
                <w:bCs/>
              </w:rPr>
              <w:t xml:space="preserve">Early Warning</w:t>
            </w:r>
          </w:p>
        </w:tc>
        <w:tc>
          <w:tcPr/>
          <w:p>
            <w:pPr>
              <w:pStyle w:val="Compact"/>
              <w:jc w:val="left"/>
            </w:pPr>
            <w:r>
              <w:t xml:space="preserve">12–24 hours</w:t>
            </w:r>
          </w:p>
        </w:tc>
        <w:tc>
          <w:tcPr/>
          <w:p>
            <w:pPr>
              <w:pStyle w:val="Compact"/>
              <w:jc w:val="center"/>
            </w:pPr>
            <w:r>
              <w:t xml:space="preserve">12h</w:t>
            </w:r>
          </w:p>
        </w:tc>
        <w:tc>
          <w:tcPr/>
          <w:p>
            <w:pPr>
              <w:pStyle w:val="Compact"/>
              <w:jc w:val="center"/>
            </w:pPr>
            <w:r>
              <w:t xml:space="preserve">24h</w:t>
            </w:r>
          </w:p>
        </w:tc>
        <w:tc>
          <w:tcPr/>
          <w:p>
            <w:pPr>
              <w:pStyle w:val="Compact"/>
              <w:jc w:val="center"/>
            </w:pPr>
            <w:r>
              <w:t xml:space="preserve">N/A</w:t>
            </w:r>
          </w:p>
        </w:tc>
      </w:tr>
      <w:tr>
        <w:tc>
          <w:tcPr/>
          <w:p>
            <w:pPr>
              <w:pStyle w:val="Compact"/>
              <w:jc w:val="left"/>
            </w:pPr>
            <w:r>
              <w:rPr>
                <w:b/>
                <w:bCs/>
              </w:rPr>
              <w:t xml:space="preserve">Detailed Notification</w:t>
            </w:r>
          </w:p>
        </w:tc>
        <w:tc>
          <w:tcPr/>
          <w:p>
            <w:pPr>
              <w:pStyle w:val="Compact"/>
              <w:jc w:val="left"/>
            </w:pPr>
            <w:r>
              <w:t xml:space="preserve">48–72 hours</w:t>
            </w:r>
          </w:p>
        </w:tc>
        <w:tc>
          <w:tcPr/>
          <w:p>
            <w:pPr>
              <w:pStyle w:val="Compact"/>
              <w:jc w:val="center"/>
            </w:pPr>
            <w:r>
              <w:t xml:space="preserve">48h</w:t>
            </w:r>
          </w:p>
        </w:tc>
        <w:tc>
          <w:tcPr/>
          <w:p>
            <w:pPr>
              <w:pStyle w:val="Compact"/>
              <w:jc w:val="center"/>
            </w:pPr>
            <w:r>
              <w:t xml:space="preserve">72h</w:t>
            </w:r>
          </w:p>
        </w:tc>
        <w:tc>
          <w:tcPr/>
          <w:p>
            <w:pPr>
              <w:pStyle w:val="Compact"/>
              <w:jc w:val="center"/>
            </w:pPr>
            <w:r>
              <w:t xml:space="preserve">72h</w:t>
            </w:r>
          </w:p>
        </w:tc>
      </w:tr>
      <w:tr>
        <w:tc>
          <w:tcPr/>
          <w:p>
            <w:pPr>
              <w:pStyle w:val="Compact"/>
              <w:jc w:val="left"/>
            </w:pPr>
            <w:r>
              <w:rPr>
                <w:b/>
                <w:bCs/>
              </w:rPr>
              <w:t xml:space="preserve">Final Report</w:t>
            </w:r>
          </w:p>
        </w:tc>
        <w:tc>
          <w:tcPr/>
          <w:p>
            <w:pPr>
              <w:pStyle w:val="Compact"/>
              <w:jc w:val="left"/>
            </w:pPr>
            <w:r>
              <w:t xml:space="preserve">14–30 days</w:t>
            </w:r>
          </w:p>
        </w:tc>
        <w:tc>
          <w:tcPr/>
          <w:p>
            <w:pPr>
              <w:pStyle w:val="Compact"/>
              <w:jc w:val="center"/>
            </w:pPr>
            <w:r>
              <w:t xml:space="preserve">14d</w:t>
            </w:r>
          </w:p>
        </w:tc>
        <w:tc>
          <w:tcPr/>
          <w:p>
            <w:pPr>
              <w:pStyle w:val="Compact"/>
              <w:jc w:val="center"/>
            </w:pPr>
            <w:r>
              <w:t xml:space="preserve">30d</w:t>
            </w:r>
          </w:p>
        </w:tc>
        <w:tc>
          <w:tcPr/>
          <w:p>
            <w:pPr>
              <w:pStyle w:val="Compact"/>
              <w:jc w:val="center"/>
            </w:pPr>
            <w:r>
              <w:t xml:space="preserve">30d</w:t>
            </w:r>
          </w:p>
        </w:tc>
      </w:tr>
      <w:tr>
        <w:tc>
          <w:tcPr/>
          <w:p>
            <w:pPr>
              <w:pStyle w:val="Compact"/>
              <w:jc w:val="left"/>
            </w:pPr>
            <w:r>
              <w:rPr>
                <w:b/>
                <w:bCs/>
              </w:rPr>
              <w:t xml:space="preserve">Ransom Payment</w:t>
            </w:r>
          </w:p>
        </w:tc>
        <w:tc>
          <w:tcPr/>
          <w:p>
            <w:pPr>
              <w:pStyle w:val="Compact"/>
              <w:jc w:val="left"/>
            </w:pPr>
            <w:r>
              <w:t xml:space="preserve">24 hours</w:t>
            </w:r>
          </w:p>
        </w:tc>
        <w:tc>
          <w:tcPr/>
          <w:p>
            <w:pPr>
              <w:pStyle w:val="Compact"/>
              <w:jc w:val="center"/>
            </w:pPr>
            <w:r>
              <w:t xml:space="preserve">24h</w:t>
            </w:r>
          </w:p>
        </w:tc>
        <w:tc>
          <w:tcPr/>
          <w:p>
            <w:pPr>
              <w:pStyle w:val="Compact"/>
              <w:jc w:val="center"/>
            </w:pPr>
            <w:r>
              <w:t xml:space="preserve">24h</w:t>
            </w:r>
          </w:p>
        </w:tc>
        <w:tc>
          <w:tcPr/>
          <w:p>
            <w:pPr>
              <w:pStyle w:val="Compact"/>
              <w:jc w:val="center"/>
            </w:pPr>
            <w:r>
              <w:t xml:space="preserve">24h</w:t>
            </w:r>
          </w:p>
        </w:tc>
      </w:tr>
    </w:tbl>
    <w:p>
      <w:r>
        <w:pict>
          <v:rect style="width:0;height:1.5pt" o:hralign="center" o:hrstd="t" o:hr="t"/>
        </w:pict>
      </w:r>
    </w:p>
    <w:bookmarkEnd w:id="367"/>
    <w:bookmarkEnd w:id="368"/>
    <w:bookmarkStart w:id="372" w:name="part-6-composite-grading-framework"/>
    <w:p>
      <w:pPr>
        <w:pStyle w:val="Heading2"/>
      </w:pPr>
      <w:r>
        <w:t xml:space="preserve">Part 6: Composite Grading Framework</w:t>
      </w:r>
    </w:p>
    <w:bookmarkStart w:id="369" w:name="final-classification-matrix"/>
    <w:p>
      <w:pPr>
        <w:pStyle w:val="Heading3"/>
      </w:pPr>
      <w:r>
        <w:t xml:space="preserve">6.1 Final Classification Matrix</w:t>
      </w:r>
    </w:p>
    <w:p>
      <w:pPr>
        <w:pStyle w:val="SourceCode"/>
      </w:pPr>
      <w:r>
        <w:rPr>
          <w:rStyle w:val="VerbatimChar"/>
        </w:rPr>
        <w:t xml:space="preserve">ENTITY CLASSIFICATION = f(Entity Score, System Criticality, Function Type)</w:t>
      </w:r>
      <w:r>
        <w:br/>
      </w:r>
      <w:r>
        <w:br/>
      </w:r>
      <w:r>
        <w:rPr>
          <w:rStyle w:val="VerbatimChar"/>
        </w:rPr>
        <w:t xml:space="preserve">                     ┌───────────────────────────────────────────┐</w:t>
      </w:r>
      <w:r>
        <w:br/>
      </w:r>
      <w:r>
        <w:rPr>
          <w:rStyle w:val="VerbatimChar"/>
        </w:rPr>
        <w:t xml:space="preserve">                     │           FUNCTION TYPE                   │</w:t>
      </w:r>
      <w:r>
        <w:br/>
      </w:r>
      <w:r>
        <w:rPr>
          <w:rStyle w:val="VerbatimChar"/>
        </w:rPr>
        <w:t xml:space="preserve">                     ├─────────────┬─────────────┬───────────────┤</w:t>
      </w:r>
      <w:r>
        <w:br/>
      </w:r>
      <w:r>
        <w:rPr>
          <w:rStyle w:val="VerbatimChar"/>
        </w:rPr>
        <w:t xml:space="preserve">                     │ Life-Safety │ Diagnostic  │ Administrative│</w:t>
      </w:r>
      <w:r>
        <w:br/>
      </w:r>
      <w:r>
        <w:rPr>
          <w:rStyle w:val="VerbatimChar"/>
        </w:rPr>
        <w:t xml:space="preserve">         ┌───────────┼─────────────┼─────────────┼───────────────┤</w:t>
      </w:r>
      <w:r>
        <w:br/>
      </w:r>
      <w:r>
        <w:rPr>
          <w:rStyle w:val="VerbatimChar"/>
        </w:rPr>
        <w:t xml:space="preserve">         │ Score ≥60 │   TIER 1    │   TIER 1    │    TIER 2     │</w:t>
      </w:r>
      <w:r>
        <w:br/>
      </w:r>
      <w:r>
        <w:rPr>
          <w:rStyle w:val="VerbatimChar"/>
        </w:rPr>
        <w:t xml:space="preserve">ENTITY   ├───────────┼─────────────┼─────────────┼───────────────┤</w:t>
      </w:r>
      <w:r>
        <w:br/>
      </w:r>
      <w:r>
        <w:rPr>
          <w:rStyle w:val="VerbatimChar"/>
        </w:rPr>
        <w:t xml:space="preserve">SCORE    │ Score 30-59│   TIER 1   │   TIER 2    │    TIER 2     │</w:t>
      </w:r>
      <w:r>
        <w:br/>
      </w:r>
      <w:r>
        <w:rPr>
          <w:rStyle w:val="VerbatimChar"/>
        </w:rPr>
        <w:t xml:space="preserve">         ├───────────┼─────────────┼─────────────┼───────────────┤</w:t>
      </w:r>
      <w:r>
        <w:br/>
      </w:r>
      <w:r>
        <w:rPr>
          <w:rStyle w:val="VerbatimChar"/>
        </w:rPr>
        <w:t xml:space="preserve">         │ Score &lt;30 │   TIER 2    │   TIER 2    │    TIER 3     │</w:t>
      </w:r>
      <w:r>
        <w:br/>
      </w:r>
      <w:r>
        <w:rPr>
          <w:rStyle w:val="VerbatimChar"/>
        </w:rPr>
        <w:t xml:space="preserve">         └───────────┴─────────────┴─────────────┴───────────────┘</w:t>
      </w:r>
    </w:p>
    <w:bookmarkEnd w:id="369"/>
    <w:bookmarkStart w:id="370" w:name="obligations-by-tier"/>
    <w:p>
      <w:pPr>
        <w:pStyle w:val="Heading3"/>
      </w:pPr>
      <w:r>
        <w:t xml:space="preserve">6.2 Obligations by Tier</w:t>
      </w:r>
    </w:p>
    <w:tbl>
      <w:tblPr>
        <w:tblStyle w:val="Table"/>
        <w:tblW w:type="pct" w:w="5000"/>
        <w:tblLayout w:type="fixed"/>
        <w:tblLook w:firstRow="1" w:lastRow="0" w:firstColumn="0" w:lastColumn="0" w:noHBand="0" w:noVBand="0" w:val="0020"/>
      </w:tblPr>
      <w:tblGrid>
        <w:gridCol w:w="2640"/>
        <w:gridCol w:w="1760"/>
        <w:gridCol w:w="1760"/>
        <w:gridCol w:w="1760"/>
      </w:tblGrid>
      <w:tr>
        <w:trPr>
          <w:tblHeader w:val="on"/>
        </w:trPr>
        <w:tc>
          <w:tcPr/>
          <w:p>
            <w:pPr>
              <w:pStyle w:val="Compact"/>
              <w:jc w:val="left"/>
            </w:pPr>
            <w:r>
              <w:t xml:space="preserve">Obligation</w:t>
            </w:r>
          </w:p>
        </w:tc>
        <w:tc>
          <w:tcPr/>
          <w:p>
            <w:pPr>
              <w:pStyle w:val="Compact"/>
              <w:jc w:val="center"/>
            </w:pPr>
            <w:r>
              <w:t xml:space="preserve">Tier 1</w:t>
            </w:r>
          </w:p>
        </w:tc>
        <w:tc>
          <w:tcPr/>
          <w:p>
            <w:pPr>
              <w:pStyle w:val="Compact"/>
              <w:jc w:val="center"/>
            </w:pPr>
            <w:r>
              <w:t xml:space="preserve">Tier 2</w:t>
            </w:r>
          </w:p>
        </w:tc>
        <w:tc>
          <w:tcPr/>
          <w:p>
            <w:pPr>
              <w:pStyle w:val="Compact"/>
              <w:jc w:val="center"/>
            </w:pPr>
            <w:r>
              <w:t xml:space="preserve">Tier 3</w:t>
            </w:r>
          </w:p>
        </w:tc>
      </w:tr>
      <w:tr>
        <w:tc>
          <w:tcPr/>
          <w:p>
            <w:pPr>
              <w:pStyle w:val="Compact"/>
              <w:jc w:val="left"/>
            </w:pPr>
            <w:r>
              <w:rPr>
                <w:b/>
                <w:bCs/>
              </w:rPr>
              <w:t xml:space="preserve">Risk Management Plan</w:t>
            </w:r>
          </w:p>
        </w:tc>
        <w:tc>
          <w:tcPr/>
          <w:p>
            <w:pPr>
              <w:pStyle w:val="Compact"/>
              <w:jc w:val="center"/>
            </w:pPr>
            <w:r>
              <w:t xml:space="preserve">Required</w:t>
            </w:r>
          </w:p>
        </w:tc>
        <w:tc>
          <w:tcPr/>
          <w:p>
            <w:pPr>
              <w:pStyle w:val="Compact"/>
              <w:jc w:val="center"/>
            </w:pPr>
            <w:r>
              <w:t xml:space="preserve">Required</w:t>
            </w:r>
          </w:p>
        </w:tc>
        <w:tc>
          <w:tcPr/>
          <w:p>
            <w:pPr>
              <w:pStyle w:val="Compact"/>
              <w:jc w:val="center"/>
            </w:pPr>
            <w:r>
              <w:t xml:space="preserve">Recommended</w:t>
            </w:r>
          </w:p>
        </w:tc>
      </w:tr>
      <w:tr>
        <w:tc>
          <w:tcPr/>
          <w:p>
            <w:pPr>
              <w:pStyle w:val="Compact"/>
              <w:jc w:val="left"/>
            </w:pPr>
            <w:r>
              <w:rPr>
                <w:b/>
                <w:bCs/>
              </w:rPr>
              <w:t xml:space="preserve">Security Officer (CISO)</w:t>
            </w:r>
          </w:p>
        </w:tc>
        <w:tc>
          <w:tcPr/>
          <w:p>
            <w:pPr>
              <w:pStyle w:val="Compact"/>
              <w:jc w:val="center"/>
            </w:pPr>
            <w:r>
              <w:t xml:space="preserve">Required</w:t>
            </w:r>
          </w:p>
        </w:tc>
        <w:tc>
          <w:tcPr/>
          <w:p>
            <w:pPr>
              <w:pStyle w:val="Compact"/>
              <w:jc w:val="center"/>
            </w:pPr>
            <w:r>
              <w:t xml:space="preserve">Required</w:t>
            </w:r>
          </w:p>
        </w:tc>
        <w:tc>
          <w:tcPr/>
          <w:p>
            <w:pPr>
              <w:pStyle w:val="Compact"/>
              <w:jc w:val="center"/>
            </w:pPr>
            <w:r>
              <w:t xml:space="preserve">Optional</w:t>
            </w:r>
          </w:p>
        </w:tc>
      </w:tr>
      <w:tr>
        <w:tc>
          <w:tcPr/>
          <w:p>
            <w:pPr>
              <w:pStyle w:val="Compact"/>
              <w:jc w:val="left"/>
            </w:pPr>
            <w:r>
              <w:rPr>
                <w:b/>
                <w:bCs/>
              </w:rPr>
              <w:t xml:space="preserve">Annual Risk Assessment</w:t>
            </w:r>
          </w:p>
        </w:tc>
        <w:tc>
          <w:tcPr/>
          <w:p>
            <w:pPr>
              <w:pStyle w:val="Compact"/>
              <w:jc w:val="center"/>
            </w:pPr>
            <w:r>
              <w:t xml:space="preserve">Required</w:t>
            </w:r>
          </w:p>
        </w:tc>
        <w:tc>
          <w:tcPr/>
          <w:p>
            <w:pPr>
              <w:pStyle w:val="Compact"/>
              <w:jc w:val="center"/>
            </w:pPr>
            <w:r>
              <w:t xml:space="preserve">Required</w:t>
            </w:r>
          </w:p>
        </w:tc>
        <w:tc>
          <w:tcPr/>
          <w:p>
            <w:pPr>
              <w:pStyle w:val="Compact"/>
              <w:jc w:val="center"/>
            </w:pPr>
            <w:r>
              <w:t xml:space="preserve">Recommended</w:t>
            </w:r>
          </w:p>
        </w:tc>
      </w:tr>
      <w:tr>
        <w:tc>
          <w:tcPr/>
          <w:p>
            <w:pPr>
              <w:pStyle w:val="Compact"/>
              <w:jc w:val="left"/>
            </w:pPr>
            <w:r>
              <w:rPr>
                <w:b/>
                <w:bCs/>
              </w:rPr>
              <w:t xml:space="preserve">Security Audit</w:t>
            </w:r>
          </w:p>
        </w:tc>
        <w:tc>
          <w:tcPr/>
          <w:p>
            <w:pPr>
              <w:pStyle w:val="Compact"/>
              <w:jc w:val="center"/>
            </w:pPr>
            <w:r>
              <w:t xml:space="preserve">Annual</w:t>
            </w:r>
          </w:p>
        </w:tc>
        <w:tc>
          <w:tcPr/>
          <w:p>
            <w:pPr>
              <w:pStyle w:val="Compact"/>
              <w:jc w:val="center"/>
            </w:pPr>
            <w:r>
              <w:t xml:space="preserve">Biennial</w:t>
            </w:r>
          </w:p>
        </w:tc>
        <w:tc>
          <w:tcPr/>
          <w:p>
            <w:pPr>
              <w:pStyle w:val="Compact"/>
              <w:jc w:val="center"/>
            </w:pPr>
            <w:r>
              <w:t xml:space="preserve">Self-assessment</w:t>
            </w:r>
          </w:p>
        </w:tc>
      </w:tr>
      <w:tr>
        <w:tc>
          <w:tcPr/>
          <w:p>
            <w:pPr>
              <w:pStyle w:val="Compact"/>
              <w:jc w:val="left"/>
            </w:pPr>
            <w:r>
              <w:rPr>
                <w:b/>
                <w:bCs/>
              </w:rPr>
              <w:t xml:space="preserve">Incident Reporting</w:t>
            </w:r>
          </w:p>
        </w:tc>
        <w:tc>
          <w:tcPr/>
          <w:p>
            <w:pPr>
              <w:pStyle w:val="Compact"/>
              <w:jc w:val="center"/>
            </w:pPr>
            <w:r>
              <w:t xml:space="preserve">12h/48h mandatory</w:t>
            </w:r>
          </w:p>
        </w:tc>
        <w:tc>
          <w:tcPr/>
          <w:p>
            <w:pPr>
              <w:pStyle w:val="Compact"/>
              <w:jc w:val="center"/>
            </w:pPr>
            <w:r>
              <w:t xml:space="preserve">24h/72h mandatory</w:t>
            </w:r>
          </w:p>
        </w:tc>
        <w:tc>
          <w:tcPr/>
          <w:p>
            <w:pPr>
              <w:pStyle w:val="Compact"/>
              <w:jc w:val="center"/>
            </w:pPr>
            <w:r>
              <w:t xml:space="preserve">Voluntary</w:t>
            </w:r>
          </w:p>
        </w:tc>
      </w:tr>
      <w:tr>
        <w:tc>
          <w:tcPr/>
          <w:p>
            <w:pPr>
              <w:pStyle w:val="Compact"/>
              <w:jc w:val="left"/>
            </w:pPr>
            <w:r>
              <w:rPr>
                <w:b/>
                <w:bCs/>
              </w:rPr>
              <w:t xml:space="preserve">Cyber Exercise Participation</w:t>
            </w:r>
          </w:p>
        </w:tc>
        <w:tc>
          <w:tcPr/>
          <w:p>
            <w:pPr>
              <w:pStyle w:val="Compact"/>
              <w:jc w:val="center"/>
            </w:pPr>
            <w:r>
              <w:t xml:space="preserve">Mandatory</w:t>
            </w:r>
          </w:p>
        </w:tc>
        <w:tc>
          <w:tcPr/>
          <w:p>
            <w:pPr>
              <w:pStyle w:val="Compact"/>
              <w:jc w:val="center"/>
            </w:pPr>
            <w:r>
              <w:t xml:space="preserve">Encouraged</w:t>
            </w:r>
          </w:p>
        </w:tc>
        <w:tc>
          <w:tcPr/>
          <w:p>
            <w:pPr>
              <w:pStyle w:val="Compact"/>
              <w:jc w:val="center"/>
            </w:pPr>
            <w:r>
              <w:t xml:space="preserve">Voluntary</w:t>
            </w:r>
          </w:p>
        </w:tc>
      </w:tr>
      <w:tr>
        <w:tc>
          <w:tcPr/>
          <w:p>
            <w:pPr>
              <w:pStyle w:val="Compact"/>
              <w:jc w:val="left"/>
            </w:pPr>
            <w:r>
              <w:rPr>
                <w:b/>
                <w:bCs/>
              </w:rPr>
              <w:t xml:space="preserve">Supply Chain Security</w:t>
            </w:r>
          </w:p>
        </w:tc>
        <w:tc>
          <w:tcPr/>
          <w:p>
            <w:pPr>
              <w:pStyle w:val="Compact"/>
              <w:jc w:val="center"/>
            </w:pPr>
            <w:r>
              <w:t xml:space="preserve">Required</w:t>
            </w:r>
          </w:p>
        </w:tc>
        <w:tc>
          <w:tcPr/>
          <w:p>
            <w:pPr>
              <w:pStyle w:val="Compact"/>
              <w:jc w:val="center"/>
            </w:pPr>
            <w:r>
              <w:t xml:space="preserve">Required</w:t>
            </w:r>
          </w:p>
        </w:tc>
        <w:tc>
          <w:tcPr/>
          <w:p>
            <w:pPr>
              <w:pStyle w:val="Compact"/>
              <w:jc w:val="center"/>
            </w:pPr>
            <w:r>
              <w:t xml:space="preserve">Recommended</w:t>
            </w:r>
          </w:p>
        </w:tc>
      </w:tr>
      <w:tr>
        <w:tc>
          <w:tcPr/>
          <w:p>
            <w:pPr>
              <w:pStyle w:val="Compact"/>
              <w:jc w:val="left"/>
            </w:pPr>
            <w:r>
              <w:rPr>
                <w:b/>
                <w:bCs/>
              </w:rPr>
              <w:t xml:space="preserve">24/7 Monitoring</w:t>
            </w:r>
          </w:p>
        </w:tc>
        <w:tc>
          <w:tcPr/>
          <w:p>
            <w:pPr>
              <w:pStyle w:val="Compact"/>
              <w:jc w:val="center"/>
            </w:pPr>
            <w:r>
              <w:t xml:space="preserve">Required</w:t>
            </w:r>
          </w:p>
        </w:tc>
        <w:tc>
          <w:tcPr/>
          <w:p>
            <w:pPr>
              <w:pStyle w:val="Compact"/>
              <w:jc w:val="center"/>
            </w:pPr>
            <w:r>
              <w:t xml:space="preserve">Recommended</w:t>
            </w:r>
          </w:p>
        </w:tc>
        <w:tc>
          <w:tcPr/>
          <w:p>
            <w:pPr>
              <w:pStyle w:val="Compact"/>
              <w:jc w:val="center"/>
            </w:pPr>
            <w:r>
              <w:t xml:space="preserve">Optional</w:t>
            </w:r>
          </w:p>
        </w:tc>
      </w:tr>
      <w:tr>
        <w:tc>
          <w:tcPr/>
          <w:p>
            <w:pPr>
              <w:pStyle w:val="Compact"/>
              <w:jc w:val="left"/>
            </w:pPr>
            <w:r>
              <w:rPr>
                <w:b/>
                <w:bCs/>
              </w:rPr>
              <w:t xml:space="preserve">Business Continuity Plan</w:t>
            </w:r>
          </w:p>
        </w:tc>
        <w:tc>
          <w:tcPr/>
          <w:p>
            <w:pPr>
              <w:pStyle w:val="Compact"/>
              <w:jc w:val="center"/>
            </w:pPr>
            <w:r>
              <w:t xml:space="preserve">Required</w:t>
            </w:r>
          </w:p>
        </w:tc>
        <w:tc>
          <w:tcPr/>
          <w:p>
            <w:pPr>
              <w:pStyle w:val="Compact"/>
              <w:jc w:val="center"/>
            </w:pPr>
            <w:r>
              <w:t xml:space="preserve">Required</w:t>
            </w:r>
          </w:p>
        </w:tc>
        <w:tc>
          <w:tcPr/>
          <w:p>
            <w:pPr>
              <w:pStyle w:val="Compact"/>
              <w:jc w:val="center"/>
            </w:pPr>
            <w:r>
              <w:t xml:space="preserve">Recommended</w:t>
            </w:r>
          </w:p>
        </w:tc>
      </w:tr>
      <w:tr>
        <w:tc>
          <w:tcPr/>
          <w:p>
            <w:pPr>
              <w:pStyle w:val="Compact"/>
              <w:jc w:val="left"/>
            </w:pPr>
            <w:r>
              <w:rPr>
                <w:b/>
                <w:bCs/>
              </w:rPr>
              <w:t xml:space="preserve">Regulatory Supervision</w:t>
            </w:r>
          </w:p>
        </w:tc>
        <w:tc>
          <w:tcPr/>
          <w:p>
            <w:pPr>
              <w:pStyle w:val="Compact"/>
              <w:jc w:val="center"/>
            </w:pPr>
            <w:r>
              <w:t xml:space="preserve">Ex-ante</w:t>
            </w:r>
          </w:p>
        </w:tc>
        <w:tc>
          <w:tcPr/>
          <w:p>
            <w:pPr>
              <w:pStyle w:val="Compact"/>
              <w:jc w:val="center"/>
            </w:pPr>
            <w:r>
              <w:t xml:space="preserve">Ex-post</w:t>
            </w:r>
          </w:p>
        </w:tc>
        <w:tc>
          <w:tcPr/>
          <w:p>
            <w:pPr>
              <w:pStyle w:val="Compact"/>
              <w:jc w:val="center"/>
            </w:pPr>
            <w:r>
              <w:t xml:space="preserve">Self-regulated</w:t>
            </w:r>
          </w:p>
        </w:tc>
      </w:tr>
    </w:tbl>
    <w:bookmarkEnd w:id="370"/>
    <w:bookmarkStart w:id="371" w:name="penalty-framework-proportionate"/>
    <w:p>
      <w:pPr>
        <w:pStyle w:val="Heading3"/>
      </w:pPr>
      <w:r>
        <w:t xml:space="preserve">6.3 Penalty Framework (Proportionate)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Maximum Administrative Fine</w:t>
            </w:r>
          </w:p>
        </w:tc>
        <w:tc>
          <w:tcPr/>
          <w:p>
            <w:pPr>
              <w:pStyle w:val="Compact"/>
              <w:jc w:val="left"/>
            </w:pPr>
            <w:r>
              <w:t xml:space="preserve">Basis</w:t>
            </w:r>
          </w:p>
        </w:tc>
      </w:tr>
      <w:tr>
        <w:tc>
          <w:tcPr/>
          <w:p>
            <w:pPr>
              <w:pStyle w:val="Compact"/>
              <w:jc w:val="left"/>
            </w:pPr>
            <w:r>
              <w:rPr>
                <w:b/>
                <w:bCs/>
              </w:rPr>
              <w:t xml:space="preserve">Tier 1</w:t>
            </w:r>
          </w:p>
        </w:tc>
        <w:tc>
          <w:tcPr/>
          <w:p>
            <w:pPr>
              <w:pStyle w:val="Compact"/>
              <w:jc w:val="left"/>
            </w:pPr>
            <w:r>
              <w:t xml:space="preserve">€10M or 2% global turnover</w:t>
            </w:r>
          </w:p>
        </w:tc>
        <w:tc>
          <w:tcPr/>
          <w:p>
            <w:pPr>
              <w:pStyle w:val="Compact"/>
              <w:jc w:val="left"/>
            </w:pPr>
            <w:r>
              <w:t xml:space="preserve">EU NIS2 model</w:t>
            </w:r>
          </w:p>
        </w:tc>
      </w:tr>
      <w:tr>
        <w:tc>
          <w:tcPr/>
          <w:p>
            <w:pPr>
              <w:pStyle w:val="Compact"/>
              <w:jc w:val="left"/>
            </w:pPr>
            <w:r>
              <w:rPr>
                <w:b/>
                <w:bCs/>
              </w:rPr>
              <w:t xml:space="preserve">Tier 2</w:t>
            </w:r>
          </w:p>
        </w:tc>
        <w:tc>
          <w:tcPr/>
          <w:p>
            <w:pPr>
              <w:pStyle w:val="Compact"/>
              <w:jc w:val="left"/>
            </w:pPr>
            <w:r>
              <w:t xml:space="preserve">€7M or 1.4% global turnover</w:t>
            </w:r>
          </w:p>
        </w:tc>
        <w:tc>
          <w:tcPr/>
          <w:p>
            <w:pPr>
              <w:pStyle w:val="Compact"/>
              <w:jc w:val="left"/>
            </w:pPr>
            <w:r>
              <w:t xml:space="preserve">EU NIS2 model</w:t>
            </w:r>
          </w:p>
        </w:tc>
      </w:tr>
      <w:tr>
        <w:tc>
          <w:tcPr/>
          <w:p>
            <w:pPr>
              <w:pStyle w:val="Compact"/>
              <w:jc w:val="left"/>
            </w:pPr>
            <w:r>
              <w:rPr>
                <w:b/>
                <w:bCs/>
              </w:rPr>
              <w:t xml:space="preserve">Tier 3</w:t>
            </w:r>
          </w:p>
        </w:tc>
        <w:tc>
          <w:tcPr/>
          <w:p>
            <w:pPr>
              <w:pStyle w:val="Compact"/>
              <w:jc w:val="left"/>
            </w:pPr>
            <w:r>
              <w:t xml:space="preserve">Warning → Compliance order</w:t>
            </w:r>
          </w:p>
        </w:tc>
        <w:tc>
          <w:tcPr/>
          <w:p>
            <w:pPr>
              <w:pStyle w:val="Compact"/>
              <w:jc w:val="left"/>
            </w:pPr>
            <w:r>
              <w:t xml:space="preserve">Graduated</w:t>
            </w:r>
          </w:p>
        </w:tc>
      </w:tr>
    </w:tbl>
    <w:p>
      <w:r>
        <w:pict>
          <v:rect style="width:0;height:1.5pt" o:hralign="center" o:hrstd="t" o:hr="t"/>
        </w:pict>
      </w:r>
    </w:p>
    <w:bookmarkEnd w:id="371"/>
    <w:bookmarkEnd w:id="372"/>
    <w:bookmarkStart w:id="376" w:name="part-7-implementation-guidance"/>
    <w:p>
      <w:pPr>
        <w:pStyle w:val="Heading2"/>
      </w:pPr>
      <w:r>
        <w:t xml:space="preserve">Part 7: Implementation Guidance</w:t>
      </w:r>
    </w:p>
    <w:bookmarkStart w:id="373" w:name="self-assessment-questionnaire"/>
    <w:p>
      <w:pPr>
        <w:pStyle w:val="Heading3"/>
      </w:pPr>
      <w:r>
        <w:t xml:space="preserve">7.1 Self-Assessment Questionnaire</w:t>
      </w:r>
    </w:p>
    <w:p>
      <w:pPr>
        <w:pStyle w:val="FirstParagraph"/>
      </w:pPr>
      <w:r>
        <w:t xml:space="preserve">Entities should complete the following to determine preliminary tier classification:</w:t>
      </w:r>
    </w:p>
    <w:tbl>
      <w:tblPr>
        <w:tblStyle w:val="Table"/>
        <w:tblW w:type="pct" w:w="5000"/>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Question</w:t>
            </w:r>
          </w:p>
        </w:tc>
        <w:tc>
          <w:tcPr/>
          <w:p>
            <w:pPr>
              <w:pStyle w:val="Compact"/>
              <w:jc w:val="center"/>
            </w:pPr>
            <w:r>
              <w:t xml:space="preserve">Yes Score</w:t>
            </w:r>
          </w:p>
        </w:tc>
        <w:tc>
          <w:tcPr/>
          <w:p>
            <w:pPr>
              <w:pStyle w:val="Compact"/>
              <w:jc w:val="center"/>
            </w:pPr>
            <w:r>
              <w:t xml:space="preserve">No Score</w:t>
            </w:r>
          </w:p>
        </w:tc>
      </w:tr>
      <w:tr>
        <w:tc>
          <w:tcPr/>
          <w:p>
            <w:pPr>
              <w:pStyle w:val="Compact"/>
              <w:jc w:val="left"/>
            </w:pPr>
            <w:r>
              <w:t xml:space="preserve">Do you operate an ICU?</w:t>
            </w:r>
          </w:p>
        </w:tc>
        <w:tc>
          <w:tcPr/>
          <w:p>
            <w:pPr>
              <w:pStyle w:val="Compact"/>
              <w:jc w:val="center"/>
            </w:pPr>
            <w:r>
              <w:t xml:space="preserve">+25</w:t>
            </w:r>
          </w:p>
        </w:tc>
        <w:tc>
          <w:tcPr/>
          <w:p>
            <w:pPr>
              <w:pStyle w:val="Compact"/>
              <w:jc w:val="center"/>
            </w:pPr>
            <w:r>
              <w:t xml:space="preserve">0</w:t>
            </w:r>
          </w:p>
        </w:tc>
      </w:tr>
      <w:tr>
        <w:tc>
          <w:tcPr/>
          <w:p>
            <w:pPr>
              <w:pStyle w:val="Compact"/>
              <w:jc w:val="left"/>
            </w:pPr>
            <w:r>
              <w:t xml:space="preserve">Do you provide emergency ambulance dispatch?</w:t>
            </w:r>
          </w:p>
        </w:tc>
        <w:tc>
          <w:tcPr/>
          <w:p>
            <w:pPr>
              <w:pStyle w:val="Compact"/>
              <w:jc w:val="center"/>
            </w:pPr>
            <w:r>
              <w:t xml:space="preserve">+25</w:t>
            </w:r>
          </w:p>
        </w:tc>
        <w:tc>
          <w:tcPr/>
          <w:p>
            <w:pPr>
              <w:pStyle w:val="Compact"/>
              <w:jc w:val="center"/>
            </w:pPr>
            <w:r>
              <w:t xml:space="preserve">0</w:t>
            </w:r>
          </w:p>
        </w:tc>
      </w:tr>
      <w:tr>
        <w:tc>
          <w:tcPr/>
          <w:p>
            <w:pPr>
              <w:pStyle w:val="Compact"/>
              <w:jc w:val="left"/>
            </w:pPr>
            <w:r>
              <w:t xml:space="preserve">Do you operate blood/organ allocation services?</w:t>
            </w:r>
          </w:p>
        </w:tc>
        <w:tc>
          <w:tcPr/>
          <w:p>
            <w:pPr>
              <w:pStyle w:val="Compact"/>
              <w:jc w:val="center"/>
            </w:pPr>
            <w:r>
              <w:t xml:space="preserve">+20</w:t>
            </w:r>
          </w:p>
        </w:tc>
        <w:tc>
          <w:tcPr/>
          <w:p>
            <w:pPr>
              <w:pStyle w:val="Compact"/>
              <w:jc w:val="center"/>
            </w:pPr>
            <w:r>
              <w:t xml:space="preserve">0</w:t>
            </w:r>
          </w:p>
        </w:tc>
      </w:tr>
      <w:tr>
        <w:tc>
          <w:tcPr/>
          <w:p>
            <w:pPr>
              <w:pStyle w:val="Compact"/>
              <w:jc w:val="left"/>
            </w:pPr>
            <w:r>
              <w:t xml:space="preserve">Do you have ≥30,000 inpatient cases/year?</w:t>
            </w:r>
          </w:p>
        </w:tc>
        <w:tc>
          <w:tcPr/>
          <w:p>
            <w:pPr>
              <w:pStyle w:val="Compact"/>
              <w:jc w:val="center"/>
            </w:pPr>
            <w:r>
              <w:t xml:space="preserve">+30</w:t>
            </w:r>
          </w:p>
        </w:tc>
        <w:tc>
          <w:tcPr/>
          <w:p>
            <w:pPr>
              <w:pStyle w:val="Compact"/>
              <w:jc w:val="center"/>
            </w:pPr>
            <w:r>
              <w:t xml:space="preserve">0</w:t>
            </w:r>
          </w:p>
        </w:tc>
      </w:tr>
      <w:tr>
        <w:tc>
          <w:tcPr/>
          <w:p>
            <w:pPr>
              <w:pStyle w:val="Compact"/>
              <w:jc w:val="left"/>
            </w:pPr>
            <w:r>
              <w:t xml:space="preserve">Are you the sole provider of essential services in your area?</w:t>
            </w:r>
          </w:p>
        </w:tc>
        <w:tc>
          <w:tcPr/>
          <w:p>
            <w:pPr>
              <w:pStyle w:val="Compact"/>
              <w:jc w:val="center"/>
            </w:pPr>
            <w:r>
              <w:t xml:space="preserve">+10</w:t>
            </w:r>
          </w:p>
        </w:tc>
        <w:tc>
          <w:tcPr/>
          <w:p>
            <w:pPr>
              <w:pStyle w:val="Compact"/>
              <w:jc w:val="center"/>
            </w:pPr>
            <w:r>
              <w:t xml:space="preserve">0</w:t>
            </w:r>
          </w:p>
        </w:tc>
      </w:tr>
      <w:tr>
        <w:tc>
          <w:tcPr/>
          <w:p>
            <w:pPr>
              <w:pStyle w:val="Compact"/>
              <w:jc w:val="left"/>
            </w:pPr>
            <w:r>
              <w:t xml:space="preserve">Do you operate a national/regional disease surveillance system?</w:t>
            </w:r>
          </w:p>
        </w:tc>
        <w:tc>
          <w:tcPr/>
          <w:p>
            <w:pPr>
              <w:pStyle w:val="Compact"/>
              <w:jc w:val="center"/>
            </w:pPr>
            <w:r>
              <w:t xml:space="preserve">+20</w:t>
            </w:r>
          </w:p>
        </w:tc>
        <w:tc>
          <w:tcPr/>
          <w:p>
            <w:pPr>
              <w:pStyle w:val="Compact"/>
              <w:jc w:val="center"/>
            </w:pPr>
            <w:r>
              <w:t xml:space="preserve">0</w:t>
            </w:r>
          </w:p>
        </w:tc>
      </w:tr>
      <w:tr>
        <w:tc>
          <w:tcPr/>
          <w:p>
            <w:pPr>
              <w:pStyle w:val="Compact"/>
              <w:jc w:val="left"/>
            </w:pPr>
            <w:r>
              <w:t xml:space="preserve">Do you have ≥50 employees?</w:t>
            </w:r>
          </w:p>
        </w:tc>
        <w:tc>
          <w:tcPr/>
          <w:p>
            <w:pPr>
              <w:pStyle w:val="Compact"/>
              <w:jc w:val="center"/>
            </w:pPr>
            <w:r>
              <w:t xml:space="preserve">+10</w:t>
            </w:r>
          </w:p>
        </w:tc>
        <w:tc>
          <w:tcPr/>
          <w:p>
            <w:pPr>
              <w:pStyle w:val="Compact"/>
              <w:jc w:val="center"/>
            </w:pPr>
            <w:r>
              <w:t xml:space="preserve">0</w:t>
            </w:r>
          </w:p>
        </w:tc>
      </w:tr>
      <w:tr>
        <w:tc>
          <w:tcPr/>
          <w:p>
            <w:pPr>
              <w:pStyle w:val="Compact"/>
              <w:jc w:val="left"/>
            </w:pPr>
            <w:r>
              <w:t xml:space="preserve">Do other health systems depend on your systems?</w:t>
            </w:r>
          </w:p>
        </w:tc>
        <w:tc>
          <w:tcPr/>
          <w:p>
            <w:pPr>
              <w:pStyle w:val="Compact"/>
              <w:jc w:val="center"/>
            </w:pPr>
            <w:r>
              <w:t xml:space="preserve">+8</w:t>
            </w:r>
          </w:p>
        </w:tc>
        <w:tc>
          <w:tcPr/>
          <w:p>
            <w:pPr>
              <w:pStyle w:val="Compact"/>
              <w:jc w:val="center"/>
            </w:pPr>
            <w:r>
              <w:t xml:space="preserve">0</w:t>
            </w:r>
          </w:p>
        </w:tc>
      </w:tr>
    </w:tbl>
    <w:p>
      <w:pPr>
        <w:pStyle w:val="BodyText"/>
      </w:pPr>
      <w:r>
        <w:rPr>
          <w:b/>
          <w:bCs/>
        </w:rPr>
        <w:t xml:space="preserve">Preliminary Classification:</w:t>
      </w:r>
      <w:r>
        <w:t xml:space="preserve"> </w:t>
      </w:r>
      <w:r>
        <w:t xml:space="preserve">- Score ≥60 → Likely Tier 1</w:t>
      </w:r>
      <w:r>
        <w:t xml:space="preserve"> </w:t>
      </w:r>
      <w:r>
        <w:t xml:space="preserve">- Score 30–59 → Likely Tier 2</w:t>
      </w:r>
      <w:r>
        <w:t xml:space="preserve"> </w:t>
      </w:r>
      <w:r>
        <w:t xml:space="preserve">- Score &lt;30 → Likely Tier 3</w:t>
      </w:r>
    </w:p>
    <w:bookmarkEnd w:id="373"/>
    <w:bookmarkStart w:id="374" w:name="regulatory-review-process"/>
    <w:p>
      <w:pPr>
        <w:pStyle w:val="Heading3"/>
      </w:pPr>
      <w:r>
        <w:t xml:space="preserve">7.2 Regulatory Review Process</w:t>
      </w:r>
    </w:p>
    <w:p>
      <w:pPr>
        <w:pStyle w:val="Compact"/>
        <w:numPr>
          <w:ilvl w:val="0"/>
          <w:numId w:val="1305"/>
        </w:numPr>
      </w:pPr>
      <w:r>
        <w:rPr>
          <w:b/>
          <w:bCs/>
        </w:rPr>
        <w:t xml:space="preserve">Self-Assessment</w:t>
      </w:r>
      <w:r>
        <w:t xml:space="preserve"> </w:t>
      </w:r>
      <w:r>
        <w:t xml:space="preserve">→ Entity completes questionnaire and submits to regulator</w:t>
      </w:r>
    </w:p>
    <w:p>
      <w:pPr>
        <w:pStyle w:val="Compact"/>
        <w:numPr>
          <w:ilvl w:val="0"/>
          <w:numId w:val="1305"/>
        </w:numPr>
      </w:pPr>
      <w:r>
        <w:rPr>
          <w:b/>
          <w:bCs/>
        </w:rPr>
        <w:t xml:space="preserve">Validation</w:t>
      </w:r>
      <w:r>
        <w:t xml:space="preserve"> </w:t>
      </w:r>
      <w:r>
        <w:t xml:space="preserve">→ Regulator reviews against national health data</w:t>
      </w:r>
    </w:p>
    <w:p>
      <w:pPr>
        <w:pStyle w:val="Compact"/>
        <w:numPr>
          <w:ilvl w:val="0"/>
          <w:numId w:val="1305"/>
        </w:numPr>
      </w:pPr>
      <w:r>
        <w:rPr>
          <w:b/>
          <w:bCs/>
        </w:rPr>
        <w:t xml:space="preserve">Designation</w:t>
      </w:r>
      <w:r>
        <w:t xml:space="preserve"> </w:t>
      </w:r>
      <w:r>
        <w:t xml:space="preserve">→ Entity receives written notification of tier classification</w:t>
      </w:r>
    </w:p>
    <w:p>
      <w:pPr>
        <w:pStyle w:val="Compact"/>
        <w:numPr>
          <w:ilvl w:val="0"/>
          <w:numId w:val="1305"/>
        </w:numPr>
      </w:pPr>
      <w:r>
        <w:rPr>
          <w:b/>
          <w:bCs/>
        </w:rPr>
        <w:t xml:space="preserve">Appeals</w:t>
      </w:r>
      <w:r>
        <w:t xml:space="preserve"> </w:t>
      </w:r>
      <w:r>
        <w:t xml:space="preserve">→ 30-day window to contest classification</w:t>
      </w:r>
    </w:p>
    <w:p>
      <w:pPr>
        <w:pStyle w:val="Compact"/>
        <w:numPr>
          <w:ilvl w:val="0"/>
          <w:numId w:val="1305"/>
        </w:numPr>
      </w:pPr>
      <w:r>
        <w:rPr>
          <w:b/>
          <w:bCs/>
        </w:rPr>
        <w:t xml:space="preserve">Periodic Review</w:t>
      </w:r>
      <w:r>
        <w:t xml:space="preserve"> </w:t>
      </w:r>
      <w:r>
        <w:t xml:space="preserve">→ Classification reviewed every 2 years (EU NIS2 model)</w:t>
      </w:r>
    </w:p>
    <w:bookmarkEnd w:id="374"/>
    <w:bookmarkStart w:id="375" w:name="transition-timeline"/>
    <w:p>
      <w:pPr>
        <w:pStyle w:val="Heading3"/>
      </w:pPr>
      <w:r>
        <w:t xml:space="preserve">7.3 Transition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Activity</w:t>
            </w:r>
          </w:p>
        </w:tc>
      </w:tr>
      <w:tr>
        <w:tc>
          <w:tcPr/>
          <w:p>
            <w:pPr>
              <w:pStyle w:val="Compact"/>
              <w:jc w:val="left"/>
            </w:pPr>
            <w:r>
              <w:rPr>
                <w:b/>
                <w:bCs/>
              </w:rPr>
              <w:t xml:space="preserve">Phase 1</w:t>
            </w:r>
          </w:p>
        </w:tc>
        <w:tc>
          <w:tcPr/>
          <w:p>
            <w:pPr>
              <w:pStyle w:val="Compact"/>
              <w:jc w:val="left"/>
            </w:pPr>
            <w:r>
              <w:t xml:space="preserve">Months 1-3</w:t>
            </w:r>
          </w:p>
        </w:tc>
        <w:tc>
          <w:tcPr/>
          <w:p>
            <w:pPr>
              <w:pStyle w:val="Compact"/>
              <w:jc w:val="left"/>
            </w:pPr>
            <w:r>
              <w:t xml:space="preserve">Self-assessment by entities</w:t>
            </w:r>
          </w:p>
        </w:tc>
      </w:tr>
      <w:tr>
        <w:tc>
          <w:tcPr/>
          <w:p>
            <w:pPr>
              <w:pStyle w:val="Compact"/>
              <w:jc w:val="left"/>
            </w:pPr>
            <w:r>
              <w:rPr>
                <w:b/>
                <w:bCs/>
              </w:rPr>
              <w:t xml:space="preserve">Phase 2</w:t>
            </w:r>
          </w:p>
        </w:tc>
        <w:tc>
          <w:tcPr/>
          <w:p>
            <w:pPr>
              <w:pStyle w:val="Compact"/>
              <w:jc w:val="left"/>
            </w:pPr>
            <w:r>
              <w:t xml:space="preserve">Months 4-6</w:t>
            </w:r>
          </w:p>
        </w:tc>
        <w:tc>
          <w:tcPr/>
          <w:p>
            <w:pPr>
              <w:pStyle w:val="Compact"/>
              <w:jc w:val="left"/>
            </w:pPr>
            <w:r>
              <w:t xml:space="preserve">Regulatory validation and designation</w:t>
            </w:r>
          </w:p>
        </w:tc>
      </w:tr>
      <w:tr>
        <w:tc>
          <w:tcPr/>
          <w:p>
            <w:pPr>
              <w:pStyle w:val="Compact"/>
              <w:jc w:val="left"/>
            </w:pPr>
            <w:r>
              <w:rPr>
                <w:b/>
                <w:bCs/>
              </w:rPr>
              <w:t xml:space="preserve">Phase 3</w:t>
            </w:r>
          </w:p>
        </w:tc>
        <w:tc>
          <w:tcPr/>
          <w:p>
            <w:pPr>
              <w:pStyle w:val="Compact"/>
              <w:jc w:val="left"/>
            </w:pPr>
            <w:r>
              <w:t xml:space="preserve">Months 7-12</w:t>
            </w:r>
          </w:p>
        </w:tc>
        <w:tc>
          <w:tcPr/>
          <w:p>
            <w:pPr>
              <w:pStyle w:val="Compact"/>
              <w:jc w:val="left"/>
            </w:pPr>
            <w:r>
              <w:t xml:space="preserve">Compliance planning and gap analysis</w:t>
            </w:r>
          </w:p>
        </w:tc>
      </w:tr>
      <w:tr>
        <w:tc>
          <w:tcPr/>
          <w:p>
            <w:pPr>
              <w:pStyle w:val="Compact"/>
              <w:jc w:val="left"/>
            </w:pPr>
            <w:r>
              <w:rPr>
                <w:b/>
                <w:bCs/>
              </w:rPr>
              <w:t xml:space="preserve">Phase 4</w:t>
            </w:r>
          </w:p>
        </w:tc>
        <w:tc>
          <w:tcPr/>
          <w:p>
            <w:pPr>
              <w:pStyle w:val="Compact"/>
              <w:jc w:val="left"/>
            </w:pPr>
            <w:r>
              <w:t xml:space="preserve">Months 13-18</w:t>
            </w:r>
          </w:p>
        </w:tc>
        <w:tc>
          <w:tcPr/>
          <w:p>
            <w:pPr>
              <w:pStyle w:val="Compact"/>
              <w:jc w:val="left"/>
            </w:pPr>
            <w:r>
              <w:t xml:space="preserve">Full compliance (Tier 1 first)</w:t>
            </w:r>
          </w:p>
        </w:tc>
      </w:tr>
      <w:tr>
        <w:tc>
          <w:tcPr/>
          <w:p>
            <w:pPr>
              <w:pStyle w:val="Compact"/>
              <w:jc w:val="left"/>
            </w:pPr>
            <w:r>
              <w:rPr>
                <w:b/>
                <w:bCs/>
              </w:rPr>
              <w:t xml:space="preserve">Phase 5</w:t>
            </w:r>
          </w:p>
        </w:tc>
        <w:tc>
          <w:tcPr/>
          <w:p>
            <w:pPr>
              <w:pStyle w:val="Compact"/>
              <w:jc w:val="left"/>
            </w:pPr>
            <w:r>
              <w:t xml:space="preserve">Months 19-24</w:t>
            </w:r>
          </w:p>
        </w:tc>
        <w:tc>
          <w:tcPr/>
          <w:p>
            <w:pPr>
              <w:pStyle w:val="Compact"/>
              <w:jc w:val="left"/>
            </w:pPr>
            <w:r>
              <w:t xml:space="preserve">Full compliance (all tiers)</w:t>
            </w:r>
          </w:p>
        </w:tc>
      </w:tr>
    </w:tbl>
    <w:p>
      <w:r>
        <w:pict>
          <v:rect style="width:0;height:1.5pt" o:hralign="center" o:hrstd="t" o:hr="t"/>
        </w:pict>
      </w:r>
    </w:p>
    <w:bookmarkEnd w:id="375"/>
    <w:bookmarkEnd w:id="376"/>
    <w:bookmarkStart w:id="377" w:name="Xe74ffe4e5b409b0b2bca92d8366c00370aac3ed"/>
    <w:p>
      <w:pPr>
        <w:pStyle w:val="Heading2"/>
      </w:pPr>
      <w:r>
        <w:t xml:space="preserve">Part 8: Reference Jurisdictions for Each Component</w:t>
      </w:r>
    </w:p>
    <w:tbl>
      <w:tblPr>
        <w:tblStyle w:val="Table"/>
        <w:tblW w:type="pct" w:w="5000"/>
        <w:tblLayout w:type="fixed"/>
        <w:tblLook w:firstRow="1" w:lastRow="0" w:firstColumn="0" w:lastColumn="0" w:noHBand="0" w:noVBand="0" w:val="0020"/>
      </w:tblPr>
      <w:tblGrid>
        <w:gridCol w:w="2726"/>
        <w:gridCol w:w="2466"/>
        <w:gridCol w:w="2726"/>
      </w:tblGrid>
      <w:tr>
        <w:trPr>
          <w:tblHeader w:val="on"/>
        </w:trPr>
        <w:tc>
          <w:tcPr/>
          <w:p>
            <w:pPr>
              <w:pStyle w:val="Compact"/>
              <w:jc w:val="left"/>
            </w:pPr>
            <w:r>
              <w:t xml:space="preserve">Framework Component</w:t>
            </w:r>
          </w:p>
        </w:tc>
        <w:tc>
          <w:tcPr/>
          <w:p>
            <w:pPr>
              <w:pStyle w:val="Compact"/>
              <w:jc w:val="left"/>
            </w:pPr>
            <w:r>
              <w:t xml:space="preserve">Primary Reference</w:t>
            </w:r>
          </w:p>
        </w:tc>
        <w:tc>
          <w:tcPr/>
          <w:p>
            <w:pPr>
              <w:pStyle w:val="Compact"/>
              <w:jc w:val="left"/>
            </w:pPr>
            <w:r>
              <w:t xml:space="preserve">Secondary Reference</w:t>
            </w:r>
          </w:p>
        </w:tc>
      </w:tr>
      <w:tr>
        <w:tc>
          <w:tcPr/>
          <w:p>
            <w:pPr>
              <w:pStyle w:val="Compact"/>
              <w:jc w:val="left"/>
            </w:pPr>
            <w:r>
              <w:t xml:space="preserve">Quantitative thresholds</w:t>
            </w:r>
          </w:p>
        </w:tc>
        <w:tc>
          <w:tcPr/>
          <w:p>
            <w:pPr>
              <w:pStyle w:val="Compact"/>
              <w:jc w:val="left"/>
            </w:pPr>
            <w:r>
              <w:t xml:space="preserve">Germany (BSI-KritisV)</w:t>
            </w:r>
          </w:p>
        </w:tc>
        <w:tc>
          <w:tcPr/>
          <w:p>
            <w:pPr>
              <w:pStyle w:val="Compact"/>
              <w:jc w:val="left"/>
            </w:pPr>
            <w:r>
              <w:t xml:space="preserve">Australia (SOCI Act)</w:t>
            </w:r>
          </w:p>
        </w:tc>
      </w:tr>
      <w:tr>
        <w:tc>
          <w:tcPr/>
          <w:p>
            <w:pPr>
              <w:pStyle w:val="Compact"/>
              <w:jc w:val="left"/>
            </w:pPr>
            <w:r>
              <w:t xml:space="preserve">Three-tier structure</w:t>
            </w:r>
          </w:p>
        </w:tc>
        <w:tc>
          <w:tcPr/>
          <w:p>
            <w:pPr>
              <w:pStyle w:val="Compact"/>
              <w:jc w:val="left"/>
            </w:pPr>
            <w:r>
              <w:t xml:space="preserve">EU NIS2, Israel</w:t>
            </w:r>
          </w:p>
        </w:tc>
        <w:tc>
          <w:tcPr/>
          <w:p>
            <w:pPr>
              <w:pStyle w:val="Compact"/>
              <w:jc w:val="left"/>
            </w:pPr>
            <w:r>
              <w:t xml:space="preserve">Hong Kong</w:t>
            </w:r>
          </w:p>
        </w:tc>
      </w:tr>
      <w:tr>
        <w:tc>
          <w:tcPr/>
          <w:p>
            <w:pPr>
              <w:pStyle w:val="Compact"/>
              <w:jc w:val="left"/>
            </w:pPr>
            <w:r>
              <w:t xml:space="preserve">Incident reporting timelines</w:t>
            </w:r>
          </w:p>
        </w:tc>
        <w:tc>
          <w:tcPr/>
          <w:p>
            <w:pPr>
              <w:pStyle w:val="Compact"/>
              <w:jc w:val="left"/>
            </w:pPr>
            <w:r>
              <w:t xml:space="preserve">Hong Kong, Norway</w:t>
            </w:r>
          </w:p>
        </w:tc>
        <w:tc>
          <w:tcPr/>
          <w:p>
            <w:pPr>
              <w:pStyle w:val="Compact"/>
              <w:jc w:val="left"/>
            </w:pPr>
            <w:r>
              <w:t xml:space="preserve">EU NIS2</w:t>
            </w:r>
          </w:p>
        </w:tc>
      </w:tr>
      <w:tr>
        <w:tc>
          <w:tcPr/>
          <w:p>
            <w:pPr>
              <w:pStyle w:val="Compact"/>
              <w:jc w:val="left"/>
            </w:pPr>
            <w:r>
              <w:t xml:space="preserve">Impact thresholds</w:t>
            </w:r>
          </w:p>
        </w:tc>
        <w:tc>
          <w:tcPr/>
          <w:p>
            <w:pPr>
              <w:pStyle w:val="Compact"/>
              <w:jc w:val="left"/>
            </w:pPr>
            <w:r>
              <w:t xml:space="preserve">UK (DHSC CAF)</w:t>
            </w:r>
          </w:p>
        </w:tc>
        <w:tc>
          <w:tcPr/>
          <w:p>
            <w:pPr>
              <w:pStyle w:val="Compact"/>
              <w:jc w:val="left"/>
            </w:pPr>
            <w:r>
              <w:t xml:space="preserve">—</w:t>
            </w:r>
          </w:p>
        </w:tc>
      </w:tr>
      <w:tr>
        <w:tc>
          <w:tcPr/>
          <w:p>
            <w:pPr>
              <w:pStyle w:val="Compact"/>
              <w:jc w:val="left"/>
            </w:pPr>
            <w:r>
              <w:t xml:space="preserve">“Regardless of size”</w:t>
            </w:r>
            <w:r>
              <w:t xml:space="preserve"> </w:t>
            </w:r>
            <w:r>
              <w:t xml:space="preserve">triggers</w:t>
            </w:r>
          </w:p>
        </w:tc>
        <w:tc>
          <w:tcPr/>
          <w:p>
            <w:pPr>
              <w:pStyle w:val="Compact"/>
              <w:jc w:val="left"/>
            </w:pPr>
            <w:r>
              <w:t xml:space="preserve">EU NIS2</w:t>
            </w:r>
          </w:p>
        </w:tc>
        <w:tc>
          <w:tcPr/>
          <w:p>
            <w:pPr>
              <w:pStyle w:val="Compact"/>
              <w:jc w:val="left"/>
            </w:pPr>
            <w:r>
              <w:t xml:space="preserve">Singapore</w:t>
            </w:r>
          </w:p>
        </w:tc>
      </w:tr>
      <w:tr>
        <w:tc>
          <w:tcPr/>
          <w:p>
            <w:pPr>
              <w:pStyle w:val="Compact"/>
              <w:jc w:val="left"/>
            </w:pPr>
            <w:r>
              <w:t xml:space="preserve">System-level designation</w:t>
            </w:r>
          </w:p>
        </w:tc>
        <w:tc>
          <w:tcPr/>
          <w:p>
            <w:pPr>
              <w:pStyle w:val="Compact"/>
              <w:jc w:val="left"/>
            </w:pPr>
            <w:r>
              <w:t xml:space="preserve">Singapore (CII)</w:t>
            </w:r>
          </w:p>
        </w:tc>
        <w:tc>
          <w:tcPr/>
          <w:p>
            <w:pPr>
              <w:pStyle w:val="Compact"/>
              <w:jc w:val="left"/>
            </w:pPr>
            <w:r>
              <w:t xml:space="preserve">Hong Kong</w:t>
            </w:r>
          </w:p>
        </w:tc>
      </w:tr>
      <w:tr>
        <w:tc>
          <w:tcPr/>
          <w:p>
            <w:pPr>
              <w:pStyle w:val="Compact"/>
              <w:jc w:val="left"/>
            </w:pPr>
            <w:r>
              <w:t xml:space="preserve">Public criteria/confidential lists</w:t>
            </w:r>
          </w:p>
        </w:tc>
        <w:tc>
          <w:tcPr/>
          <w:p>
            <w:pPr>
              <w:pStyle w:val="Compact"/>
              <w:jc w:val="left"/>
            </w:pPr>
            <w:r>
              <w:t xml:space="preserve">Most jurisdictions</w:t>
            </w:r>
          </w:p>
        </w:tc>
        <w:tc>
          <w:tcPr/>
          <w:p>
            <w:pPr>
              <w:pStyle w:val="Compact"/>
              <w:jc w:val="left"/>
            </w:pPr>
            <w:r>
              <w:t xml:space="preserve">South Korea (exception: public)</w:t>
            </w:r>
          </w:p>
        </w:tc>
      </w:tr>
      <w:tr>
        <w:tc>
          <w:tcPr/>
          <w:p>
            <w:pPr>
              <w:pStyle w:val="Compact"/>
              <w:jc w:val="left"/>
            </w:pPr>
            <w:r>
              <w:t xml:space="preserve">Proportionate penalties</w:t>
            </w:r>
          </w:p>
        </w:tc>
        <w:tc>
          <w:tcPr/>
          <w:p>
            <w:pPr>
              <w:pStyle w:val="Compact"/>
              <w:jc w:val="left"/>
            </w:pPr>
            <w:r>
              <w:t xml:space="preserve">EU NIS2</w:t>
            </w:r>
          </w:p>
        </w:tc>
        <w:tc>
          <w:tcPr/>
          <w:p>
            <w:pPr>
              <w:pStyle w:val="Compact"/>
              <w:jc w:val="left"/>
            </w:pPr>
            <w:r>
              <w:t xml:space="preserve">Hong Kong</w:t>
            </w:r>
          </w:p>
        </w:tc>
      </w:tr>
      <w:tr>
        <w:tc>
          <w:tcPr/>
          <w:p>
            <w:pPr>
              <w:pStyle w:val="Compact"/>
              <w:jc w:val="left"/>
            </w:pPr>
            <w:r>
              <w:t xml:space="preserve">Registration obligation</w:t>
            </w:r>
          </w:p>
        </w:tc>
        <w:tc>
          <w:tcPr/>
          <w:p>
            <w:pPr>
              <w:pStyle w:val="Compact"/>
              <w:jc w:val="left"/>
            </w:pPr>
            <w:r>
              <w:t xml:space="preserve">Germany (NIS2)</w:t>
            </w:r>
          </w:p>
        </w:tc>
        <w:tc>
          <w:tcPr/>
          <w:p>
            <w:pPr>
              <w:pStyle w:val="Compact"/>
              <w:jc w:val="left"/>
            </w:pPr>
            <w:r>
              <w:t xml:space="preserve">Taiwan</w:t>
            </w:r>
          </w:p>
        </w:tc>
      </w:tr>
      <w:tr>
        <w:tc>
          <w:tcPr/>
          <w:p>
            <w:pPr>
              <w:pStyle w:val="Compact"/>
              <w:jc w:val="left"/>
            </w:pPr>
            <w:r>
              <w:t xml:space="preserve">Periodic review</w:t>
            </w:r>
          </w:p>
        </w:tc>
        <w:tc>
          <w:tcPr/>
          <w:p>
            <w:pPr>
              <w:pStyle w:val="Compact"/>
              <w:jc w:val="left"/>
            </w:pPr>
            <w:r>
              <w:t xml:space="preserve">EU NIS2 (2-year)</w:t>
            </w:r>
          </w:p>
        </w:tc>
        <w:tc>
          <w:tcPr/>
          <w:p>
            <w:pPr>
              <w:pStyle w:val="Compact"/>
              <w:jc w:val="left"/>
            </w:pPr>
            <w:r>
              <w:t xml:space="preserve">UK</w:t>
            </w:r>
          </w:p>
        </w:tc>
      </w:tr>
    </w:tbl>
    <w:p>
      <w:r>
        <w:pict>
          <v:rect style="width:0;height:1.5pt" o:hralign="center" o:hrstd="t" o:hr="t"/>
        </w:pict>
      </w:r>
    </w:p>
    <w:bookmarkEnd w:id="377"/>
    <w:bookmarkStart w:id="404" w:name="part-9-developing-country-adaptations"/>
    <w:p>
      <w:pPr>
        <w:pStyle w:val="Heading2"/>
      </w:pPr>
      <w:r>
        <w:t xml:space="preserve">Part 9: Developing Country Adaptations</w:t>
      </w:r>
    </w:p>
    <w:p>
      <w:pPr>
        <w:pStyle w:val="BlockText"/>
      </w:pPr>
      <w:r>
        <w:t xml:space="preserve">[!IMPORTANT]</w:t>
      </w:r>
      <w:r>
        <w:t xml:space="preserve"> </w:t>
      </w:r>
      <w:r>
        <w:t xml:space="preserve">The thresholds derived from European, North American, and Australian frameworks (Parts 1-8) are calibrated for</w:t>
      </w:r>
      <w:r>
        <w:t xml:space="preserve"> </w:t>
      </w:r>
      <w:r>
        <w:rPr>
          <w:b/>
          <w:bCs/>
        </w:rPr>
        <w:t xml:space="preserve">developed healthcare systems</w:t>
      </w:r>
      <w:r>
        <w:t xml:space="preserve"> </w:t>
      </w:r>
      <w:r>
        <w:t xml:space="preserve">with high IT maturity, abundant regulatory capacity, and relatively uniform digital infrastructure.</w:t>
      </w:r>
      <w:r>
        <w:t xml:space="preserve"> </w:t>
      </w:r>
      <w:r>
        <w:rPr>
          <w:b/>
          <w:bCs/>
        </w:rPr>
        <w:t xml:space="preserve">Direct application to developing countries may be problematic</w:t>
      </w:r>
      <w:r>
        <w:t xml:space="preserve"> </w:t>
      </w:r>
      <w:r>
        <w:t xml:space="preserve">and requires significant adaptation.</w:t>
      </w:r>
    </w:p>
    <w:bookmarkStart w:id="378" w:name="X715d2e9d5d3e754fd020fa1e124f50321556b61"/>
    <w:p>
      <w:pPr>
        <w:pStyle w:val="Heading3"/>
      </w:pPr>
      <w:r>
        <w:t xml:space="preserve">9.1 Why Developed-Country Thresholds Are Inappropriate</w:t>
      </w:r>
    </w:p>
    <w:tbl>
      <w:tblPr>
        <w:tblStyle w:val="Table"/>
        <w:tblW w:type="pct" w:w="5000"/>
        <w:tblLayout w:type="fixed"/>
        <w:tblLook w:firstRow="1" w:lastRow="0" w:firstColumn="0" w:lastColumn="0" w:noHBand="0" w:noVBand="0" w:val="0020"/>
      </w:tblPr>
      <w:tblGrid>
        <w:gridCol w:w="1005"/>
        <w:gridCol w:w="3394"/>
        <w:gridCol w:w="3520"/>
      </w:tblGrid>
      <w:tr>
        <w:trPr>
          <w:tblHeader w:val="on"/>
        </w:trPr>
        <w:tc>
          <w:tcPr/>
          <w:p>
            <w:pPr>
              <w:pStyle w:val="Compact"/>
              <w:jc w:val="left"/>
            </w:pPr>
            <w:r>
              <w:t xml:space="preserve">Factor</w:t>
            </w:r>
          </w:p>
        </w:tc>
        <w:tc>
          <w:tcPr/>
          <w:p>
            <w:pPr>
              <w:pStyle w:val="Compact"/>
              <w:jc w:val="left"/>
            </w:pPr>
            <w:r>
              <w:t xml:space="preserve">Developed Country Context</w:t>
            </w:r>
          </w:p>
        </w:tc>
        <w:tc>
          <w:tcPr/>
          <w:p>
            <w:pPr>
              <w:pStyle w:val="Compact"/>
              <w:jc w:val="left"/>
            </w:pPr>
            <w:r>
              <w:t xml:space="preserve">Developing Country Reality</w:t>
            </w:r>
          </w:p>
        </w:tc>
      </w:tr>
      <w:tr>
        <w:tc>
          <w:tcPr/>
          <w:p>
            <w:pPr>
              <w:pStyle w:val="Compact"/>
              <w:jc w:val="left"/>
            </w:pPr>
            <w:r>
              <w:rPr>
                <w:b/>
                <w:bCs/>
              </w:rPr>
              <w:t xml:space="preserve">Case volume</w:t>
            </w:r>
          </w:p>
        </w:tc>
        <w:tc>
          <w:tcPr/>
          <w:p>
            <w:pPr>
              <w:pStyle w:val="Compact"/>
              <w:jc w:val="left"/>
            </w:pPr>
            <w:r>
              <w:t xml:space="preserve">30,000 inpatient cases = mid-size hospital</w:t>
            </w:r>
          </w:p>
        </w:tc>
        <w:tc>
          <w:tcPr/>
          <w:p>
            <w:pPr>
              <w:pStyle w:val="Compact"/>
              <w:jc w:val="left"/>
            </w:pPr>
            <w:r>
              <w:t xml:space="preserve">30,000 cases may be a</w:t>
            </w:r>
            <w:r>
              <w:t xml:space="preserve"> </w:t>
            </w:r>
            <w:r>
              <w:rPr>
                <w:b/>
                <w:bCs/>
              </w:rPr>
              <w:t xml:space="preserve">major tertiary center</w:t>
            </w:r>
          </w:p>
        </w:tc>
      </w:tr>
      <w:tr>
        <w:tc>
          <w:tcPr/>
          <w:p>
            <w:pPr>
              <w:pStyle w:val="Compact"/>
              <w:jc w:val="left"/>
            </w:pPr>
            <w:r>
              <w:rPr>
                <w:b/>
                <w:bCs/>
              </w:rPr>
              <w:t xml:space="preserve">ICU availability</w:t>
            </w:r>
          </w:p>
        </w:tc>
        <w:tc>
          <w:tcPr/>
          <w:p>
            <w:pPr>
              <w:pStyle w:val="Compact"/>
              <w:jc w:val="left"/>
            </w:pPr>
            <w:r>
              <w:t xml:space="preserve">Most hospitals have ICUs</w:t>
            </w:r>
          </w:p>
        </w:tc>
        <w:tc>
          <w:tcPr/>
          <w:p>
            <w:pPr>
              <w:pStyle w:val="Compact"/>
              <w:jc w:val="left"/>
            </w:pPr>
            <w:r>
              <w:t xml:space="preserve">ICU availability concentrated in metros; many districts have</w:t>
            </w:r>
            <w:r>
              <w:t xml:space="preserve"> </w:t>
            </w:r>
            <w:r>
              <w:rPr>
                <w:b/>
                <w:bCs/>
              </w:rPr>
              <w:t xml:space="preserve">zero ICU beds</w:t>
            </w:r>
          </w:p>
        </w:tc>
      </w:tr>
      <w:tr>
        <w:tc>
          <w:tcPr/>
          <w:p>
            <w:pPr>
              <w:pStyle w:val="Compact"/>
              <w:jc w:val="left"/>
            </w:pPr>
            <w:r>
              <w:rPr>
                <w:b/>
                <w:bCs/>
              </w:rPr>
              <w:t xml:space="preserve">Employee count</w:t>
            </w:r>
          </w:p>
        </w:tc>
        <w:tc>
          <w:tcPr/>
          <w:p>
            <w:pPr>
              <w:pStyle w:val="Compact"/>
              <w:jc w:val="left"/>
            </w:pPr>
            <w:r>
              <w:t xml:space="preserve">50 employees = small clinic</w:t>
            </w:r>
          </w:p>
        </w:tc>
        <w:tc>
          <w:tcPr/>
          <w:p>
            <w:pPr>
              <w:pStyle w:val="Compact"/>
              <w:jc w:val="left"/>
            </w:pPr>
            <w:r>
              <w:t xml:space="preserve">50 employees may be a</w:t>
            </w:r>
            <w:r>
              <w:t xml:space="preserve"> </w:t>
            </w:r>
            <w:r>
              <w:rPr>
                <w:b/>
                <w:bCs/>
              </w:rPr>
              <w:t xml:space="preserve">district hospital</w:t>
            </w:r>
          </w:p>
        </w:tc>
      </w:tr>
      <w:tr>
        <w:tc>
          <w:tcPr/>
          <w:p>
            <w:pPr>
              <w:pStyle w:val="Compact"/>
              <w:jc w:val="left"/>
            </w:pPr>
            <w:r>
              <w:rPr>
                <w:b/>
                <w:bCs/>
              </w:rPr>
              <w:t xml:space="preserve">Digital maturity</w:t>
            </w:r>
          </w:p>
        </w:tc>
        <w:tc>
          <w:tcPr/>
          <w:p>
            <w:pPr>
              <w:pStyle w:val="Compact"/>
              <w:jc w:val="left"/>
            </w:pPr>
            <w:r>
              <w:t xml:space="preserve">EHR penetration &gt;80%</w:t>
            </w:r>
          </w:p>
        </w:tc>
        <w:tc>
          <w:tcPr/>
          <w:p>
            <w:pPr>
              <w:pStyle w:val="Compact"/>
              <w:jc w:val="left"/>
            </w:pPr>
            <w:r>
              <w:t xml:space="preserve">EHR penetration may be &lt;20% in public sector</w:t>
            </w:r>
          </w:p>
        </w:tc>
      </w:tr>
      <w:tr>
        <w:tc>
          <w:tcPr/>
          <w:p>
            <w:pPr>
              <w:pStyle w:val="Compact"/>
              <w:jc w:val="left"/>
            </w:pPr>
            <w:r>
              <w:rPr>
                <w:b/>
                <w:bCs/>
              </w:rPr>
              <w:t xml:space="preserve">Regulatory capacity</w:t>
            </w:r>
          </w:p>
        </w:tc>
        <w:tc>
          <w:tcPr/>
          <w:p>
            <w:pPr>
              <w:pStyle w:val="Compact"/>
              <w:jc w:val="left"/>
            </w:pPr>
            <w:r>
              <w:t xml:space="preserve">Dedicated cyber agencies with health expertise</w:t>
            </w:r>
          </w:p>
        </w:tc>
        <w:tc>
          <w:tcPr/>
          <w:p>
            <w:pPr>
              <w:pStyle w:val="Compact"/>
              <w:jc w:val="left"/>
            </w:pPr>
            <w:r>
              <w:t xml:space="preserve">Nascent regulatory capacity; limited health-cyber specialists</w:t>
            </w:r>
          </w:p>
        </w:tc>
      </w:tr>
      <w:tr>
        <w:tc>
          <w:tcPr/>
          <w:p>
            <w:pPr>
              <w:pStyle w:val="Compact"/>
              <w:jc w:val="left"/>
            </w:pPr>
            <w:r>
              <w:rPr>
                <w:b/>
                <w:bCs/>
              </w:rPr>
              <w:t xml:space="preserve">Connectivity</w:t>
            </w:r>
          </w:p>
        </w:tc>
        <w:tc>
          <w:tcPr/>
          <w:p>
            <w:pPr>
              <w:pStyle w:val="Compact"/>
              <w:jc w:val="left"/>
            </w:pPr>
            <w:r>
              <w:t xml:space="preserve">Ubiquitous broadband</w:t>
            </w:r>
          </w:p>
        </w:tc>
        <w:tc>
          <w:tcPr/>
          <w:p>
            <w:pPr>
              <w:pStyle w:val="Compact"/>
              <w:jc w:val="left"/>
            </w:pPr>
            <w:r>
              <w:t xml:space="preserve">Intermittent connectivity in rural areas; offline-first systems critical</w:t>
            </w:r>
          </w:p>
        </w:tc>
      </w:tr>
      <w:tr>
        <w:tc>
          <w:tcPr/>
          <w:p>
            <w:pPr>
              <w:pStyle w:val="Compact"/>
              <w:jc w:val="left"/>
            </w:pPr>
            <w:r>
              <w:rPr>
                <w:b/>
                <w:bCs/>
              </w:rPr>
              <w:t xml:space="preserve">Health system structure</w:t>
            </w:r>
          </w:p>
        </w:tc>
        <w:tc>
          <w:tcPr/>
          <w:p>
            <w:pPr>
              <w:pStyle w:val="Compact"/>
              <w:jc w:val="left"/>
            </w:pPr>
            <w:r>
              <w:t xml:space="preserve">Insurance-based or tax-funded universal</w:t>
            </w:r>
          </w:p>
        </w:tc>
        <w:tc>
          <w:tcPr/>
          <w:p>
            <w:pPr>
              <w:pStyle w:val="Compact"/>
              <w:jc w:val="left"/>
            </w:pPr>
            <w:r>
              <w:t xml:space="preserve">Mixed public-private; large informal sector</w:t>
            </w:r>
          </w:p>
        </w:tc>
      </w:tr>
    </w:tbl>
    <w:bookmarkEnd w:id="378"/>
    <w:bookmarkStart w:id="382" w:name="Xee3d58bfdff4ace429ea79a0fb7ffec146842cf"/>
    <w:p>
      <w:pPr>
        <w:pStyle w:val="Heading3"/>
      </w:pPr>
      <w:r>
        <w:t xml:space="preserve">9.2 Adapted Threshold Framework for Developing Countries</w:t>
      </w:r>
    </w:p>
    <w:bookmarkStart w:id="379" w:name="a.-inpatient-case-volume-adjusted"/>
    <w:p>
      <w:pPr>
        <w:pStyle w:val="Heading4"/>
      </w:pPr>
      <w:r>
        <w:t xml:space="preserve">A. Inpatient Case Volume (Adjusted)</w:t>
      </w:r>
    </w:p>
    <w:tbl>
      <w:tblPr>
        <w:tblStyle w:val="Table"/>
        <w:tblW w:type="pct" w:w="5000"/>
        <w:tblLayout w:type="fixed"/>
        <w:tblLook w:firstRow="1" w:lastRow="0" w:firstColumn="0" w:lastColumn="0" w:noHBand="0" w:noVBand="0" w:val="0020"/>
      </w:tblPr>
      <w:tblGrid>
        <w:gridCol w:w="625"/>
        <w:gridCol w:w="3022"/>
        <w:gridCol w:w="3126"/>
        <w:gridCol w:w="1146"/>
      </w:tblGrid>
      <w:tr>
        <w:trPr>
          <w:tblHeader w:val="on"/>
        </w:trPr>
        <w:tc>
          <w:tcPr/>
          <w:p>
            <w:pPr>
              <w:pStyle w:val="Compact"/>
              <w:jc w:val="left"/>
            </w:pPr>
            <w:r>
              <w:t xml:space="preserve">Tier</w:t>
            </w:r>
          </w:p>
        </w:tc>
        <w:tc>
          <w:tcPr/>
          <w:p>
            <w:pPr>
              <w:pStyle w:val="Compact"/>
              <w:jc w:val="left"/>
            </w:pPr>
            <w:r>
              <w:t xml:space="preserve">Developed Country Threshold</w:t>
            </w:r>
          </w:p>
        </w:tc>
        <w:tc>
          <w:tcPr/>
          <w:p>
            <w:pPr>
              <w:pStyle w:val="Compact"/>
              <w:jc w:val="left"/>
            </w:pPr>
            <w:r>
              <w:t xml:space="preserve">Developing Country Threshold</w:t>
            </w:r>
          </w:p>
        </w:tc>
        <w:tc>
          <w:tcPr/>
          <w:p>
            <w:pPr>
              <w:pStyle w:val="Compact"/>
              <w:jc w:val="left"/>
            </w:pPr>
            <w:r>
              <w:t xml:space="preserve">Rationale</w:t>
            </w:r>
          </w:p>
        </w:tc>
      </w:tr>
      <w:tr>
        <w:tc>
          <w:tcPr/>
          <w:p>
            <w:pPr>
              <w:pStyle w:val="Compact"/>
              <w:jc w:val="left"/>
            </w:pPr>
            <w:r>
              <w:rPr>
                <w:b/>
                <w:bCs/>
              </w:rPr>
              <w:t xml:space="preserve">Tier 1</w:t>
            </w:r>
          </w:p>
        </w:tc>
        <w:tc>
          <w:tcPr/>
          <w:p>
            <w:pPr>
              <w:pStyle w:val="Compact"/>
              <w:jc w:val="left"/>
            </w:pPr>
            <w:r>
              <w:t xml:space="preserve">≥30,000 cases/year</w:t>
            </w:r>
          </w:p>
        </w:tc>
        <w:tc>
          <w:tcPr/>
          <w:p>
            <w:pPr>
              <w:pStyle w:val="Compact"/>
              <w:jc w:val="left"/>
            </w:pPr>
            <w:r>
              <w:t xml:space="preserve">≥10,000 cases/year</w:t>
            </w:r>
          </w:p>
        </w:tc>
        <w:tc>
          <w:tcPr/>
          <w:p>
            <w:pPr>
              <w:pStyle w:val="Compact"/>
              <w:jc w:val="left"/>
            </w:pPr>
            <w:r>
              <w:t xml:space="preserve">Lower threshold captures district/tertiary hospitals</w:t>
            </w:r>
          </w:p>
        </w:tc>
      </w:tr>
      <w:tr>
        <w:tc>
          <w:tcPr/>
          <w:p>
            <w:pPr>
              <w:pStyle w:val="Compact"/>
              <w:jc w:val="left"/>
            </w:pPr>
            <w:r>
              <w:rPr>
                <w:b/>
                <w:bCs/>
              </w:rPr>
              <w:t xml:space="preserve">Tier 2</w:t>
            </w:r>
          </w:p>
        </w:tc>
        <w:tc>
          <w:tcPr/>
          <w:p>
            <w:pPr>
              <w:pStyle w:val="Compact"/>
              <w:jc w:val="left"/>
            </w:pPr>
            <w:r>
              <w:t xml:space="preserve">5,000–29,999</w:t>
            </w:r>
          </w:p>
        </w:tc>
        <w:tc>
          <w:tcPr/>
          <w:p>
            <w:pPr>
              <w:pStyle w:val="Compact"/>
              <w:jc w:val="left"/>
            </w:pPr>
            <w:r>
              <w:t xml:space="preserve">2,000–9,999</w:t>
            </w:r>
          </w:p>
        </w:tc>
        <w:tc>
          <w:tcPr/>
          <w:p>
            <w:pPr>
              <w:pStyle w:val="Compact"/>
              <w:jc w:val="left"/>
            </w:pPr>
            <w:r>
              <w:t xml:space="preserve">Community and sub-district hospitals</w:t>
            </w:r>
          </w:p>
        </w:tc>
      </w:tr>
      <w:tr>
        <w:tc>
          <w:tcPr/>
          <w:p>
            <w:pPr>
              <w:pStyle w:val="Compact"/>
              <w:jc w:val="left"/>
            </w:pPr>
            <w:r>
              <w:rPr>
                <w:b/>
                <w:bCs/>
              </w:rPr>
              <w:t xml:space="preserve">Tier 3</w:t>
            </w:r>
          </w:p>
        </w:tc>
        <w:tc>
          <w:tcPr/>
          <w:p>
            <w:pPr>
              <w:pStyle w:val="Compact"/>
              <w:jc w:val="left"/>
            </w:pPr>
            <w:r>
              <w:t xml:space="preserve">&lt;5,000</w:t>
            </w:r>
          </w:p>
        </w:tc>
        <w:tc>
          <w:tcPr/>
          <w:p>
            <w:pPr>
              <w:pStyle w:val="Compact"/>
              <w:jc w:val="left"/>
            </w:pPr>
            <w:r>
              <w:t xml:space="preserve">&lt;2,000</w:t>
            </w:r>
          </w:p>
        </w:tc>
        <w:tc>
          <w:tcPr/>
          <w:p>
            <w:pPr>
              <w:pStyle w:val="Compact"/>
              <w:jc w:val="left"/>
            </w:pPr>
            <w:r>
              <w:t xml:space="preserve">PHCs and small facilities</w:t>
            </w:r>
          </w:p>
        </w:tc>
      </w:tr>
    </w:tbl>
    <w:bookmarkEnd w:id="379"/>
    <w:bookmarkStart w:id="380" w:name="Xf58c630ca8588f50807e03b880dd801b9565a35"/>
    <w:p>
      <w:pPr>
        <w:pStyle w:val="Heading4"/>
      </w:pPr>
      <w:r>
        <w:t xml:space="preserve">B. Bed Count Alternative (Where Case Data Unavailable)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Developed Country</w:t>
            </w:r>
          </w:p>
        </w:tc>
        <w:tc>
          <w:tcPr/>
          <w:p>
            <w:pPr>
              <w:pStyle w:val="Compact"/>
              <w:jc w:val="left"/>
            </w:pPr>
            <w:r>
              <w:t xml:space="preserve">Developing Country (e.g., India)</w:t>
            </w:r>
          </w:p>
        </w:tc>
      </w:tr>
      <w:tr>
        <w:tc>
          <w:tcPr/>
          <w:p>
            <w:pPr>
              <w:pStyle w:val="Compact"/>
              <w:jc w:val="left"/>
            </w:pPr>
            <w:r>
              <w:rPr>
                <w:b/>
                <w:bCs/>
              </w:rPr>
              <w:t xml:space="preserve">Tier 1</w:t>
            </w:r>
          </w:p>
        </w:tc>
        <w:tc>
          <w:tcPr/>
          <w:p>
            <w:pPr>
              <w:pStyle w:val="Compact"/>
              <w:jc w:val="left"/>
            </w:pPr>
            <w:r>
              <w:t xml:space="preserve">≥500 beds</w:t>
            </w:r>
          </w:p>
        </w:tc>
        <w:tc>
          <w:tcPr/>
          <w:p>
            <w:pPr>
              <w:pStyle w:val="Compact"/>
              <w:jc w:val="left"/>
            </w:pPr>
            <w:r>
              <w:t xml:space="preserve">≥200 beds OR District Hospital status</w:t>
            </w:r>
          </w:p>
        </w:tc>
      </w:tr>
      <w:tr>
        <w:tc>
          <w:tcPr/>
          <w:p>
            <w:pPr>
              <w:pStyle w:val="Compact"/>
              <w:jc w:val="left"/>
            </w:pPr>
            <w:r>
              <w:rPr>
                <w:b/>
                <w:bCs/>
              </w:rPr>
              <w:t xml:space="preserve">Tier 2</w:t>
            </w:r>
          </w:p>
        </w:tc>
        <w:tc>
          <w:tcPr/>
          <w:p>
            <w:pPr>
              <w:pStyle w:val="Compact"/>
              <w:jc w:val="left"/>
            </w:pPr>
            <w:r>
              <w:t xml:space="preserve">100–499 beds</w:t>
            </w:r>
          </w:p>
        </w:tc>
        <w:tc>
          <w:tcPr/>
          <w:p>
            <w:pPr>
              <w:pStyle w:val="Compact"/>
              <w:jc w:val="left"/>
            </w:pPr>
            <w:r>
              <w:t xml:space="preserve">50–199 beds OR Sub-District Hospital</w:t>
            </w:r>
          </w:p>
        </w:tc>
      </w:tr>
      <w:tr>
        <w:tc>
          <w:tcPr/>
          <w:p>
            <w:pPr>
              <w:pStyle w:val="Compact"/>
              <w:jc w:val="left"/>
            </w:pPr>
            <w:r>
              <w:rPr>
                <w:b/>
                <w:bCs/>
              </w:rPr>
              <w:t xml:space="preserve">Tier 3</w:t>
            </w:r>
          </w:p>
        </w:tc>
        <w:tc>
          <w:tcPr/>
          <w:p>
            <w:pPr>
              <w:pStyle w:val="Compact"/>
              <w:jc w:val="left"/>
            </w:pPr>
            <w:r>
              <w:t xml:space="preserve">&lt;100 beds</w:t>
            </w:r>
          </w:p>
        </w:tc>
        <w:tc>
          <w:tcPr/>
          <w:p>
            <w:pPr>
              <w:pStyle w:val="Compact"/>
              <w:jc w:val="left"/>
            </w:pPr>
            <w:r>
              <w:t xml:space="preserve">&lt;50 beds OR PHC/CHC</w:t>
            </w:r>
          </w:p>
        </w:tc>
      </w:tr>
    </w:tbl>
    <w:bookmarkEnd w:id="380"/>
    <w:bookmarkStart w:id="381" w:name="c.-employee-count-adjusted"/>
    <w:p>
      <w:pPr>
        <w:pStyle w:val="Heading4"/>
      </w:pPr>
      <w:r>
        <w:t xml:space="preserve">C. Employee Count (Adjusted)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EU NIS2 Threshold</w:t>
            </w:r>
          </w:p>
        </w:tc>
        <w:tc>
          <w:tcPr/>
          <w:p>
            <w:pPr>
              <w:pStyle w:val="Compact"/>
              <w:jc w:val="left"/>
            </w:pPr>
            <w:r>
              <w:t xml:space="preserve">Developing Country Threshold</w:t>
            </w:r>
          </w:p>
        </w:tc>
      </w:tr>
      <w:tr>
        <w:tc>
          <w:tcPr/>
          <w:p>
            <w:pPr>
              <w:pStyle w:val="Compact"/>
              <w:jc w:val="left"/>
            </w:pPr>
            <w:r>
              <w:rPr>
                <w:b/>
                <w:bCs/>
              </w:rPr>
              <w:t xml:space="preserve">Tier 1</w:t>
            </w:r>
          </w:p>
        </w:tc>
        <w:tc>
          <w:tcPr/>
          <w:p>
            <w:pPr>
              <w:pStyle w:val="Compact"/>
              <w:jc w:val="left"/>
            </w:pPr>
            <w:r>
              <w:t xml:space="preserve">≥250 employees</w:t>
            </w:r>
          </w:p>
        </w:tc>
        <w:tc>
          <w:tcPr/>
          <w:p>
            <w:pPr>
              <w:pStyle w:val="Compact"/>
              <w:jc w:val="left"/>
            </w:pPr>
            <w:r>
              <w:t xml:space="preserve">≥100 employees</w:t>
            </w:r>
          </w:p>
        </w:tc>
      </w:tr>
      <w:tr>
        <w:tc>
          <w:tcPr/>
          <w:p>
            <w:pPr>
              <w:pStyle w:val="Compact"/>
              <w:jc w:val="left"/>
            </w:pPr>
            <w:r>
              <w:rPr>
                <w:b/>
                <w:bCs/>
              </w:rPr>
              <w:t xml:space="preserve">Tier 2</w:t>
            </w:r>
          </w:p>
        </w:tc>
        <w:tc>
          <w:tcPr/>
          <w:p>
            <w:pPr>
              <w:pStyle w:val="Compact"/>
              <w:jc w:val="left"/>
            </w:pPr>
            <w:r>
              <w:t xml:space="preserve">50–249 employees</w:t>
            </w:r>
          </w:p>
        </w:tc>
        <w:tc>
          <w:tcPr/>
          <w:p>
            <w:pPr>
              <w:pStyle w:val="Compact"/>
              <w:jc w:val="left"/>
            </w:pPr>
            <w:r>
              <w:t xml:space="preserve">25–99 employees</w:t>
            </w:r>
          </w:p>
        </w:tc>
      </w:tr>
      <w:tr>
        <w:tc>
          <w:tcPr/>
          <w:p>
            <w:pPr>
              <w:pStyle w:val="Compact"/>
              <w:jc w:val="left"/>
            </w:pPr>
            <w:r>
              <w:rPr>
                <w:b/>
                <w:bCs/>
              </w:rPr>
              <w:t xml:space="preserve">Tier 3</w:t>
            </w:r>
          </w:p>
        </w:tc>
        <w:tc>
          <w:tcPr/>
          <w:p>
            <w:pPr>
              <w:pStyle w:val="Compact"/>
              <w:jc w:val="left"/>
            </w:pPr>
            <w:r>
              <w:t xml:space="preserve">&lt;50 employees</w:t>
            </w:r>
          </w:p>
        </w:tc>
        <w:tc>
          <w:tcPr/>
          <w:p>
            <w:pPr>
              <w:pStyle w:val="Compact"/>
              <w:jc w:val="left"/>
            </w:pPr>
            <w:r>
              <w:t xml:space="preserve">&lt;25 employees</w:t>
            </w:r>
          </w:p>
        </w:tc>
      </w:tr>
    </w:tbl>
    <w:bookmarkEnd w:id="381"/>
    <w:bookmarkEnd w:id="382"/>
    <w:bookmarkStart w:id="383" w:name="X593b19b2ec432beb57b7efc6833f75f613e8618"/>
    <w:p>
      <w:pPr>
        <w:pStyle w:val="Heading3"/>
      </w:pPr>
      <w:r>
        <w:t xml:space="preserve">9.3 India-Specific Critical Information Systems</w:t>
      </w:r>
    </w:p>
    <w:p>
      <w:pPr>
        <w:pStyle w:val="FirstParagraph"/>
      </w:pPr>
      <w:r>
        <w:t xml:space="preserve">Beyond the globally-recognized systems,</w:t>
      </w:r>
      <w:r>
        <w:t xml:space="preserve"> </w:t>
      </w:r>
      <w:r>
        <w:rPr>
          <w:b/>
          <w:bCs/>
        </w:rPr>
        <w:t xml:space="preserve">India has unique national digital health systems</w:t>
      </w:r>
      <w:r>
        <w:t xml:space="preserve"> </w:t>
      </w:r>
      <w:r>
        <w:t xml:space="preserve">that warrant CII consideration:</w:t>
      </w:r>
    </w:p>
    <w:tbl>
      <w:tblPr>
        <w:tblStyle w:val="Table"/>
        <w:tblW w:type="pct" w:w="5000"/>
        <w:tblLayout w:type="fixed"/>
        <w:tblLook w:firstRow="1" w:lastRow="0" w:firstColumn="0" w:lastColumn="0" w:noHBand="0" w:noVBand="0" w:val="0020"/>
      </w:tblPr>
      <w:tblGrid>
        <w:gridCol w:w="1267"/>
        <w:gridCol w:w="2059"/>
        <w:gridCol w:w="2059"/>
        <w:gridCol w:w="2534"/>
      </w:tblGrid>
      <w:tr>
        <w:trPr>
          <w:tblHeader w:val="on"/>
        </w:trPr>
        <w:tc>
          <w:tcPr/>
          <w:p>
            <w:pPr>
              <w:pStyle w:val="Compact"/>
              <w:jc w:val="left"/>
            </w:pPr>
            <w:r>
              <w:t xml:space="preserve">System</w:t>
            </w:r>
          </w:p>
        </w:tc>
        <w:tc>
          <w:tcPr/>
          <w:p>
            <w:pPr>
              <w:pStyle w:val="Compact"/>
              <w:jc w:val="left"/>
            </w:pPr>
            <w:r>
              <w:t xml:space="preserve">Description</w:t>
            </w:r>
          </w:p>
        </w:tc>
        <w:tc>
          <w:tcPr/>
          <w:p>
            <w:pPr>
              <w:pStyle w:val="Compact"/>
              <w:jc w:val="left"/>
            </w:pPr>
            <w:r>
              <w:t xml:space="preserve">Criticality</w:t>
            </w:r>
          </w:p>
        </w:tc>
        <w:tc>
          <w:tcPr/>
          <w:p>
            <w:pPr>
              <w:pStyle w:val="Compact"/>
              <w:jc w:val="left"/>
            </w:pPr>
            <w:r>
              <w:t xml:space="preserve">Suggested Tier</w:t>
            </w:r>
          </w:p>
        </w:tc>
      </w:tr>
      <w:tr>
        <w:tc>
          <w:tcPr/>
          <w:p>
            <w:pPr>
              <w:pStyle w:val="Compact"/>
              <w:jc w:val="left"/>
            </w:pPr>
            <w:r>
              <w:rPr>
                <w:b/>
                <w:bCs/>
              </w:rPr>
              <w:t xml:space="preserve">Ayushman Bharat Digital Mission (ABDM)</w:t>
            </w:r>
          </w:p>
        </w:tc>
        <w:tc>
          <w:tcPr/>
          <w:p>
            <w:pPr>
              <w:pStyle w:val="Compact"/>
              <w:jc w:val="left"/>
            </w:pPr>
            <w:r>
              <w:t xml:space="preserve">National digital health ID and ecosystem</w:t>
            </w:r>
          </w:p>
        </w:tc>
        <w:tc>
          <w:tcPr/>
          <w:p>
            <w:pPr>
              <w:pStyle w:val="Compact"/>
              <w:jc w:val="left"/>
            </w:pPr>
            <w:r>
              <w:t xml:space="preserve">National HIE equivalent</w:t>
            </w:r>
          </w:p>
        </w:tc>
        <w:tc>
          <w:tcPr/>
          <w:p>
            <w:pPr>
              <w:pStyle w:val="Compact"/>
              <w:jc w:val="left"/>
            </w:pPr>
            <w:r>
              <w:t xml:space="preserve">Tier 1</w:t>
            </w:r>
          </w:p>
        </w:tc>
      </w:tr>
      <w:tr>
        <w:tc>
          <w:tcPr/>
          <w:p>
            <w:pPr>
              <w:pStyle w:val="Compact"/>
              <w:jc w:val="left"/>
            </w:pPr>
            <w:r>
              <w:rPr>
                <w:b/>
                <w:bCs/>
              </w:rPr>
              <w:t xml:space="preserve">PM-JAY (Pradhan Mantri Jan Arogya Yojana)</w:t>
            </w:r>
          </w:p>
        </w:tc>
        <w:tc>
          <w:tcPr/>
          <w:p>
            <w:pPr>
              <w:pStyle w:val="Compact"/>
              <w:jc w:val="left"/>
            </w:pPr>
            <w:r>
              <w:t xml:space="preserve">National health insurance platform for 500M+ beneficiaries</w:t>
            </w:r>
          </w:p>
        </w:tc>
        <w:tc>
          <w:tcPr/>
          <w:p>
            <w:pPr>
              <w:pStyle w:val="Compact"/>
              <w:jc w:val="left"/>
            </w:pPr>
            <w:r>
              <w:t xml:space="preserve">Financial access to healthcare</w:t>
            </w:r>
          </w:p>
        </w:tc>
        <w:tc>
          <w:tcPr/>
          <w:p>
            <w:pPr>
              <w:pStyle w:val="Compact"/>
              <w:jc w:val="left"/>
            </w:pPr>
            <w:r>
              <w:t xml:space="preserve">Tier 1</w:t>
            </w:r>
          </w:p>
        </w:tc>
      </w:tr>
      <w:tr>
        <w:tc>
          <w:tcPr/>
          <w:p>
            <w:pPr>
              <w:pStyle w:val="Compact"/>
              <w:jc w:val="left"/>
            </w:pPr>
            <w:r>
              <w:rPr>
                <w:b/>
                <w:bCs/>
              </w:rPr>
              <w:t xml:space="preserve">CoWIN</w:t>
            </w:r>
          </w:p>
        </w:tc>
        <w:tc>
          <w:tcPr/>
          <w:p>
            <w:pPr>
              <w:pStyle w:val="Compact"/>
              <w:jc w:val="left"/>
            </w:pPr>
            <w:r>
              <w:t xml:space="preserve">COVID vaccination platform; adaptable for routine immunization</w:t>
            </w:r>
          </w:p>
        </w:tc>
        <w:tc>
          <w:tcPr/>
          <w:p>
            <w:pPr>
              <w:pStyle w:val="Compact"/>
              <w:jc w:val="left"/>
            </w:pPr>
            <w:r>
              <w:t xml:space="preserve">National immunization system</w:t>
            </w:r>
          </w:p>
        </w:tc>
        <w:tc>
          <w:tcPr/>
          <w:p>
            <w:pPr>
              <w:pStyle w:val="Compact"/>
              <w:jc w:val="left"/>
            </w:pPr>
            <w:r>
              <w:t xml:space="preserve">Tier 1</w:t>
            </w:r>
          </w:p>
        </w:tc>
      </w:tr>
      <w:tr>
        <w:tc>
          <w:tcPr/>
          <w:p>
            <w:pPr>
              <w:pStyle w:val="Compact"/>
              <w:jc w:val="left"/>
            </w:pPr>
            <w:r>
              <w:rPr>
                <w:b/>
                <w:bCs/>
              </w:rPr>
              <w:t xml:space="preserve">eVIN (Electronic Vaccine Intelligence Network)</w:t>
            </w:r>
          </w:p>
        </w:tc>
        <w:tc>
          <w:tcPr/>
          <w:p>
            <w:pPr>
              <w:pStyle w:val="Compact"/>
              <w:jc w:val="left"/>
            </w:pPr>
            <w:r>
              <w:t xml:space="preserve">Cold chain and vaccine inventory management</w:t>
            </w:r>
          </w:p>
        </w:tc>
        <w:tc>
          <w:tcPr/>
          <w:p>
            <w:pPr>
              <w:pStyle w:val="Compact"/>
              <w:jc w:val="left"/>
            </w:pPr>
            <w:r>
              <w:t xml:space="preserve">Supply chain criticality</w:t>
            </w:r>
          </w:p>
        </w:tc>
        <w:tc>
          <w:tcPr/>
          <w:p>
            <w:pPr>
              <w:pStyle w:val="Compact"/>
              <w:jc w:val="left"/>
            </w:pPr>
            <w:r>
              <w:t xml:space="preserve">Tier 1-2</w:t>
            </w:r>
          </w:p>
        </w:tc>
      </w:tr>
      <w:tr>
        <w:tc>
          <w:tcPr/>
          <w:p>
            <w:pPr>
              <w:pStyle w:val="Compact"/>
              <w:jc w:val="left"/>
            </w:pPr>
            <w:r>
              <w:rPr>
                <w:b/>
                <w:bCs/>
              </w:rPr>
              <w:t xml:space="preserve">IHIP (Integrated Health Information Platform)</w:t>
            </w:r>
          </w:p>
        </w:tc>
        <w:tc>
          <w:tcPr/>
          <w:p>
            <w:pPr>
              <w:pStyle w:val="Compact"/>
              <w:jc w:val="left"/>
            </w:pPr>
            <w:r>
              <w:t xml:space="preserve">Disease surveillance and outbreak response</w:t>
            </w:r>
          </w:p>
        </w:tc>
        <w:tc>
          <w:tcPr/>
          <w:p>
            <w:pPr>
              <w:pStyle w:val="Compact"/>
              <w:jc w:val="left"/>
            </w:pPr>
            <w:r>
              <w:t xml:space="preserve">Epidemic response</w:t>
            </w:r>
          </w:p>
        </w:tc>
        <w:tc>
          <w:tcPr/>
          <w:p>
            <w:pPr>
              <w:pStyle w:val="Compact"/>
              <w:jc w:val="left"/>
            </w:pPr>
            <w:r>
              <w:t xml:space="preserve">Tier 1</w:t>
            </w:r>
          </w:p>
        </w:tc>
      </w:tr>
      <w:tr>
        <w:tc>
          <w:tcPr/>
          <w:p>
            <w:pPr>
              <w:pStyle w:val="Compact"/>
              <w:jc w:val="left"/>
            </w:pPr>
            <w:r>
              <w:rPr>
                <w:b/>
                <w:bCs/>
              </w:rPr>
              <w:t xml:space="preserve">NIKSHAY</w:t>
            </w:r>
          </w:p>
        </w:tc>
        <w:tc>
          <w:tcPr/>
          <w:p>
            <w:pPr>
              <w:pStyle w:val="Compact"/>
              <w:jc w:val="left"/>
            </w:pPr>
            <w:r>
              <w:t xml:space="preserve">TB surveillance and treatment tracking</w:t>
            </w:r>
          </w:p>
        </w:tc>
        <w:tc>
          <w:tcPr/>
          <w:p>
            <w:pPr>
              <w:pStyle w:val="Compact"/>
              <w:jc w:val="left"/>
            </w:pPr>
            <w:r>
              <w:t xml:space="preserve">Public health surveillance</w:t>
            </w:r>
          </w:p>
        </w:tc>
        <w:tc>
          <w:tcPr/>
          <w:p>
            <w:pPr>
              <w:pStyle w:val="Compact"/>
              <w:jc w:val="left"/>
            </w:pPr>
            <w:r>
              <w:t xml:space="preserve">Tier 1-2</w:t>
            </w:r>
          </w:p>
        </w:tc>
      </w:tr>
      <w:tr>
        <w:tc>
          <w:tcPr/>
          <w:p>
            <w:pPr>
              <w:pStyle w:val="Compact"/>
              <w:jc w:val="left"/>
            </w:pPr>
            <w:r>
              <w:rPr>
                <w:b/>
                <w:bCs/>
              </w:rPr>
              <w:t xml:space="preserve">RCH Portal (Reproductive &amp; Child Health)</w:t>
            </w:r>
          </w:p>
        </w:tc>
        <w:tc>
          <w:tcPr/>
          <w:p>
            <w:pPr>
              <w:pStyle w:val="Compact"/>
              <w:jc w:val="left"/>
            </w:pPr>
            <w:r>
              <w:t xml:space="preserve">Maternal and child health tracking</w:t>
            </w:r>
          </w:p>
        </w:tc>
        <w:tc>
          <w:tcPr/>
          <w:p>
            <w:pPr>
              <w:pStyle w:val="Compact"/>
              <w:jc w:val="left"/>
            </w:pPr>
            <w:r>
              <w:t xml:space="preserve">Population health</w:t>
            </w:r>
          </w:p>
        </w:tc>
        <w:tc>
          <w:tcPr/>
          <w:p>
            <w:pPr>
              <w:pStyle w:val="Compact"/>
              <w:jc w:val="left"/>
            </w:pPr>
            <w:r>
              <w:t xml:space="preserve">Tier 2</w:t>
            </w:r>
          </w:p>
        </w:tc>
      </w:tr>
      <w:tr>
        <w:tc>
          <w:tcPr/>
          <w:p>
            <w:pPr>
              <w:pStyle w:val="Compact"/>
              <w:jc w:val="left"/>
            </w:pPr>
            <w:r>
              <w:rPr>
                <w:b/>
                <w:bCs/>
              </w:rPr>
              <w:t xml:space="preserve">HMIS/eHospital</w:t>
            </w:r>
          </w:p>
        </w:tc>
        <w:tc>
          <w:tcPr/>
          <w:p>
            <w:pPr>
              <w:pStyle w:val="Compact"/>
              <w:jc w:val="left"/>
            </w:pPr>
            <w:r>
              <w:t xml:space="preserve">Hospital management for central/state government hospitals</w:t>
            </w:r>
          </w:p>
        </w:tc>
        <w:tc>
          <w:tcPr/>
          <w:p>
            <w:pPr>
              <w:pStyle w:val="Compact"/>
              <w:jc w:val="left"/>
            </w:pPr>
            <w:r>
              <w:t xml:space="preserve">Hospital operations</w:t>
            </w:r>
          </w:p>
        </w:tc>
        <w:tc>
          <w:tcPr/>
          <w:p>
            <w:pPr>
              <w:pStyle w:val="Compact"/>
              <w:jc w:val="left"/>
            </w:pPr>
            <w:r>
              <w:t xml:space="preserve">Tier 2</w:t>
            </w:r>
          </w:p>
        </w:tc>
      </w:tr>
      <w:tr>
        <w:tc>
          <w:tcPr/>
          <w:p>
            <w:pPr>
              <w:pStyle w:val="Compact"/>
              <w:jc w:val="left"/>
            </w:pPr>
            <w:r>
              <w:rPr>
                <w:b/>
                <w:bCs/>
              </w:rPr>
              <w:t xml:space="preserve">NIC infrastructure for emergency services</w:t>
            </w:r>
          </w:p>
        </w:tc>
        <w:tc>
          <w:tcPr/>
          <w:p>
            <w:pPr>
              <w:pStyle w:val="Compact"/>
              <w:jc w:val="left"/>
            </w:pPr>
            <w:r>
              <w:t xml:space="preserve">112 ERSS (Emergency Response Support System)</w:t>
            </w:r>
          </w:p>
        </w:tc>
        <w:tc>
          <w:tcPr/>
          <w:p>
            <w:pPr>
              <w:pStyle w:val="Compact"/>
              <w:jc w:val="left"/>
            </w:pPr>
            <w:r>
              <w:t xml:space="preserve">Emergency dispatch</w:t>
            </w:r>
          </w:p>
        </w:tc>
        <w:tc>
          <w:tcPr/>
          <w:p>
            <w:pPr>
              <w:pStyle w:val="Compact"/>
              <w:jc w:val="left"/>
            </w:pPr>
            <w:r>
              <w:t xml:space="preserve">Tier 1</w:t>
            </w:r>
          </w:p>
        </w:tc>
      </w:tr>
      <w:tr>
        <w:tc>
          <w:tcPr/>
          <w:p>
            <w:pPr>
              <w:pStyle w:val="Compact"/>
              <w:jc w:val="left"/>
            </w:pPr>
            <w:r>
              <w:rPr>
                <w:b/>
                <w:bCs/>
              </w:rPr>
              <w:t xml:space="preserve">National Blood Transfusion Council systems</w:t>
            </w:r>
          </w:p>
        </w:tc>
        <w:tc>
          <w:tcPr/>
          <w:p>
            <w:pPr>
              <w:pStyle w:val="Compact"/>
              <w:jc w:val="left"/>
            </w:pPr>
            <w:r>
              <w:t xml:space="preserve">Blood bank management</w:t>
            </w:r>
          </w:p>
        </w:tc>
        <w:tc>
          <w:tcPr/>
          <w:p>
            <w:pPr>
              <w:pStyle w:val="Compact"/>
              <w:jc w:val="left"/>
            </w:pPr>
            <w:r>
              <w:t xml:space="preserve">Blood supply chain</w:t>
            </w:r>
          </w:p>
        </w:tc>
        <w:tc>
          <w:tcPr/>
          <w:p>
            <w:pPr>
              <w:pStyle w:val="Compact"/>
              <w:jc w:val="left"/>
            </w:pPr>
            <w:r>
              <w:t xml:space="preserve">Tier 1-2</w:t>
            </w:r>
          </w:p>
        </w:tc>
      </w:tr>
    </w:tbl>
    <w:bookmarkEnd w:id="383"/>
    <w:bookmarkStart w:id="385" w:name="geographic-and-accessibility-criteria"/>
    <w:p>
      <w:pPr>
        <w:pStyle w:val="Heading3"/>
      </w:pPr>
      <w:r>
        <w:t xml:space="preserve">9.4 Geographic and Accessibility Criteria</w:t>
      </w:r>
    </w:p>
    <w:p>
      <w:pPr>
        <w:pStyle w:val="FirstParagraph"/>
      </w:pPr>
      <w:r>
        <w:t xml:space="preserve">In developing countries,</w:t>
      </w:r>
      <w:r>
        <w:t xml:space="preserve"> </w:t>
      </w:r>
      <w:r>
        <w:rPr>
          <w:b/>
          <w:bCs/>
        </w:rPr>
        <w:t xml:space="preserve">geographic accessibility</w:t>
      </w:r>
      <w:r>
        <w:t xml:space="preserve"> </w:t>
      </w:r>
      <w:r>
        <w:t xml:space="preserve">is a more relevant criticality factor than pure scale:</w:t>
      </w:r>
    </w:p>
    <w:tbl>
      <w:tblPr>
        <w:tblStyle w:val="Table"/>
        <w:tblW w:type="pct" w:w="5000"/>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Criterion</w:t>
            </w:r>
          </w:p>
        </w:tc>
        <w:tc>
          <w:tcPr/>
          <w:p>
            <w:pPr>
              <w:pStyle w:val="Compact"/>
              <w:jc w:val="left"/>
            </w:pPr>
            <w:r>
              <w:t xml:space="preserve">Application</w:t>
            </w:r>
          </w:p>
        </w:tc>
        <w:tc>
          <w:tcPr/>
          <w:p>
            <w:pPr>
              <w:pStyle w:val="Compact"/>
              <w:jc w:val="left"/>
            </w:pPr>
            <w:r>
              <w:t xml:space="preserve">Weight</w:t>
            </w:r>
          </w:p>
        </w:tc>
      </w:tr>
      <w:tr>
        <w:tc>
          <w:tcPr/>
          <w:p>
            <w:pPr>
              <w:pStyle w:val="Compact"/>
              <w:jc w:val="left"/>
            </w:pPr>
            <w:r>
              <w:rPr>
                <w:b/>
                <w:bCs/>
              </w:rPr>
              <w:t xml:space="preserve">Sole provider in district</w:t>
            </w:r>
          </w:p>
        </w:tc>
        <w:tc>
          <w:tcPr/>
          <w:p>
            <w:pPr>
              <w:pStyle w:val="Compact"/>
              <w:jc w:val="left"/>
            </w:pPr>
            <w:r>
              <w:t xml:space="preserve">Only hospital with surgical/obstetric capability in district</w:t>
            </w:r>
          </w:p>
        </w:tc>
        <w:tc>
          <w:tcPr/>
          <w:p>
            <w:pPr>
              <w:pStyle w:val="Compact"/>
              <w:jc w:val="left"/>
            </w:pPr>
            <w:r>
              <w:t xml:space="preserve">Automatic Tier 1</w:t>
            </w:r>
          </w:p>
        </w:tc>
      </w:tr>
      <w:tr>
        <w:tc>
          <w:tcPr/>
          <w:p>
            <w:pPr>
              <w:pStyle w:val="Compact"/>
              <w:jc w:val="left"/>
            </w:pPr>
            <w:r>
              <w:rPr>
                <w:b/>
                <w:bCs/>
              </w:rPr>
              <w:t xml:space="preserve">Distance to next facility</w:t>
            </w:r>
          </w:p>
        </w:tc>
        <w:tc>
          <w:tcPr/>
          <w:p>
            <w:pPr>
              <w:pStyle w:val="Compact"/>
              <w:jc w:val="left"/>
            </w:pPr>
            <w:r>
              <w:t xml:space="preserve">Nearest equivalent facility &gt;50km away</w:t>
            </w:r>
          </w:p>
        </w:tc>
        <w:tc>
          <w:tcPr/>
          <w:p>
            <w:pPr>
              <w:pStyle w:val="Compact"/>
              <w:jc w:val="left"/>
            </w:pPr>
            <w:r>
              <w:t xml:space="preserve">+15 points</w:t>
            </w:r>
          </w:p>
        </w:tc>
      </w:tr>
      <w:tr>
        <w:tc>
          <w:tcPr/>
          <w:p>
            <w:pPr>
              <w:pStyle w:val="Compact"/>
              <w:jc w:val="left"/>
            </w:pPr>
            <w:r>
              <w:rPr>
                <w:b/>
                <w:bCs/>
              </w:rPr>
              <w:t xml:space="preserve">Population served without alternative</w:t>
            </w:r>
          </w:p>
        </w:tc>
        <w:tc>
          <w:tcPr/>
          <w:p>
            <w:pPr>
              <w:pStyle w:val="Compact"/>
              <w:jc w:val="left"/>
            </w:pPr>
            <w:r>
              <w:t xml:space="preserve">Serves &gt;100,000 population as primary referral</w:t>
            </w:r>
          </w:p>
        </w:tc>
        <w:tc>
          <w:tcPr/>
          <w:p>
            <w:pPr>
              <w:pStyle w:val="Compact"/>
              <w:jc w:val="left"/>
            </w:pPr>
            <w:r>
              <w:t xml:space="preserve">+15 points</w:t>
            </w:r>
          </w:p>
        </w:tc>
      </w:tr>
      <w:tr>
        <w:tc>
          <w:tcPr/>
          <w:p>
            <w:pPr>
              <w:pStyle w:val="Compact"/>
              <w:jc w:val="left"/>
            </w:pPr>
            <w:r>
              <w:rPr>
                <w:b/>
                <w:bCs/>
              </w:rPr>
              <w:t xml:space="preserve">Border/remote area</w:t>
            </w:r>
          </w:p>
        </w:tc>
        <w:tc>
          <w:tcPr/>
          <w:p>
            <w:pPr>
              <w:pStyle w:val="Compact"/>
              <w:jc w:val="left"/>
            </w:pPr>
            <w:r>
              <w:t xml:space="preserve">Located in border districts, islands, or hill regions with limited connectivity</w:t>
            </w:r>
          </w:p>
        </w:tc>
        <w:tc>
          <w:tcPr/>
          <w:p>
            <w:pPr>
              <w:pStyle w:val="Compact"/>
              <w:jc w:val="left"/>
            </w:pPr>
            <w:r>
              <w:t xml:space="preserve">+10 points</w:t>
            </w:r>
          </w:p>
        </w:tc>
      </w:tr>
      <w:tr>
        <w:tc>
          <w:tcPr/>
          <w:p>
            <w:pPr>
              <w:pStyle w:val="Compact"/>
              <w:jc w:val="left"/>
            </w:pPr>
            <w:r>
              <w:rPr>
                <w:b/>
                <w:bCs/>
              </w:rPr>
              <w:t xml:space="preserve">Aspirational district</w:t>
            </w:r>
          </w:p>
        </w:tc>
        <w:tc>
          <w:tcPr/>
          <w:p>
            <w:pPr>
              <w:pStyle w:val="Compact"/>
              <w:jc w:val="left"/>
            </w:pPr>
            <w:r>
              <w:t xml:space="preserve">Located in government-designated</w:t>
            </w:r>
            <w:r>
              <w:t xml:space="preserve"> </w:t>
            </w:r>
            <w:r>
              <w:t xml:space="preserve">“aspirational district”</w:t>
            </w:r>
          </w:p>
        </w:tc>
        <w:tc>
          <w:tcPr/>
          <w:p>
            <w:pPr>
              <w:pStyle w:val="Compact"/>
              <w:jc w:val="left"/>
            </w:pPr>
            <w:r>
              <w:t xml:space="preserve">+10 points</w:t>
            </w:r>
          </w:p>
        </w:tc>
      </w:tr>
    </w:tbl>
    <w:bookmarkStart w:id="384" w:name="india-specific-geographic-triggers"/>
    <w:p>
      <w:pPr>
        <w:pStyle w:val="Heading4"/>
      </w:pPr>
      <w:r>
        <w:t xml:space="preserve">India-Specific Geographic Triggers</w:t>
      </w:r>
    </w:p>
    <w:p>
      <w:pPr>
        <w:pStyle w:val="FirstParagraph"/>
      </w:pPr>
      <w:r>
        <w:t xml:space="preserve">An entity should be automatically classified as</w:t>
      </w:r>
      <w:r>
        <w:t xml:space="preserve"> </w:t>
      </w:r>
      <w:r>
        <w:rPr>
          <w:b/>
          <w:bCs/>
        </w:rPr>
        <w:t xml:space="preserve">Tier 1</w:t>
      </w:r>
      <w:r>
        <w:t xml:space="preserve"> </w:t>
      </w:r>
      <w:r>
        <w:t xml:space="preserve">if:</w:t>
      </w:r>
    </w:p>
    <w:p>
      <w:pPr>
        <w:pStyle w:val="Compact"/>
        <w:numPr>
          <w:ilvl w:val="0"/>
          <w:numId w:val="1306"/>
        </w:numPr>
      </w:pPr>
      <w:r>
        <w:rPr>
          <w:b/>
          <w:bCs/>
        </w:rPr>
        <w:t xml:space="preserve">District Hospital</w:t>
      </w:r>
      <w:r>
        <w:t xml:space="preserve"> </w:t>
      </w:r>
      <w:r>
        <w:t xml:space="preserve">— Only referral hospital in the district</w:t>
      </w:r>
    </w:p>
    <w:p>
      <w:pPr>
        <w:pStyle w:val="Compact"/>
        <w:numPr>
          <w:ilvl w:val="0"/>
          <w:numId w:val="1306"/>
        </w:numPr>
      </w:pPr>
      <w:r>
        <w:rPr>
          <w:b/>
          <w:bCs/>
        </w:rPr>
        <w:t xml:space="preserve">FRU (First Referral Unit)</w:t>
      </w:r>
      <w:r>
        <w:t xml:space="preserve"> </w:t>
      </w:r>
      <w:r>
        <w:t xml:space="preserve">— Only facility with C-section/blood transfusion capability in the block/sub-district</w:t>
      </w:r>
    </w:p>
    <w:p>
      <w:pPr>
        <w:pStyle w:val="Compact"/>
        <w:numPr>
          <w:ilvl w:val="0"/>
          <w:numId w:val="1306"/>
        </w:numPr>
      </w:pPr>
      <w:r>
        <w:rPr>
          <w:b/>
          <w:bCs/>
        </w:rPr>
        <w:t xml:space="preserve">State reference laboratory</w:t>
      </w:r>
      <w:r>
        <w:t xml:space="preserve"> </w:t>
      </w:r>
      <w:r>
        <w:t xml:space="preserve">— Only accredited reference lab in the state</w:t>
      </w:r>
    </w:p>
    <w:p>
      <w:pPr>
        <w:pStyle w:val="Compact"/>
        <w:numPr>
          <w:ilvl w:val="0"/>
          <w:numId w:val="1306"/>
        </w:numPr>
      </w:pPr>
      <w:r>
        <w:rPr>
          <w:b/>
          <w:bCs/>
        </w:rPr>
        <w:t xml:space="preserve">Blood bank (standalone)</w:t>
      </w:r>
      <w:r>
        <w:t xml:space="preserve"> </w:t>
      </w:r>
      <w:r>
        <w:t xml:space="preserve">— Only licensed blood bank in the district</w:t>
      </w:r>
    </w:p>
    <w:p>
      <w:pPr>
        <w:pStyle w:val="Compact"/>
        <w:numPr>
          <w:ilvl w:val="0"/>
          <w:numId w:val="1306"/>
        </w:numPr>
      </w:pPr>
      <w:r>
        <w:rPr>
          <w:b/>
          <w:bCs/>
        </w:rPr>
        <w:t xml:space="preserve">Major Government Medical College Hospital</w:t>
      </w:r>
      <w:r>
        <w:t xml:space="preserve"> </w:t>
      </w:r>
      <w:r>
        <w:t xml:space="preserve">— Apex referral and training institution</w:t>
      </w:r>
    </w:p>
    <w:bookmarkEnd w:id="384"/>
    <w:bookmarkEnd w:id="385"/>
    <w:bookmarkStart w:id="386" w:name="Xab7679a4691d009ae5327fefd116397e193a1a8"/>
    <w:p>
      <w:pPr>
        <w:pStyle w:val="Heading3"/>
      </w:pPr>
      <w:r>
        <w:t xml:space="preserve">9.5 Tiered Public Health System Considerations</w:t>
      </w:r>
    </w:p>
    <w:p>
      <w:pPr>
        <w:pStyle w:val="FirstParagraph"/>
      </w:pPr>
      <w:r>
        <w:t xml:space="preserve">India’s</w:t>
      </w:r>
      <w:r>
        <w:t xml:space="preserve"> </w:t>
      </w:r>
      <w:r>
        <w:rPr>
          <w:b/>
          <w:bCs/>
        </w:rPr>
        <w:t xml:space="preserve">tiered public health infrastructure</w:t>
      </w:r>
      <w:r>
        <w:t xml:space="preserve"> </w:t>
      </w:r>
      <w:r>
        <w:t xml:space="preserve">requires adapted tier mapping:</w:t>
      </w:r>
    </w:p>
    <w:tbl>
      <w:tblPr>
        <w:tblStyle w:val="Table"/>
        <w:tblW w:type="pct" w:w="5000"/>
        <w:tblLayout w:type="fixed"/>
        <w:tblLook w:firstRow="1" w:lastRow="0" w:firstColumn="0" w:lastColumn="0" w:noHBand="0" w:noVBand="0" w:val="0020"/>
      </w:tblPr>
      <w:tblGrid>
        <w:gridCol w:w="2600"/>
        <w:gridCol w:w="2955"/>
        <w:gridCol w:w="2364"/>
      </w:tblGrid>
      <w:tr>
        <w:trPr>
          <w:tblHeader w:val="on"/>
        </w:trPr>
        <w:tc>
          <w:tcPr/>
          <w:p>
            <w:pPr>
              <w:pStyle w:val="Compact"/>
              <w:jc w:val="left"/>
            </w:pPr>
            <w:r>
              <w:t xml:space="preserve">Health Facility Type</w:t>
            </w:r>
          </w:p>
        </w:tc>
        <w:tc>
          <w:tcPr/>
          <w:p>
            <w:pPr>
              <w:pStyle w:val="Compact"/>
              <w:jc w:val="left"/>
            </w:pPr>
            <w:r>
              <w:t xml:space="preserve">Typical Characteristics</w:t>
            </w:r>
          </w:p>
        </w:tc>
        <w:tc>
          <w:tcPr/>
          <w:p>
            <w:pPr>
              <w:pStyle w:val="Compact"/>
              <w:jc w:val="left"/>
            </w:pPr>
            <w:r>
              <w:t xml:space="preserve">Suggested CII Tier</w:t>
            </w:r>
          </w:p>
        </w:tc>
      </w:tr>
      <w:tr>
        <w:tc>
          <w:tcPr/>
          <w:p>
            <w:pPr>
              <w:pStyle w:val="Compact"/>
              <w:jc w:val="left"/>
            </w:pPr>
            <w:r>
              <w:rPr>
                <w:b/>
                <w:bCs/>
              </w:rPr>
              <w:t xml:space="preserve">AIIMS / National Institutes</w:t>
            </w:r>
          </w:p>
        </w:tc>
        <w:tc>
          <w:tcPr/>
          <w:p>
            <w:pPr>
              <w:pStyle w:val="Compact"/>
              <w:jc w:val="left"/>
            </w:pPr>
            <w:r>
              <w:t xml:space="preserve">Apex tertiary + research; 1,000+ beds</w:t>
            </w:r>
          </w:p>
        </w:tc>
        <w:tc>
          <w:tcPr/>
          <w:p>
            <w:pPr>
              <w:pStyle w:val="Compact"/>
              <w:jc w:val="left"/>
            </w:pPr>
            <w:r>
              <w:t xml:space="preserve">Tier 1</w:t>
            </w:r>
          </w:p>
        </w:tc>
      </w:tr>
      <w:tr>
        <w:tc>
          <w:tcPr/>
          <w:p>
            <w:pPr>
              <w:pStyle w:val="Compact"/>
              <w:jc w:val="left"/>
            </w:pPr>
            <w:r>
              <w:rPr>
                <w:b/>
                <w:bCs/>
              </w:rPr>
              <w:t xml:space="preserve">State/Central Government Medical College Hospitals</w:t>
            </w:r>
          </w:p>
        </w:tc>
        <w:tc>
          <w:tcPr/>
          <w:p>
            <w:pPr>
              <w:pStyle w:val="Compact"/>
              <w:jc w:val="left"/>
            </w:pPr>
            <w:r>
              <w:t xml:space="preserve">Major tertiary; 500-1,500 beds</w:t>
            </w:r>
          </w:p>
        </w:tc>
        <w:tc>
          <w:tcPr/>
          <w:p>
            <w:pPr>
              <w:pStyle w:val="Compact"/>
              <w:jc w:val="left"/>
            </w:pPr>
            <w:r>
              <w:t xml:space="preserve">Tier 1</w:t>
            </w:r>
          </w:p>
        </w:tc>
      </w:tr>
      <w:tr>
        <w:tc>
          <w:tcPr/>
          <w:p>
            <w:pPr>
              <w:pStyle w:val="Compact"/>
              <w:jc w:val="left"/>
            </w:pPr>
            <w:r>
              <w:rPr>
                <w:b/>
                <w:bCs/>
              </w:rPr>
              <w:t xml:space="preserve">District Hospital (DH)</w:t>
            </w:r>
          </w:p>
        </w:tc>
        <w:tc>
          <w:tcPr/>
          <w:p>
            <w:pPr>
              <w:pStyle w:val="Compact"/>
              <w:jc w:val="left"/>
            </w:pPr>
            <w:r>
              <w:t xml:space="preserve">District headquarters; 100-500 beds; surgery/obstetrics</w:t>
            </w:r>
          </w:p>
        </w:tc>
        <w:tc>
          <w:tcPr/>
          <w:p>
            <w:pPr>
              <w:pStyle w:val="Compact"/>
              <w:jc w:val="left"/>
            </w:pPr>
            <w:r>
              <w:t xml:space="preserve">Tier 1 (if sole in district)</w:t>
            </w:r>
          </w:p>
        </w:tc>
      </w:tr>
      <w:tr>
        <w:tc>
          <w:tcPr/>
          <w:p>
            <w:pPr>
              <w:pStyle w:val="Compact"/>
              <w:jc w:val="left"/>
            </w:pPr>
            <w:r>
              <w:rPr>
                <w:b/>
                <w:bCs/>
              </w:rPr>
              <w:t xml:space="preserve">Sub-District Hospital (SDH)</w:t>
            </w:r>
          </w:p>
        </w:tc>
        <w:tc>
          <w:tcPr/>
          <w:p>
            <w:pPr>
              <w:pStyle w:val="Compact"/>
              <w:jc w:val="left"/>
            </w:pPr>
            <w:r>
              <w:t xml:space="preserve">Taluk/sub-district; 30-100 beds</w:t>
            </w:r>
          </w:p>
        </w:tc>
        <w:tc>
          <w:tcPr/>
          <w:p>
            <w:pPr>
              <w:pStyle w:val="Compact"/>
              <w:jc w:val="left"/>
            </w:pPr>
            <w:r>
              <w:t xml:space="preserve">Tier 2</w:t>
            </w:r>
          </w:p>
        </w:tc>
      </w:tr>
      <w:tr>
        <w:tc>
          <w:tcPr/>
          <w:p>
            <w:pPr>
              <w:pStyle w:val="Compact"/>
              <w:jc w:val="left"/>
            </w:pPr>
            <w:r>
              <w:rPr>
                <w:b/>
                <w:bCs/>
              </w:rPr>
              <w:t xml:space="preserve">Community Health Centre (CHC)</w:t>
            </w:r>
          </w:p>
        </w:tc>
        <w:tc>
          <w:tcPr/>
          <w:p>
            <w:pPr>
              <w:pStyle w:val="Compact"/>
              <w:jc w:val="left"/>
            </w:pPr>
            <w:r>
              <w:t xml:space="preserve">Block level; 30 beds; FRU function</w:t>
            </w:r>
          </w:p>
        </w:tc>
        <w:tc>
          <w:tcPr/>
          <w:p>
            <w:pPr>
              <w:pStyle w:val="Compact"/>
              <w:jc w:val="left"/>
            </w:pPr>
            <w:r>
              <w:t xml:space="preserve">Tier 2 (if sole FRU in block)</w:t>
            </w:r>
          </w:p>
        </w:tc>
      </w:tr>
      <w:tr>
        <w:tc>
          <w:tcPr/>
          <w:p>
            <w:pPr>
              <w:pStyle w:val="Compact"/>
              <w:jc w:val="left"/>
            </w:pPr>
            <w:r>
              <w:rPr>
                <w:b/>
                <w:bCs/>
              </w:rPr>
              <w:t xml:space="preserve">Primary Health Centre (PHC)</w:t>
            </w:r>
          </w:p>
        </w:tc>
        <w:tc>
          <w:tcPr/>
          <w:p>
            <w:pPr>
              <w:pStyle w:val="Compact"/>
              <w:jc w:val="left"/>
            </w:pPr>
            <w:r>
              <w:t xml:space="preserve">Primary care; 6 beds; limited digital systems</w:t>
            </w:r>
          </w:p>
        </w:tc>
        <w:tc>
          <w:tcPr/>
          <w:p>
            <w:pPr>
              <w:pStyle w:val="Compact"/>
              <w:jc w:val="left"/>
            </w:pPr>
            <w:r>
              <w:t xml:space="preserve">Tier 3</w:t>
            </w:r>
          </w:p>
        </w:tc>
      </w:tr>
      <w:tr>
        <w:tc>
          <w:tcPr/>
          <w:p>
            <w:pPr>
              <w:pStyle w:val="Compact"/>
              <w:jc w:val="left"/>
            </w:pPr>
            <w:r>
              <w:rPr>
                <w:b/>
                <w:bCs/>
              </w:rPr>
              <w:t xml:space="preserve">Health &amp; Wellness Centre (HWC)</w:t>
            </w:r>
          </w:p>
        </w:tc>
        <w:tc>
          <w:tcPr/>
          <w:p>
            <w:pPr>
              <w:pStyle w:val="Compact"/>
              <w:jc w:val="left"/>
            </w:pPr>
            <w:r>
              <w:t xml:space="preserve">Sub-centre upgrade; ASHA coordination</w:t>
            </w:r>
          </w:p>
        </w:tc>
        <w:tc>
          <w:tcPr/>
          <w:p>
            <w:pPr>
              <w:pStyle w:val="Compact"/>
              <w:jc w:val="left"/>
            </w:pPr>
            <w:r>
              <w:t xml:space="preserve">Tier 3</w:t>
            </w:r>
          </w:p>
        </w:tc>
      </w:tr>
      <w:tr>
        <w:tc>
          <w:tcPr/>
          <w:p>
            <w:pPr>
              <w:pStyle w:val="Compact"/>
              <w:jc w:val="left"/>
            </w:pPr>
            <w:r>
              <w:rPr>
                <w:b/>
                <w:bCs/>
              </w:rPr>
              <w:t xml:space="preserve">Major Private Corporate Hospitals</w:t>
            </w:r>
          </w:p>
        </w:tc>
        <w:tc>
          <w:tcPr/>
          <w:p>
            <w:pPr>
              <w:pStyle w:val="Compact"/>
              <w:jc w:val="left"/>
            </w:pPr>
            <w:r>
              <w:t xml:space="preserve">200+ beds; multi-specialty; extensive IT</w:t>
            </w:r>
          </w:p>
        </w:tc>
        <w:tc>
          <w:tcPr/>
          <w:p>
            <w:pPr>
              <w:pStyle w:val="Compact"/>
              <w:jc w:val="left"/>
            </w:pPr>
            <w:r>
              <w:t xml:space="preserve">Tier 1-2 (based on scale/function)</w:t>
            </w:r>
          </w:p>
        </w:tc>
      </w:tr>
    </w:tbl>
    <w:bookmarkEnd w:id="386"/>
    <w:bookmarkStart w:id="387" w:name="digital-maturity-considerations"/>
    <w:p>
      <w:pPr>
        <w:pStyle w:val="Heading3"/>
      </w:pPr>
      <w:r>
        <w:t xml:space="preserve">9.6 Digital Maturity Considerations</w:t>
      </w:r>
    </w:p>
    <w:tbl>
      <w:tblPr>
        <w:tblStyle w:val="Table"/>
        <w:tblW w:type="pct" w:w="5000"/>
        <w:tblLayout w:type="fixed"/>
        <w:tblLook w:firstRow="1" w:lastRow="0" w:firstColumn="0" w:lastColumn="0" w:noHBand="0" w:noVBand="0" w:val="0020"/>
      </w:tblPr>
      <w:tblGrid>
        <w:gridCol w:w="812"/>
        <w:gridCol w:w="3046"/>
        <w:gridCol w:w="2843"/>
        <w:gridCol w:w="1218"/>
      </w:tblGrid>
      <w:tr>
        <w:trPr>
          <w:tblHeader w:val="on"/>
        </w:trPr>
        <w:tc>
          <w:tcPr/>
          <w:p>
            <w:pPr>
              <w:pStyle w:val="Compact"/>
              <w:jc w:val="left"/>
            </w:pPr>
            <w:r>
              <w:t xml:space="preserve">Factor</w:t>
            </w:r>
          </w:p>
        </w:tc>
        <w:tc>
          <w:tcPr/>
          <w:p>
            <w:pPr>
              <w:pStyle w:val="Compact"/>
              <w:jc w:val="left"/>
            </w:pPr>
            <w:r>
              <w:t xml:space="preserve">Developed Country Assumption</w:t>
            </w:r>
          </w:p>
        </w:tc>
        <w:tc>
          <w:tcPr/>
          <w:p>
            <w:pPr>
              <w:pStyle w:val="Compact"/>
              <w:jc w:val="left"/>
            </w:pPr>
            <w:r>
              <w:t xml:space="preserve">Developing Country Reality</w:t>
            </w:r>
          </w:p>
        </w:tc>
        <w:tc>
          <w:tcPr/>
          <w:p>
            <w:pPr>
              <w:pStyle w:val="Compact"/>
              <w:jc w:val="left"/>
            </w:pPr>
            <w:r>
              <w:t xml:space="preserve">Adaptation</w:t>
            </w:r>
          </w:p>
        </w:tc>
      </w:tr>
      <w:tr>
        <w:tc>
          <w:tcPr/>
          <w:p>
            <w:pPr>
              <w:pStyle w:val="Compact"/>
              <w:jc w:val="left"/>
            </w:pPr>
            <w:r>
              <w:rPr>
                <w:b/>
                <w:bCs/>
              </w:rPr>
              <w:t xml:space="preserve">EHR adoption</w:t>
            </w:r>
          </w:p>
        </w:tc>
        <w:tc>
          <w:tcPr/>
          <w:p>
            <w:pPr>
              <w:pStyle w:val="Compact"/>
              <w:jc w:val="left"/>
            </w:pPr>
            <w:r>
              <w:t xml:space="preserve">Universal or near-universal</w:t>
            </w:r>
          </w:p>
        </w:tc>
        <w:tc>
          <w:tcPr/>
          <w:p>
            <w:pPr>
              <w:pStyle w:val="Compact"/>
              <w:jc w:val="left"/>
            </w:pPr>
            <w:r>
              <w:t xml:space="preserve">Variable; paper-based common</w:t>
            </w:r>
          </w:p>
        </w:tc>
        <w:tc>
          <w:tcPr/>
          <w:p>
            <w:pPr>
              <w:pStyle w:val="Compact"/>
              <w:jc w:val="left"/>
            </w:pPr>
            <w:r>
              <w:t xml:space="preserve">Prioritize facilities with digital systems for CII scope</w:t>
            </w:r>
          </w:p>
        </w:tc>
      </w:tr>
      <w:tr>
        <w:tc>
          <w:tcPr/>
          <w:p>
            <w:pPr>
              <w:pStyle w:val="Compact"/>
              <w:jc w:val="left"/>
            </w:pPr>
            <w:r>
              <w:rPr>
                <w:b/>
                <w:bCs/>
              </w:rPr>
              <w:t xml:space="preserve">Internet connectivity</w:t>
            </w:r>
          </w:p>
        </w:tc>
        <w:tc>
          <w:tcPr/>
          <w:p>
            <w:pPr>
              <w:pStyle w:val="Compact"/>
              <w:jc w:val="left"/>
            </w:pPr>
            <w:r>
              <w:t xml:space="preserve">Always-on broadband</w:t>
            </w:r>
          </w:p>
        </w:tc>
        <w:tc>
          <w:tcPr/>
          <w:p>
            <w:pPr>
              <w:pStyle w:val="Compact"/>
              <w:jc w:val="left"/>
            </w:pPr>
            <w:r>
              <w:t xml:space="preserve">Intermittent; mobile-dependent</w:t>
            </w:r>
          </w:p>
        </w:tc>
        <w:tc>
          <w:tcPr/>
          <w:p>
            <w:pPr>
              <w:pStyle w:val="Compact"/>
              <w:jc w:val="left"/>
            </w:pPr>
            <w:r>
              <w:rPr>
                <w:b/>
                <w:bCs/>
              </w:rPr>
              <w:t xml:space="preserve">Offline-capable systems</w:t>
            </w:r>
            <w:r>
              <w:t xml:space="preserve"> </w:t>
            </w:r>
            <w:r>
              <w:t xml:space="preserve">as critical; data sync mechanisms</w:t>
            </w:r>
          </w:p>
        </w:tc>
      </w:tr>
      <w:tr>
        <w:tc>
          <w:tcPr/>
          <w:p>
            <w:pPr>
              <w:pStyle w:val="Compact"/>
              <w:jc w:val="left"/>
            </w:pPr>
            <w:r>
              <w:rPr>
                <w:b/>
                <w:bCs/>
              </w:rPr>
              <w:t xml:space="preserve">IT staffing</w:t>
            </w:r>
          </w:p>
        </w:tc>
        <w:tc>
          <w:tcPr/>
          <w:p>
            <w:pPr>
              <w:pStyle w:val="Compact"/>
              <w:jc w:val="left"/>
            </w:pPr>
            <w:r>
              <w:t xml:space="preserve">Dedicated IT/security teams</w:t>
            </w:r>
          </w:p>
        </w:tc>
        <w:tc>
          <w:tcPr/>
          <w:p>
            <w:pPr>
              <w:pStyle w:val="Compact"/>
              <w:jc w:val="left"/>
            </w:pPr>
            <w:r>
              <w:t xml:space="preserve">Often shared/outsourced; limited capacity</w:t>
            </w:r>
          </w:p>
        </w:tc>
        <w:tc>
          <w:tcPr/>
          <w:p>
            <w:pPr>
              <w:pStyle w:val="Compact"/>
              <w:jc w:val="left"/>
            </w:pPr>
            <w:r>
              <w:rPr>
                <w:b/>
                <w:bCs/>
              </w:rPr>
              <w:t xml:space="preserve">Shared services</w:t>
            </w:r>
            <w:r>
              <w:t xml:space="preserve"> </w:t>
            </w:r>
            <w:r>
              <w:t xml:space="preserve">(state-level SOC) as Tier 1 system</w:t>
            </w:r>
          </w:p>
        </w:tc>
      </w:tr>
      <w:tr>
        <w:tc>
          <w:tcPr/>
          <w:p>
            <w:pPr>
              <w:pStyle w:val="Compact"/>
              <w:jc w:val="left"/>
            </w:pPr>
            <w:r>
              <w:rPr>
                <w:b/>
                <w:bCs/>
              </w:rPr>
              <w:t xml:space="preserve">Cloud vs on-premise</w:t>
            </w:r>
          </w:p>
        </w:tc>
        <w:tc>
          <w:tcPr/>
          <w:p>
            <w:pPr>
              <w:pStyle w:val="Compact"/>
              <w:jc w:val="left"/>
            </w:pPr>
            <w:r>
              <w:t xml:space="preserve">Cloud-first / hybrid</w:t>
            </w:r>
          </w:p>
        </w:tc>
        <w:tc>
          <w:tcPr/>
          <w:p>
            <w:pPr>
              <w:pStyle w:val="Compact"/>
              <w:jc w:val="left"/>
            </w:pPr>
            <w:r>
              <w:t xml:space="preserve">On-premise or central data centers</w:t>
            </w:r>
          </w:p>
        </w:tc>
        <w:tc>
          <w:tcPr/>
          <w:p>
            <w:pPr>
              <w:pStyle w:val="Compact"/>
              <w:jc w:val="left"/>
            </w:pPr>
            <w:r>
              <w:rPr>
                <w:b/>
                <w:bCs/>
              </w:rPr>
              <w:t xml:space="preserve">State Data Centers (SDCs)</w:t>
            </w:r>
            <w:r>
              <w:t xml:space="preserve"> </w:t>
            </w:r>
            <w:r>
              <w:t xml:space="preserve">hosting health systems as Tier 1</w:t>
            </w:r>
          </w:p>
        </w:tc>
      </w:tr>
      <w:tr>
        <w:tc>
          <w:tcPr/>
          <w:p>
            <w:pPr>
              <w:pStyle w:val="Compact"/>
              <w:jc w:val="left"/>
            </w:pPr>
            <w:r>
              <w:rPr>
                <w:b/>
                <w:bCs/>
              </w:rPr>
              <w:t xml:space="preserve">Supply chain visibility</w:t>
            </w:r>
          </w:p>
        </w:tc>
        <w:tc>
          <w:tcPr/>
          <w:p>
            <w:pPr>
              <w:pStyle w:val="Compact"/>
              <w:jc w:val="left"/>
            </w:pPr>
            <w:r>
              <w:t xml:space="preserve">Integrated vendor management</w:t>
            </w:r>
          </w:p>
        </w:tc>
        <w:tc>
          <w:tcPr/>
          <w:p>
            <w:pPr>
              <w:pStyle w:val="Compact"/>
              <w:jc w:val="left"/>
            </w:pPr>
            <w:r>
              <w:t xml:space="preserve">Fragmented; informal procurement</w:t>
            </w:r>
          </w:p>
        </w:tc>
        <w:tc>
          <w:tcPr/>
          <w:p>
            <w:pPr>
              <w:pStyle w:val="Compact"/>
              <w:jc w:val="left"/>
            </w:pPr>
            <w:r>
              <w:t xml:space="preserve">Lower emphasis on third-party risk scoring initially</w:t>
            </w:r>
          </w:p>
        </w:tc>
      </w:tr>
    </w:tbl>
    <w:bookmarkEnd w:id="387"/>
    <w:bookmarkStart w:id="388" w:name="regulatory-and-compliance-capacity"/>
    <w:p>
      <w:pPr>
        <w:pStyle w:val="Heading3"/>
      </w:pPr>
      <w:r>
        <w:t xml:space="preserve">9.7 Regulatory and Compliance Capacity</w:t>
      </w:r>
    </w:p>
    <w:tbl>
      <w:tblPr>
        <w:tblStyle w:val="Table"/>
        <w:tblW w:type="pct" w:w="5000"/>
        <w:tblLayout w:type="fixed"/>
        <w:tblLook w:firstRow="1" w:lastRow="0" w:firstColumn="0" w:lastColumn="0" w:noHBand="0" w:noVBand="0" w:val="0020"/>
      </w:tblPr>
      <w:tblGrid>
        <w:gridCol w:w="1244"/>
        <w:gridCol w:w="3168"/>
        <w:gridCol w:w="3507"/>
      </w:tblGrid>
      <w:tr>
        <w:trPr>
          <w:tblHeader w:val="on"/>
        </w:trPr>
        <w:tc>
          <w:tcPr/>
          <w:p>
            <w:pPr>
              <w:pStyle w:val="Compact"/>
              <w:jc w:val="left"/>
            </w:pPr>
            <w:r>
              <w:t xml:space="preserve">Challenge</w:t>
            </w:r>
          </w:p>
        </w:tc>
        <w:tc>
          <w:tcPr/>
          <w:p>
            <w:pPr>
              <w:pStyle w:val="Compact"/>
              <w:jc w:val="left"/>
            </w:pPr>
            <w:r>
              <w:t xml:space="preserve">Developed-Country Approach</w:t>
            </w:r>
          </w:p>
        </w:tc>
        <w:tc>
          <w:tcPr/>
          <w:p>
            <w:pPr>
              <w:pStyle w:val="Compact"/>
              <w:jc w:val="left"/>
            </w:pPr>
            <w:r>
              <w:t xml:space="preserve">Developing-Country Adaptation</w:t>
            </w:r>
          </w:p>
        </w:tc>
      </w:tr>
      <w:tr>
        <w:tc>
          <w:tcPr/>
          <w:p>
            <w:pPr>
              <w:pStyle w:val="Compact"/>
              <w:jc w:val="left"/>
            </w:pPr>
            <w:r>
              <w:rPr>
                <w:b/>
                <w:bCs/>
              </w:rPr>
              <w:t xml:space="preserve">Limited regulators</w:t>
            </w:r>
          </w:p>
        </w:tc>
        <w:tc>
          <w:tcPr/>
          <w:p>
            <w:pPr>
              <w:pStyle w:val="Compact"/>
              <w:jc w:val="left"/>
            </w:pPr>
            <w:r>
              <w:t xml:space="preserve">Sector-specific competent authorities</w:t>
            </w:r>
          </w:p>
        </w:tc>
        <w:tc>
          <w:tcPr/>
          <w:p>
            <w:pPr>
              <w:pStyle w:val="Compact"/>
              <w:jc w:val="left"/>
            </w:pPr>
            <w:r>
              <w:rPr>
                <w:b/>
                <w:bCs/>
              </w:rPr>
              <w:t xml:space="preserve">Single nodal agency</w:t>
            </w:r>
            <w:r>
              <w:t xml:space="preserve"> </w:t>
            </w:r>
            <w:r>
              <w:t xml:space="preserve">with health ministry support</w:t>
            </w:r>
          </w:p>
        </w:tc>
      </w:tr>
      <w:tr>
        <w:tc>
          <w:tcPr/>
          <w:p>
            <w:pPr>
              <w:pStyle w:val="Compact"/>
              <w:jc w:val="left"/>
            </w:pPr>
            <w:r>
              <w:rPr>
                <w:b/>
                <w:bCs/>
              </w:rPr>
              <w:t xml:space="preserve">Audit capacity</w:t>
            </w:r>
          </w:p>
        </w:tc>
        <w:tc>
          <w:tcPr/>
          <w:p>
            <w:pPr>
              <w:pStyle w:val="Compact"/>
              <w:jc w:val="left"/>
            </w:pPr>
            <w:r>
              <w:t xml:space="preserve">Annual third-party audits</w:t>
            </w:r>
          </w:p>
        </w:tc>
        <w:tc>
          <w:tcPr/>
          <w:p>
            <w:pPr>
              <w:pStyle w:val="Compact"/>
              <w:jc w:val="left"/>
            </w:pPr>
            <w:r>
              <w:rPr>
                <w:b/>
                <w:bCs/>
              </w:rPr>
              <w:t xml:space="preserve">Phased approach</w:t>
            </w:r>
            <w:r>
              <w:t xml:space="preserve">: Tier 1 first; self-assessment for Tier 3</w:t>
            </w:r>
          </w:p>
        </w:tc>
      </w:tr>
      <w:tr>
        <w:tc>
          <w:tcPr/>
          <w:p>
            <w:pPr>
              <w:pStyle w:val="Compact"/>
              <w:jc w:val="left"/>
            </w:pPr>
            <w:r>
              <w:rPr>
                <w:b/>
                <w:bCs/>
              </w:rPr>
              <w:t xml:space="preserve">Incident reporting</w:t>
            </w:r>
          </w:p>
        </w:tc>
        <w:tc>
          <w:tcPr/>
          <w:p>
            <w:pPr>
              <w:pStyle w:val="Compact"/>
              <w:jc w:val="left"/>
            </w:pPr>
            <w:r>
              <w:t xml:space="preserve">Real-time portals; dedicated CERT</w:t>
            </w:r>
          </w:p>
        </w:tc>
        <w:tc>
          <w:tcPr/>
          <w:p>
            <w:pPr>
              <w:pStyle w:val="Compact"/>
              <w:jc w:val="left"/>
            </w:pPr>
            <w:r>
              <w:rPr>
                <w:b/>
                <w:bCs/>
              </w:rPr>
              <w:t xml:space="preserve">Simplified reporting</w:t>
            </w:r>
            <w:r>
              <w:t xml:space="preserve">: SMS/email fallback; longer initial timelines</w:t>
            </w:r>
          </w:p>
        </w:tc>
      </w:tr>
      <w:tr>
        <w:tc>
          <w:tcPr/>
          <w:p>
            <w:pPr>
              <w:pStyle w:val="Compact"/>
              <w:jc w:val="left"/>
            </w:pPr>
            <w:r>
              <w:rPr>
                <w:b/>
                <w:bCs/>
              </w:rPr>
              <w:t xml:space="preserve">Penalties</w:t>
            </w:r>
          </w:p>
        </w:tc>
        <w:tc>
          <w:tcPr/>
          <w:p>
            <w:pPr>
              <w:pStyle w:val="Compact"/>
              <w:jc w:val="left"/>
            </w:pPr>
            <w:r>
              <w:t xml:space="preserve">€10M+ fines</w:t>
            </w:r>
          </w:p>
        </w:tc>
        <w:tc>
          <w:tcPr/>
          <w:p>
            <w:pPr>
              <w:pStyle w:val="Compact"/>
              <w:jc w:val="left"/>
            </w:pPr>
            <w:r>
              <w:rPr>
                <w:b/>
                <w:bCs/>
              </w:rPr>
              <w:t xml:space="preserve">Proportionate</w:t>
            </w:r>
            <w:r>
              <w:t xml:space="preserve">: Compliance orders first; modest fines scaled to public sector budgets</w:t>
            </w:r>
          </w:p>
        </w:tc>
      </w:tr>
      <w:tr>
        <w:tc>
          <w:tcPr/>
          <w:p>
            <w:pPr>
              <w:pStyle w:val="Compact"/>
              <w:jc w:val="left"/>
            </w:pPr>
            <w:r>
              <w:rPr>
                <w:b/>
                <w:bCs/>
              </w:rPr>
              <w:t xml:space="preserve">Technical guidance</w:t>
            </w:r>
          </w:p>
        </w:tc>
        <w:tc>
          <w:tcPr/>
          <w:p>
            <w:pPr>
              <w:pStyle w:val="Compact"/>
              <w:jc w:val="left"/>
            </w:pPr>
            <w:r>
              <w:t xml:space="preserve">Sector-specific security standards</w:t>
            </w:r>
          </w:p>
        </w:tc>
        <w:tc>
          <w:tcPr/>
          <w:p>
            <w:pPr>
              <w:pStyle w:val="Compact"/>
              <w:jc w:val="left"/>
            </w:pPr>
            <w:r>
              <w:rPr>
                <w:b/>
                <w:bCs/>
              </w:rPr>
              <w:t xml:space="preserve">Adopt/adapt</w:t>
            </w:r>
            <w:r>
              <w:t xml:space="preserve"> </w:t>
            </w:r>
            <w:r>
              <w:t xml:space="preserve">existing standards (ISO 27799, NIST Healthcare) with local context</w:t>
            </w:r>
          </w:p>
        </w:tc>
      </w:tr>
    </w:tbl>
    <w:bookmarkEnd w:id="388"/>
    <w:bookmarkStart w:id="389" w:name="adapted-incident-reporting-timelines"/>
    <w:p>
      <w:pPr>
        <w:pStyle w:val="Heading3"/>
      </w:pPr>
      <w:r>
        <w:t xml:space="preserve">9.8 Adapted Incident Reporting Timelines</w:t>
      </w:r>
    </w:p>
    <w:tbl>
      <w:tblPr>
        <w:tblStyle w:val="Table"/>
        <w:tblW w:type="pct" w:w="5000"/>
        <w:tblLayout w:type="fixed"/>
        <w:tblLook w:firstRow="1" w:lastRow="0" w:firstColumn="0" w:lastColumn="0" w:noHBand="0" w:noVBand="0" w:val="0020"/>
      </w:tblPr>
      <w:tblGrid>
        <w:gridCol w:w="1622"/>
        <w:gridCol w:w="1813"/>
        <w:gridCol w:w="3435"/>
        <w:gridCol w:w="1049"/>
      </w:tblGrid>
      <w:tr>
        <w:trPr>
          <w:tblHeader w:val="on"/>
        </w:trPr>
        <w:tc>
          <w:tcPr/>
          <w:p>
            <w:pPr>
              <w:pStyle w:val="Compact"/>
              <w:jc w:val="left"/>
            </w:pPr>
            <w:r>
              <w:t xml:space="preserve">Reporting Stage</w:t>
            </w:r>
          </w:p>
        </w:tc>
        <w:tc>
          <w:tcPr/>
          <w:p>
            <w:pPr>
              <w:pStyle w:val="Compact"/>
              <w:jc w:val="left"/>
            </w:pPr>
            <w:r>
              <w:t xml:space="preserve">Developed Country</w:t>
            </w:r>
          </w:p>
        </w:tc>
        <w:tc>
          <w:tcPr/>
          <w:p>
            <w:pPr>
              <w:pStyle w:val="Compact"/>
              <w:jc w:val="left"/>
            </w:pPr>
            <w:r>
              <w:t xml:space="preserve">Developing Country (Initial Phase)</w:t>
            </w:r>
          </w:p>
        </w:tc>
        <w:tc>
          <w:tcPr/>
          <w:p>
            <w:pPr>
              <w:pStyle w:val="Compact"/>
              <w:jc w:val="left"/>
            </w:pPr>
            <w:r>
              <w:t xml:space="preserve">Rationale</w:t>
            </w:r>
          </w:p>
        </w:tc>
      </w:tr>
      <w:tr>
        <w:tc>
          <w:tcPr/>
          <w:p>
            <w:pPr>
              <w:pStyle w:val="Compact"/>
              <w:jc w:val="left"/>
            </w:pPr>
            <w:r>
              <w:rPr>
                <w:b/>
                <w:bCs/>
              </w:rPr>
              <w:t xml:space="preserve">Early Warning</w:t>
            </w:r>
          </w:p>
        </w:tc>
        <w:tc>
          <w:tcPr/>
          <w:p>
            <w:pPr>
              <w:pStyle w:val="Compact"/>
              <w:jc w:val="left"/>
            </w:pPr>
            <w:r>
              <w:t xml:space="preserve">12–24 hours</w:t>
            </w:r>
          </w:p>
        </w:tc>
        <w:tc>
          <w:tcPr/>
          <w:p>
            <w:pPr>
              <w:pStyle w:val="Compact"/>
              <w:jc w:val="left"/>
            </w:pPr>
            <w:r>
              <w:t xml:space="preserve">24–48 hours</w:t>
            </w:r>
          </w:p>
        </w:tc>
        <w:tc>
          <w:tcPr/>
          <w:p>
            <w:pPr>
              <w:pStyle w:val="Compact"/>
              <w:jc w:val="left"/>
            </w:pPr>
            <w:r>
              <w:t xml:space="preserve">Account for connectivity and capacity limitations</w:t>
            </w:r>
          </w:p>
        </w:tc>
      </w:tr>
      <w:tr>
        <w:tc>
          <w:tcPr/>
          <w:p>
            <w:pPr>
              <w:pStyle w:val="Compact"/>
              <w:jc w:val="left"/>
            </w:pPr>
            <w:r>
              <w:rPr>
                <w:b/>
                <w:bCs/>
              </w:rPr>
              <w:t xml:space="preserve">Detailed Notification</w:t>
            </w:r>
          </w:p>
        </w:tc>
        <w:tc>
          <w:tcPr/>
          <w:p>
            <w:pPr>
              <w:pStyle w:val="Compact"/>
              <w:jc w:val="left"/>
            </w:pPr>
            <w:r>
              <w:t xml:space="preserve">48–72 hours</w:t>
            </w:r>
          </w:p>
        </w:tc>
        <w:tc>
          <w:tcPr/>
          <w:p>
            <w:pPr>
              <w:pStyle w:val="Compact"/>
              <w:jc w:val="left"/>
            </w:pPr>
            <w:r>
              <w:t xml:space="preserve">72–96 hours</w:t>
            </w:r>
          </w:p>
        </w:tc>
        <w:tc>
          <w:tcPr/>
          <w:p>
            <w:pPr>
              <w:pStyle w:val="Compact"/>
              <w:jc w:val="left"/>
            </w:pPr>
            <w:r>
              <w:t xml:space="preserve">More time for investigation in resource-limited settings</w:t>
            </w:r>
          </w:p>
        </w:tc>
      </w:tr>
      <w:tr>
        <w:tc>
          <w:tcPr/>
          <w:p>
            <w:pPr>
              <w:pStyle w:val="Compact"/>
              <w:jc w:val="left"/>
            </w:pPr>
            <w:r>
              <w:rPr>
                <w:b/>
                <w:bCs/>
              </w:rPr>
              <w:t xml:space="preserve">Final Report</w:t>
            </w:r>
          </w:p>
        </w:tc>
        <w:tc>
          <w:tcPr/>
          <w:p>
            <w:pPr>
              <w:pStyle w:val="Compact"/>
              <w:jc w:val="left"/>
            </w:pPr>
            <w:r>
              <w:t xml:space="preserve">14–30 days</w:t>
            </w:r>
          </w:p>
        </w:tc>
        <w:tc>
          <w:tcPr/>
          <w:p>
            <w:pPr>
              <w:pStyle w:val="Compact"/>
              <w:jc w:val="left"/>
            </w:pPr>
            <w:r>
              <w:t xml:space="preserve">30–45 days</w:t>
            </w:r>
          </w:p>
        </w:tc>
        <w:tc>
          <w:tcPr/>
          <w:p>
            <w:pPr>
              <w:pStyle w:val="Compact"/>
              <w:jc w:val="left"/>
            </w:pPr>
            <w:r>
              <w:t xml:space="preserve">Extended analysis period</w:t>
            </w:r>
          </w:p>
        </w:tc>
      </w:tr>
      <w:tr>
        <w:tc>
          <w:tcPr/>
          <w:p>
            <w:pPr>
              <w:pStyle w:val="Compact"/>
              <w:jc w:val="left"/>
            </w:pPr>
            <w:r>
              <w:rPr>
                <w:b/>
                <w:bCs/>
              </w:rPr>
              <w:t xml:space="preserve">Ransom Payment</w:t>
            </w:r>
          </w:p>
        </w:tc>
        <w:tc>
          <w:tcPr/>
          <w:p>
            <w:pPr>
              <w:pStyle w:val="Compact"/>
              <w:jc w:val="left"/>
            </w:pPr>
            <w:r>
              <w:t xml:space="preserve">24 hours</w:t>
            </w:r>
          </w:p>
        </w:tc>
        <w:tc>
          <w:tcPr/>
          <w:p>
            <w:pPr>
              <w:pStyle w:val="Compact"/>
              <w:jc w:val="left"/>
            </w:pPr>
            <w:r>
              <w:t xml:space="preserve">24 hours</w:t>
            </w:r>
          </w:p>
        </w:tc>
        <w:tc>
          <w:tcPr/>
          <w:p>
            <w:pPr>
              <w:pStyle w:val="Compact"/>
              <w:jc w:val="left"/>
            </w:pPr>
            <w:r>
              <w:t xml:space="preserve">Keep consistent for law enforcement coordination</w:t>
            </w:r>
          </w:p>
        </w:tc>
      </w:tr>
    </w:tbl>
    <w:bookmarkEnd w:id="389"/>
    <w:bookmarkStart w:id="390" w:name="X782f8a25f255b281002c8efb1571b509c937e42"/>
    <w:p>
      <w:pPr>
        <w:pStyle w:val="Heading3"/>
      </w:pPr>
      <w:r>
        <w:t xml:space="preserve">9.9 India-Specific</w:t>
      </w:r>
      <w:r>
        <w:t xml:space="preserve"> </w:t>
      </w:r>
      <w:r>
        <w:t xml:space="preserve">“Regardless of Size”</w:t>
      </w:r>
      <w:r>
        <w:t xml:space="preserve"> </w:t>
      </w:r>
      <w:r>
        <w:t xml:space="preserve">Triggers</w:t>
      </w:r>
    </w:p>
    <w:p>
      <w:pPr>
        <w:pStyle w:val="FirstParagraph"/>
      </w:pPr>
      <w:r>
        <w:t xml:space="preserve">Regardless of scale, an entity should be</w:t>
      </w:r>
      <w:r>
        <w:t xml:space="preserve"> </w:t>
      </w:r>
      <w:r>
        <w:rPr>
          <w:b/>
          <w:bCs/>
        </w:rPr>
        <w:t xml:space="preserve">automatically Tier 1</w:t>
      </w:r>
      <w:r>
        <w:t xml:space="preserve"> </w:t>
      </w:r>
      <w:r>
        <w:t xml:space="preserve">in India if it:</w:t>
      </w:r>
    </w:p>
    <w:p>
      <w:pPr>
        <w:pStyle w:val="Compact"/>
        <w:numPr>
          <w:ilvl w:val="0"/>
          <w:numId w:val="1307"/>
        </w:numPr>
      </w:pPr>
      <w:r>
        <w:t xml:space="preserve">Operates</w:t>
      </w:r>
      <w:r>
        <w:t xml:space="preserve"> </w:t>
      </w:r>
      <w:r>
        <w:rPr>
          <w:b/>
          <w:bCs/>
        </w:rPr>
        <w:t xml:space="preserve">ABDM (Ayushman Bharat Digital Mission)</w:t>
      </w:r>
      <w:r>
        <w:t xml:space="preserve"> </w:t>
      </w:r>
      <w:r>
        <w:t xml:space="preserve">infrastructure at national/state level</w:t>
      </w:r>
    </w:p>
    <w:p>
      <w:pPr>
        <w:pStyle w:val="Compact"/>
        <w:numPr>
          <w:ilvl w:val="0"/>
          <w:numId w:val="1307"/>
        </w:numPr>
      </w:pPr>
      <w:r>
        <w:t xml:space="preserve">Operates</w:t>
      </w:r>
      <w:r>
        <w:t xml:space="preserve"> </w:t>
      </w:r>
      <w:r>
        <w:rPr>
          <w:b/>
          <w:bCs/>
        </w:rPr>
        <w:t xml:space="preserve">PM-JAY</w:t>
      </w:r>
      <w:r>
        <w:t xml:space="preserve"> </w:t>
      </w:r>
      <w:r>
        <w:t xml:space="preserve">transaction processing or beneficiary management systems</w:t>
      </w:r>
    </w:p>
    <w:p>
      <w:pPr>
        <w:pStyle w:val="Compact"/>
        <w:numPr>
          <w:ilvl w:val="0"/>
          <w:numId w:val="1307"/>
        </w:numPr>
      </w:pPr>
      <w:r>
        <w:t xml:space="preserve">Is the</w:t>
      </w:r>
      <w:r>
        <w:t xml:space="preserve"> </w:t>
      </w:r>
      <w:r>
        <w:rPr>
          <w:b/>
          <w:bCs/>
        </w:rPr>
        <w:t xml:space="preserve">sole government hospital</w:t>
      </w:r>
      <w:r>
        <w:t xml:space="preserve"> </w:t>
      </w:r>
      <w:r>
        <w:t xml:space="preserve">in a district</w:t>
      </w:r>
    </w:p>
    <w:p>
      <w:pPr>
        <w:pStyle w:val="Compact"/>
        <w:numPr>
          <w:ilvl w:val="0"/>
          <w:numId w:val="1307"/>
        </w:numPr>
      </w:pPr>
      <w:r>
        <w:t xml:space="preserve">Operates</w:t>
      </w:r>
      <w:r>
        <w:t xml:space="preserve"> </w:t>
      </w:r>
      <w:r>
        <w:rPr>
          <w:b/>
          <w:bCs/>
        </w:rPr>
        <w:t xml:space="preserve">112 ERSS</w:t>
      </w:r>
      <w:r>
        <w:t xml:space="preserve"> </w:t>
      </w:r>
      <w:r>
        <w:t xml:space="preserve">(National Emergency Number) dispatch for any state</w:t>
      </w:r>
    </w:p>
    <w:p>
      <w:pPr>
        <w:pStyle w:val="Compact"/>
        <w:numPr>
          <w:ilvl w:val="0"/>
          <w:numId w:val="1307"/>
        </w:numPr>
      </w:pPr>
      <w:r>
        <w:t xml:space="preserve">Operates</w:t>
      </w:r>
      <w:r>
        <w:t xml:space="preserve"> </w:t>
      </w:r>
      <w:r>
        <w:rPr>
          <w:b/>
          <w:bCs/>
        </w:rPr>
        <w:t xml:space="preserve">state-level integrated disease surveillance</w:t>
      </w:r>
      <w:r>
        <w:t xml:space="preserve"> </w:t>
      </w:r>
      <w:r>
        <w:t xml:space="preserve">(IHIP)</w:t>
      </w:r>
    </w:p>
    <w:p>
      <w:pPr>
        <w:pStyle w:val="Compact"/>
        <w:numPr>
          <w:ilvl w:val="0"/>
          <w:numId w:val="1307"/>
        </w:numPr>
      </w:pPr>
      <w:r>
        <w:t xml:space="preserve">Is a</w:t>
      </w:r>
      <w:r>
        <w:t xml:space="preserve"> </w:t>
      </w:r>
      <w:r>
        <w:rPr>
          <w:b/>
          <w:bCs/>
        </w:rPr>
        <w:t xml:space="preserve">national or regional reference laboratory</w:t>
      </w:r>
      <w:r>
        <w:t xml:space="preserve"> </w:t>
      </w:r>
      <w:r>
        <w:t xml:space="preserve">(NCDC, NIV, ICMR labs)</w:t>
      </w:r>
    </w:p>
    <w:p>
      <w:pPr>
        <w:pStyle w:val="Compact"/>
        <w:numPr>
          <w:ilvl w:val="0"/>
          <w:numId w:val="1307"/>
        </w:numPr>
      </w:pPr>
      <w:r>
        <w:t xml:space="preserve">Operates</w:t>
      </w:r>
      <w:r>
        <w:t xml:space="preserve"> </w:t>
      </w:r>
      <w:r>
        <w:rPr>
          <w:b/>
          <w:bCs/>
        </w:rPr>
        <w:t xml:space="preserve">state blood bank council</w:t>
      </w:r>
      <w:r>
        <w:t xml:space="preserve"> </w:t>
      </w:r>
      <w:r>
        <w:t xml:space="preserve">or regional blood transfusion center</w:t>
      </w:r>
    </w:p>
    <w:p>
      <w:pPr>
        <w:pStyle w:val="Compact"/>
        <w:numPr>
          <w:ilvl w:val="0"/>
          <w:numId w:val="1307"/>
        </w:numPr>
      </w:pPr>
      <w:r>
        <w:t xml:space="preserve">Is a</w:t>
      </w:r>
      <w:r>
        <w:t xml:space="preserve"> </w:t>
      </w:r>
      <w:r>
        <w:rPr>
          <w:b/>
          <w:bCs/>
        </w:rPr>
        <w:t xml:space="preserve">State Data Center</w:t>
      </w:r>
      <w:r>
        <w:t xml:space="preserve"> </w:t>
      </w:r>
      <w:r>
        <w:t xml:space="preserve">hosting health applications</w:t>
      </w:r>
    </w:p>
    <w:p>
      <w:pPr>
        <w:pStyle w:val="Compact"/>
        <w:numPr>
          <w:ilvl w:val="0"/>
          <w:numId w:val="1307"/>
        </w:numPr>
      </w:pPr>
      <w:r>
        <w:t xml:space="preserve">Provides</w:t>
      </w:r>
      <w:r>
        <w:t xml:space="preserve"> </w:t>
      </w:r>
      <w:r>
        <w:rPr>
          <w:b/>
          <w:bCs/>
        </w:rPr>
        <w:t xml:space="preserve">telemedicine hub services</w:t>
      </w:r>
      <w:r>
        <w:t xml:space="preserve"> </w:t>
      </w:r>
      <w:r>
        <w:t xml:space="preserve">for remote/tribal areas (e.g., eSanjeevani hubs)</w:t>
      </w:r>
    </w:p>
    <w:p>
      <w:pPr>
        <w:pStyle w:val="Compact"/>
        <w:numPr>
          <w:ilvl w:val="0"/>
          <w:numId w:val="1307"/>
        </w:numPr>
      </w:pPr>
      <w:r>
        <w:t xml:space="preserve">Operates</w:t>
      </w:r>
      <w:r>
        <w:t xml:space="preserve"> </w:t>
      </w:r>
      <w:r>
        <w:rPr>
          <w:b/>
          <w:bCs/>
        </w:rPr>
        <w:t xml:space="preserve">cold chain management systems</w:t>
      </w:r>
      <w:r>
        <w:t xml:space="preserve"> </w:t>
      </w:r>
      <w:r>
        <w:t xml:space="preserve">(eVIN) at state level</w:t>
      </w:r>
    </w:p>
    <w:bookmarkEnd w:id="390"/>
    <w:bookmarkStart w:id="392" w:name="developing-country-scoring-adjustments"/>
    <w:p>
      <w:pPr>
        <w:pStyle w:val="Heading3"/>
      </w:pPr>
      <w:r>
        <w:t xml:space="preserve">9.10 Developing Country Scoring Adjustments</w:t>
      </w:r>
    </w:p>
    <w:bookmarkStart w:id="391" w:name="X5c3d1e829c5f4e0ee3dace7583267af583c049c"/>
    <w:p>
      <w:pPr>
        <w:pStyle w:val="Heading4"/>
      </w:pPr>
      <w:r>
        <w:t xml:space="preserve">Adjusted Scoring Matrix for Developing Countries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(Developed)</w:t>
            </w:r>
          </w:p>
        </w:tc>
        <w:tc>
          <w:tcPr/>
          <w:p>
            <w:pPr>
              <w:pStyle w:val="Compact"/>
              <w:jc w:val="center"/>
            </w:pPr>
            <w:r>
              <w:t xml:space="preserve">Points (Developing)</w:t>
            </w:r>
          </w:p>
        </w:tc>
      </w:tr>
      <w:tr>
        <w:tc>
          <w:tcPr/>
          <w:p>
            <w:pPr>
              <w:pStyle w:val="Compact"/>
              <w:jc w:val="left"/>
            </w:pPr>
            <w:r>
              <w:rPr>
                <w:b/>
                <w:bCs/>
              </w:rPr>
              <w:t xml:space="preserve">A. Scale</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≥10,000 inpatient cases/year</w:t>
            </w:r>
          </w:p>
        </w:tc>
        <w:tc>
          <w:tcPr/>
          <w:p>
            <w:pPr>
              <w:pStyle w:val="Compact"/>
              <w:jc w:val="center"/>
            </w:pPr>
            <w:r>
              <w:t xml:space="preserve">—</w:t>
            </w:r>
          </w:p>
        </w:tc>
        <w:tc>
          <w:tcPr/>
          <w:p>
            <w:pPr>
              <w:pStyle w:val="Compact"/>
              <w:jc w:val="center"/>
            </w:pPr>
            <w:r>
              <w:t xml:space="preserve">30</w:t>
            </w:r>
          </w:p>
        </w:tc>
      </w:tr>
      <w:tr>
        <w:tc>
          <w:tcPr/>
          <w:p>
            <w:pPr>
              <w:pStyle w:val="Compact"/>
            </w:pPr>
          </w:p>
        </w:tc>
        <w:tc>
          <w:tcPr/>
          <w:p>
            <w:pPr>
              <w:pStyle w:val="Compact"/>
              <w:jc w:val="left"/>
            </w:pPr>
            <w:r>
              <w:t xml:space="preserve">5,000–9,999 cases/year</w:t>
            </w:r>
          </w:p>
        </w:tc>
        <w:tc>
          <w:tcPr/>
          <w:p>
            <w:pPr>
              <w:pStyle w:val="Compact"/>
              <w:jc w:val="center"/>
            </w:pPr>
            <w:r>
              <w:t xml:space="preserve">—</w:t>
            </w:r>
          </w:p>
        </w:tc>
        <w:tc>
          <w:tcPr/>
          <w:p>
            <w:pPr>
              <w:pStyle w:val="Compact"/>
              <w:jc w:val="center"/>
            </w:pPr>
            <w:r>
              <w:t xml:space="preserve">20</w:t>
            </w:r>
          </w:p>
        </w:tc>
      </w:tr>
      <w:tr>
        <w:tc>
          <w:tcPr/>
          <w:p>
            <w:pPr>
              <w:pStyle w:val="Compact"/>
            </w:pPr>
          </w:p>
        </w:tc>
        <w:tc>
          <w:tcPr/>
          <w:p>
            <w:pPr>
              <w:pStyle w:val="Compact"/>
              <w:jc w:val="left"/>
            </w:pPr>
            <w:r>
              <w:t xml:space="preserve">2,000–4,999 cases/year</w:t>
            </w:r>
          </w:p>
        </w:tc>
        <w:tc>
          <w:tcPr/>
          <w:p>
            <w:pPr>
              <w:pStyle w:val="Compact"/>
              <w:jc w:val="center"/>
            </w:pPr>
            <w:r>
              <w:t xml:space="preserve">—</w:t>
            </w:r>
          </w:p>
        </w:tc>
        <w:tc>
          <w:tcPr/>
          <w:p>
            <w:pPr>
              <w:pStyle w:val="Compact"/>
              <w:jc w:val="center"/>
            </w:pPr>
            <w:r>
              <w:t xml:space="preserve">10</w:t>
            </w:r>
          </w:p>
        </w:tc>
      </w:tr>
      <w:tr>
        <w:tc>
          <w:tcPr/>
          <w:p>
            <w:pPr>
              <w:pStyle w:val="Compact"/>
              <w:jc w:val="left"/>
            </w:pPr>
            <w:r>
              <w:rPr>
                <w:b/>
                <w:bCs/>
              </w:rPr>
              <w:t xml:space="preserve">B. Public System Role</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District Hospital (sole in district)</w:t>
            </w:r>
          </w:p>
        </w:tc>
        <w:tc>
          <w:tcPr/>
          <w:p>
            <w:pPr>
              <w:pStyle w:val="Compact"/>
              <w:jc w:val="center"/>
            </w:pPr>
            <w:r>
              <w:t xml:space="preserve">—</w:t>
            </w:r>
          </w:p>
        </w:tc>
        <w:tc>
          <w:tcPr/>
          <w:p>
            <w:pPr>
              <w:pStyle w:val="Compact"/>
              <w:jc w:val="center"/>
            </w:pPr>
            <w:r>
              <w:t xml:space="preserve">25</w:t>
            </w:r>
          </w:p>
        </w:tc>
      </w:tr>
      <w:tr>
        <w:tc>
          <w:tcPr/>
          <w:p>
            <w:pPr>
              <w:pStyle w:val="Compact"/>
            </w:pPr>
          </w:p>
        </w:tc>
        <w:tc>
          <w:tcPr/>
          <w:p>
            <w:pPr>
              <w:pStyle w:val="Compact"/>
              <w:jc w:val="left"/>
            </w:pPr>
            <w:r>
              <w:t xml:space="preserve">FRU (sole in block)</w:t>
            </w:r>
          </w:p>
        </w:tc>
        <w:tc>
          <w:tcPr/>
          <w:p>
            <w:pPr>
              <w:pStyle w:val="Compact"/>
              <w:jc w:val="center"/>
            </w:pPr>
            <w:r>
              <w:t xml:space="preserve">—</w:t>
            </w:r>
          </w:p>
        </w:tc>
        <w:tc>
          <w:tcPr/>
          <w:p>
            <w:pPr>
              <w:pStyle w:val="Compact"/>
              <w:jc w:val="center"/>
            </w:pPr>
            <w:r>
              <w:t xml:space="preserve">20</w:t>
            </w:r>
          </w:p>
        </w:tc>
      </w:tr>
      <w:tr>
        <w:tc>
          <w:tcPr/>
          <w:p>
            <w:pPr>
              <w:pStyle w:val="Compact"/>
            </w:pPr>
          </w:p>
        </w:tc>
        <w:tc>
          <w:tcPr/>
          <w:p>
            <w:pPr>
              <w:pStyle w:val="Compact"/>
              <w:jc w:val="left"/>
            </w:pPr>
            <w:r>
              <w:t xml:space="preserve">CHC/PHC digitized</w:t>
            </w:r>
          </w:p>
        </w:tc>
        <w:tc>
          <w:tcPr/>
          <w:p>
            <w:pPr>
              <w:pStyle w:val="Compact"/>
              <w:jc w:val="center"/>
            </w:pPr>
            <w:r>
              <w:t xml:space="preserve">—</w:t>
            </w:r>
          </w:p>
        </w:tc>
        <w:tc>
          <w:tcPr/>
          <w:p>
            <w:pPr>
              <w:pStyle w:val="Compact"/>
              <w:jc w:val="center"/>
            </w:pPr>
            <w:r>
              <w:t xml:space="preserve">5</w:t>
            </w:r>
          </w:p>
        </w:tc>
      </w:tr>
      <w:tr>
        <w:tc>
          <w:tcPr/>
          <w:p>
            <w:pPr>
              <w:pStyle w:val="Compact"/>
              <w:jc w:val="left"/>
            </w:pPr>
            <w:r>
              <w:rPr>
                <w:b/>
                <w:bCs/>
              </w:rPr>
              <w:t xml:space="preserve">C. Geographic Criticality</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Sole provider &gt;50km radius</w:t>
            </w:r>
          </w:p>
        </w:tc>
        <w:tc>
          <w:tcPr/>
          <w:p>
            <w:pPr>
              <w:pStyle w:val="Compact"/>
              <w:jc w:val="center"/>
            </w:pPr>
            <w:r>
              <w:t xml:space="preserve">—</w:t>
            </w:r>
          </w:p>
        </w:tc>
        <w:tc>
          <w:tcPr/>
          <w:p>
            <w:pPr>
              <w:pStyle w:val="Compact"/>
              <w:jc w:val="center"/>
            </w:pPr>
            <w:r>
              <w:t xml:space="preserve">20</w:t>
            </w:r>
          </w:p>
        </w:tc>
      </w:tr>
      <w:tr>
        <w:tc>
          <w:tcPr/>
          <w:p>
            <w:pPr>
              <w:pStyle w:val="Compact"/>
            </w:pPr>
          </w:p>
        </w:tc>
        <w:tc>
          <w:tcPr/>
          <w:p>
            <w:pPr>
              <w:pStyle w:val="Compact"/>
              <w:jc w:val="left"/>
            </w:pPr>
            <w:r>
              <w:t xml:space="preserve">Aspirational/border district</w:t>
            </w:r>
          </w:p>
        </w:tc>
        <w:tc>
          <w:tcPr/>
          <w:p>
            <w:pPr>
              <w:pStyle w:val="Compact"/>
              <w:jc w:val="center"/>
            </w:pPr>
            <w:r>
              <w:t xml:space="preserve">—</w:t>
            </w:r>
          </w:p>
        </w:tc>
        <w:tc>
          <w:tcPr/>
          <w:p>
            <w:pPr>
              <w:pStyle w:val="Compact"/>
              <w:jc w:val="center"/>
            </w:pPr>
            <w:r>
              <w:t xml:space="preserve">10</w:t>
            </w:r>
          </w:p>
        </w:tc>
      </w:tr>
      <w:tr>
        <w:tc>
          <w:tcPr/>
          <w:p>
            <w:pPr>
              <w:pStyle w:val="Compact"/>
            </w:pPr>
          </w:p>
        </w:tc>
        <w:tc>
          <w:tcPr/>
          <w:p>
            <w:pPr>
              <w:pStyle w:val="Compact"/>
              <w:jc w:val="left"/>
            </w:pPr>
            <w:r>
              <w:t xml:space="preserve">Remote/tribal area</w:t>
            </w:r>
          </w:p>
        </w:tc>
        <w:tc>
          <w:tcPr/>
          <w:p>
            <w:pPr>
              <w:pStyle w:val="Compact"/>
              <w:jc w:val="center"/>
            </w:pPr>
            <w:r>
              <w:t xml:space="preserve">—</w:t>
            </w:r>
          </w:p>
        </w:tc>
        <w:tc>
          <w:tcPr/>
          <w:p>
            <w:pPr>
              <w:pStyle w:val="Compact"/>
              <w:jc w:val="center"/>
            </w:pPr>
            <w:r>
              <w:t xml:space="preserve">10</w:t>
            </w:r>
          </w:p>
        </w:tc>
      </w:tr>
      <w:tr>
        <w:tc>
          <w:tcPr/>
          <w:p>
            <w:pPr>
              <w:pStyle w:val="Compact"/>
              <w:jc w:val="left"/>
            </w:pPr>
            <w:r>
              <w:rPr>
                <w:b/>
                <w:bCs/>
              </w:rPr>
              <w:t xml:space="preserve">D. National Program Integration</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Hosts ABDM/PM-JAY systems</w:t>
            </w:r>
          </w:p>
        </w:tc>
        <w:tc>
          <w:tcPr/>
          <w:p>
            <w:pPr>
              <w:pStyle w:val="Compact"/>
              <w:jc w:val="center"/>
            </w:pPr>
            <w:r>
              <w:t xml:space="preserve">—</w:t>
            </w:r>
          </w:p>
        </w:tc>
        <w:tc>
          <w:tcPr/>
          <w:p>
            <w:pPr>
              <w:pStyle w:val="Compact"/>
              <w:jc w:val="center"/>
            </w:pPr>
            <w:r>
              <w:t xml:space="preserve">25</w:t>
            </w:r>
          </w:p>
        </w:tc>
      </w:tr>
      <w:tr>
        <w:tc>
          <w:tcPr/>
          <w:p>
            <w:pPr>
              <w:pStyle w:val="Compact"/>
            </w:pPr>
          </w:p>
        </w:tc>
        <w:tc>
          <w:tcPr/>
          <w:p>
            <w:pPr>
              <w:pStyle w:val="Compact"/>
              <w:jc w:val="left"/>
            </w:pPr>
            <w:r>
              <w:t xml:space="preserve">State disease surveillance node</w:t>
            </w:r>
          </w:p>
        </w:tc>
        <w:tc>
          <w:tcPr/>
          <w:p>
            <w:pPr>
              <w:pStyle w:val="Compact"/>
              <w:jc w:val="center"/>
            </w:pPr>
            <w:r>
              <w:t xml:space="preserve">—</w:t>
            </w:r>
          </w:p>
        </w:tc>
        <w:tc>
          <w:tcPr/>
          <w:p>
            <w:pPr>
              <w:pStyle w:val="Compact"/>
              <w:jc w:val="center"/>
            </w:pPr>
            <w:r>
              <w:t xml:space="preserve">20</w:t>
            </w:r>
          </w:p>
        </w:tc>
      </w:tr>
      <w:tr>
        <w:tc>
          <w:tcPr/>
          <w:p>
            <w:pPr>
              <w:pStyle w:val="Compact"/>
            </w:pPr>
          </w:p>
        </w:tc>
        <w:tc>
          <w:tcPr/>
          <w:p>
            <w:pPr>
              <w:pStyle w:val="Compact"/>
              <w:jc w:val="left"/>
            </w:pPr>
            <w:r>
              <w:t xml:space="preserve">eVIN/immunization registry</w:t>
            </w:r>
          </w:p>
        </w:tc>
        <w:tc>
          <w:tcPr/>
          <w:p>
            <w:pPr>
              <w:pStyle w:val="Compact"/>
              <w:jc w:val="center"/>
            </w:pPr>
            <w:r>
              <w:t xml:space="preserve">—</w:t>
            </w:r>
          </w:p>
        </w:tc>
        <w:tc>
          <w:tcPr/>
          <w:p>
            <w:pPr>
              <w:pStyle w:val="Compact"/>
              <w:jc w:val="center"/>
            </w:pPr>
            <w:r>
              <w:t xml:space="preserve">15</w:t>
            </w:r>
          </w:p>
        </w:tc>
      </w:tr>
    </w:tbl>
    <w:bookmarkEnd w:id="391"/>
    <w:bookmarkEnd w:id="392"/>
    <w:bookmarkStart w:id="393" w:name="phased-implementation-approach"/>
    <w:p>
      <w:pPr>
        <w:pStyle w:val="Heading3"/>
      </w:pPr>
      <w:r>
        <w:t xml:space="preserve">9.11 Phased Implementation Approach</w:t>
      </w:r>
    </w:p>
    <w:p>
      <w:pPr>
        <w:pStyle w:val="FirstParagraph"/>
      </w:pPr>
      <w:r>
        <w:t xml:space="preserve">Given capacity constraints, developing countries should adopt a</w:t>
      </w:r>
      <w:r>
        <w:t xml:space="preserve"> </w:t>
      </w:r>
      <w:r>
        <w:rPr>
          <w:b/>
          <w:bCs/>
        </w:rPr>
        <w:t xml:space="preserve">phased rollout</w:t>
      </w:r>
      <w:r>
        <w:t xml:space="preserve">:</w:t>
      </w:r>
    </w:p>
    <w:tbl>
      <w:tblPr>
        <w:tblStyle w:val="Table"/>
        <w:tblW w:type="pct" w:w="5000"/>
        <w:tblLayout w:type="fixed"/>
        <w:tblLook w:firstRow="1" w:lastRow="0" w:firstColumn="0" w:lastColumn="0" w:noHBand="0" w:noVBand="0" w:val="0020"/>
      </w:tblPr>
      <w:tblGrid>
        <w:gridCol w:w="1788"/>
        <w:gridCol w:w="2554"/>
        <w:gridCol w:w="1788"/>
        <w:gridCol w:w="1788"/>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Scope</w:t>
            </w:r>
          </w:p>
        </w:tc>
        <w:tc>
          <w:tcPr/>
          <w:p>
            <w:pPr>
              <w:pStyle w:val="Compact"/>
              <w:jc w:val="left"/>
            </w:pPr>
            <w:r>
              <w:t xml:space="preserve">Focus</w:t>
            </w:r>
          </w:p>
        </w:tc>
      </w:tr>
      <w:tr>
        <w:tc>
          <w:tcPr/>
          <w:p>
            <w:pPr>
              <w:pStyle w:val="Compact"/>
              <w:jc w:val="left"/>
            </w:pPr>
            <w:r>
              <w:rPr>
                <w:b/>
                <w:bCs/>
              </w:rPr>
              <w:t xml:space="preserve">Phase 1</w:t>
            </w:r>
          </w:p>
        </w:tc>
        <w:tc>
          <w:tcPr/>
          <w:p>
            <w:pPr>
              <w:pStyle w:val="Compact"/>
              <w:jc w:val="left"/>
            </w:pPr>
            <w:r>
              <w:t xml:space="preserve">Year 1</w:t>
            </w:r>
          </w:p>
        </w:tc>
        <w:tc>
          <w:tcPr/>
          <w:p>
            <w:pPr>
              <w:pStyle w:val="Compact"/>
              <w:jc w:val="left"/>
            </w:pPr>
            <w:r>
              <w:t xml:space="preserve">National systems only</w:t>
            </w:r>
          </w:p>
        </w:tc>
        <w:tc>
          <w:tcPr/>
          <w:p>
            <w:pPr>
              <w:pStyle w:val="Compact"/>
              <w:jc w:val="left"/>
            </w:pPr>
            <w:r>
              <w:t xml:space="preserve">ABDM, PM-JAY, 112 ERSS, national surveillance, State Data Centers</w:t>
            </w:r>
          </w:p>
        </w:tc>
      </w:tr>
      <w:tr>
        <w:tc>
          <w:tcPr/>
          <w:p>
            <w:pPr>
              <w:pStyle w:val="Compact"/>
              <w:jc w:val="left"/>
            </w:pPr>
            <w:r>
              <w:rPr>
                <w:b/>
                <w:bCs/>
              </w:rPr>
              <w:t xml:space="preserve">Phase 2</w:t>
            </w:r>
          </w:p>
        </w:tc>
        <w:tc>
          <w:tcPr/>
          <w:p>
            <w:pPr>
              <w:pStyle w:val="Compact"/>
              <w:jc w:val="left"/>
            </w:pPr>
            <w:r>
              <w:t xml:space="preserve">Year 2</w:t>
            </w:r>
          </w:p>
        </w:tc>
        <w:tc>
          <w:tcPr/>
          <w:p>
            <w:pPr>
              <w:pStyle w:val="Compact"/>
              <w:jc w:val="left"/>
            </w:pPr>
            <w:r>
              <w:t xml:space="preserve">Tier 1 entities (national + major tertiary)</w:t>
            </w:r>
          </w:p>
        </w:tc>
        <w:tc>
          <w:tcPr/>
          <w:p>
            <w:pPr>
              <w:pStyle w:val="Compact"/>
              <w:jc w:val="left"/>
            </w:pPr>
            <w:r>
              <w:t xml:space="preserve">AIIMS, GMCHs, major private chains, state blood banks</w:t>
            </w:r>
          </w:p>
        </w:tc>
      </w:tr>
      <w:tr>
        <w:tc>
          <w:tcPr/>
          <w:p>
            <w:pPr>
              <w:pStyle w:val="Compact"/>
              <w:jc w:val="left"/>
            </w:pPr>
            <w:r>
              <w:rPr>
                <w:b/>
                <w:bCs/>
              </w:rPr>
              <w:t xml:space="preserve">Phase 3</w:t>
            </w:r>
          </w:p>
        </w:tc>
        <w:tc>
          <w:tcPr/>
          <w:p>
            <w:pPr>
              <w:pStyle w:val="Compact"/>
              <w:jc w:val="left"/>
            </w:pPr>
            <w:r>
              <w:t xml:space="preserve">Year 3-4</w:t>
            </w:r>
          </w:p>
        </w:tc>
        <w:tc>
          <w:tcPr/>
          <w:p>
            <w:pPr>
              <w:pStyle w:val="Compact"/>
              <w:jc w:val="left"/>
            </w:pPr>
            <w:r>
              <w:t xml:space="preserve">Tier 2 entities (district level)</w:t>
            </w:r>
          </w:p>
        </w:tc>
        <w:tc>
          <w:tcPr/>
          <w:p>
            <w:pPr>
              <w:pStyle w:val="Compact"/>
              <w:jc w:val="left"/>
            </w:pPr>
            <w:r>
              <w:t xml:space="preserve">District hospitals, state reference labs, regional facilities</w:t>
            </w:r>
          </w:p>
        </w:tc>
      </w:tr>
      <w:tr>
        <w:tc>
          <w:tcPr/>
          <w:p>
            <w:pPr>
              <w:pStyle w:val="Compact"/>
              <w:jc w:val="left"/>
            </w:pPr>
            <w:r>
              <w:rPr>
                <w:b/>
                <w:bCs/>
              </w:rPr>
              <w:t xml:space="preserve">Phase 4</w:t>
            </w:r>
          </w:p>
        </w:tc>
        <w:tc>
          <w:tcPr/>
          <w:p>
            <w:pPr>
              <w:pStyle w:val="Compact"/>
              <w:jc w:val="left"/>
            </w:pPr>
            <w:r>
              <w:t xml:space="preserve">Year 5+</w:t>
            </w:r>
          </w:p>
        </w:tc>
        <w:tc>
          <w:tcPr/>
          <w:p>
            <w:pPr>
              <w:pStyle w:val="Compact"/>
              <w:jc w:val="left"/>
            </w:pPr>
            <w:r>
              <w:t xml:space="preserve">Tier 3 entities (voluntary)</w:t>
            </w:r>
          </w:p>
        </w:tc>
        <w:tc>
          <w:tcPr/>
          <w:p>
            <w:pPr>
              <w:pStyle w:val="Compact"/>
              <w:jc w:val="left"/>
            </w:pPr>
            <w:r>
              <w:t xml:space="preserve">PHCs, CHCs, small private hospitals</w:t>
            </w:r>
          </w:p>
        </w:tc>
      </w:tr>
    </w:tbl>
    <w:bookmarkEnd w:id="393"/>
    <w:bookmarkStart w:id="394" w:name="capacity-building-requirements"/>
    <w:p>
      <w:pPr>
        <w:pStyle w:val="Heading3"/>
      </w:pPr>
      <w:r>
        <w:t xml:space="preserve">9.12 Capacity Building Requirements</w:t>
      </w:r>
    </w:p>
    <w:tbl>
      <w:tblPr>
        <w:tblStyle w:val="Table"/>
        <w:tblW w:type="pct" w:w="5000"/>
        <w:tblLayout w:type="fixed"/>
        <w:tblLook w:firstRow="1" w:lastRow="0" w:firstColumn="0" w:lastColumn="0" w:noHBand="0" w:noVBand="0" w:val="0020"/>
      </w:tblPr>
      <w:tblGrid>
        <w:gridCol w:w="1687"/>
        <w:gridCol w:w="2466"/>
        <w:gridCol w:w="3765"/>
      </w:tblGrid>
      <w:tr>
        <w:trPr>
          <w:tblHeader w:val="on"/>
        </w:trPr>
        <w:tc>
          <w:tcPr/>
          <w:p>
            <w:pPr>
              <w:pStyle w:val="Compact"/>
              <w:jc w:val="left"/>
            </w:pPr>
            <w:r>
              <w:t xml:space="preserve">Requirement</w:t>
            </w:r>
          </w:p>
        </w:tc>
        <w:tc>
          <w:tcPr/>
          <w:p>
            <w:pPr>
              <w:pStyle w:val="Compact"/>
              <w:jc w:val="left"/>
            </w:pPr>
            <w:r>
              <w:t xml:space="preserve">Developed Country</w:t>
            </w:r>
          </w:p>
        </w:tc>
        <w:tc>
          <w:tcPr/>
          <w:p>
            <w:pPr>
              <w:pStyle w:val="Compact"/>
              <w:jc w:val="left"/>
            </w:pPr>
            <w:r>
              <w:t xml:space="preserve">Developing Country Approach</w:t>
            </w:r>
          </w:p>
        </w:tc>
      </w:tr>
      <w:tr>
        <w:tc>
          <w:tcPr/>
          <w:p>
            <w:pPr>
              <w:pStyle w:val="Compact"/>
              <w:jc w:val="left"/>
            </w:pPr>
            <w:r>
              <w:rPr>
                <w:b/>
                <w:bCs/>
              </w:rPr>
              <w:t xml:space="preserve">Sector-specific guidance</w:t>
            </w:r>
          </w:p>
        </w:tc>
        <w:tc>
          <w:tcPr/>
          <w:p>
            <w:pPr>
              <w:pStyle w:val="Compact"/>
              <w:jc w:val="left"/>
            </w:pPr>
            <w:r>
              <w:t xml:space="preserve">Published standards (B3S, CAF)</w:t>
            </w:r>
          </w:p>
        </w:tc>
        <w:tc>
          <w:tcPr/>
          <w:p>
            <w:pPr>
              <w:pStyle w:val="Compact"/>
              <w:jc w:val="left"/>
            </w:pPr>
            <w:r>
              <w:rPr>
                <w:b/>
                <w:bCs/>
              </w:rPr>
              <w:t xml:space="preserve">Develop simplified health CII security baseline</w:t>
            </w:r>
          </w:p>
        </w:tc>
      </w:tr>
      <w:tr>
        <w:tc>
          <w:tcPr/>
          <w:p>
            <w:pPr>
              <w:pStyle w:val="Compact"/>
              <w:jc w:val="left"/>
            </w:pPr>
            <w:r>
              <w:rPr>
                <w:b/>
                <w:bCs/>
              </w:rPr>
              <w:t xml:space="preserve">Training</w:t>
            </w:r>
          </w:p>
        </w:tc>
        <w:tc>
          <w:tcPr/>
          <w:p>
            <w:pPr>
              <w:pStyle w:val="Compact"/>
              <w:jc w:val="left"/>
            </w:pPr>
            <w:r>
              <w:t xml:space="preserve">Commercial certifications</w:t>
            </w:r>
          </w:p>
        </w:tc>
        <w:tc>
          <w:tcPr/>
          <w:p>
            <w:pPr>
              <w:pStyle w:val="Compact"/>
              <w:jc w:val="left"/>
            </w:pPr>
            <w:r>
              <w:rPr>
                <w:b/>
                <w:bCs/>
              </w:rPr>
              <w:t xml:space="preserve">Subsidized/free government training programs</w:t>
            </w:r>
          </w:p>
        </w:tc>
      </w:tr>
      <w:tr>
        <w:tc>
          <w:tcPr/>
          <w:p>
            <w:pPr>
              <w:pStyle w:val="Compact"/>
              <w:jc w:val="left"/>
            </w:pPr>
            <w:r>
              <w:rPr>
                <w:b/>
                <w:bCs/>
              </w:rPr>
              <w:t xml:space="preserve">Shared services</w:t>
            </w:r>
          </w:p>
        </w:tc>
        <w:tc>
          <w:tcPr/>
          <w:p>
            <w:pPr>
              <w:pStyle w:val="Compact"/>
              <w:jc w:val="left"/>
            </w:pPr>
            <w:r>
              <w:t xml:space="preserve">Commercial MSPs</w:t>
            </w:r>
          </w:p>
        </w:tc>
        <w:tc>
          <w:tcPr/>
          <w:p>
            <w:pPr>
              <w:pStyle w:val="Compact"/>
              <w:jc w:val="left"/>
            </w:pPr>
            <w:r>
              <w:rPr>
                <w:b/>
                <w:bCs/>
              </w:rPr>
              <w:t xml:space="preserve">State-level Security Operations Centers (SOCs)</w:t>
            </w:r>
            <w:r>
              <w:t xml:space="preserve"> </w:t>
            </w:r>
            <w:r>
              <w:t xml:space="preserve">for public health facilities</w:t>
            </w:r>
          </w:p>
        </w:tc>
      </w:tr>
      <w:tr>
        <w:tc>
          <w:tcPr/>
          <w:p>
            <w:pPr>
              <w:pStyle w:val="Compact"/>
              <w:jc w:val="left"/>
            </w:pPr>
            <w:r>
              <w:rPr>
                <w:b/>
                <w:bCs/>
              </w:rPr>
              <w:t xml:space="preserve">Incident response</w:t>
            </w:r>
          </w:p>
        </w:tc>
        <w:tc>
          <w:tcPr/>
          <w:p>
            <w:pPr>
              <w:pStyle w:val="Compact"/>
              <w:jc w:val="left"/>
            </w:pPr>
            <w:r>
              <w:t xml:space="preserve">Sector CERTs</w:t>
            </w:r>
          </w:p>
        </w:tc>
        <w:tc>
          <w:tcPr/>
          <w:p>
            <w:pPr>
              <w:pStyle w:val="Compact"/>
              <w:jc w:val="left"/>
            </w:pPr>
            <w:r>
              <w:rPr>
                <w:b/>
                <w:bCs/>
              </w:rPr>
              <w:t xml:space="preserve">National Health-CERT</w:t>
            </w:r>
            <w:r>
              <w:t xml:space="preserve"> </w:t>
            </w:r>
            <w:r>
              <w:t xml:space="preserve">with state nodes</w:t>
            </w:r>
          </w:p>
        </w:tc>
      </w:tr>
      <w:tr>
        <w:tc>
          <w:tcPr/>
          <w:p>
            <w:pPr>
              <w:pStyle w:val="Compact"/>
              <w:jc w:val="left"/>
            </w:pPr>
            <w:r>
              <w:rPr>
                <w:b/>
                <w:bCs/>
              </w:rPr>
              <w:t xml:space="preserve">Technical assistance</w:t>
            </w:r>
          </w:p>
        </w:tc>
        <w:tc>
          <w:tcPr/>
          <w:p>
            <w:pPr>
              <w:pStyle w:val="Compact"/>
              <w:jc w:val="left"/>
            </w:pPr>
            <w:r>
              <w:t xml:space="preserve">Market-driven consulting</w:t>
            </w:r>
          </w:p>
        </w:tc>
        <w:tc>
          <w:tcPr/>
          <w:p>
            <w:pPr>
              <w:pStyle w:val="Compact"/>
              <w:jc w:val="left"/>
            </w:pPr>
            <w:r>
              <w:rPr>
                <w:b/>
                <w:bCs/>
              </w:rPr>
              <w:t xml:space="preserve">Government technical support units</w:t>
            </w:r>
            <w:r>
              <w:t xml:space="preserve"> </w:t>
            </w:r>
            <w:r>
              <w:t xml:space="preserve">for compliance assistance</w:t>
            </w:r>
          </w:p>
        </w:tc>
      </w:tr>
    </w:tbl>
    <w:bookmarkEnd w:id="394"/>
    <w:bookmarkStart w:id="401" w:name="developing-country-case-studies"/>
    <w:p>
      <w:pPr>
        <w:pStyle w:val="Heading3"/>
      </w:pPr>
      <w:r>
        <w:t xml:space="preserve">9.13 Developing Country Case Studies</w:t>
      </w:r>
    </w:p>
    <w:p>
      <w:pPr>
        <w:pStyle w:val="FirstParagraph"/>
      </w:pPr>
      <w:r>
        <w:t xml:space="preserve">The following jurisdictions provide relevant models for adapting CII frameworks to developing country contexts:</w:t>
      </w:r>
    </w:p>
    <w:p>
      <w:r>
        <w:pict>
          <v:rect style="width:0;height:1.5pt" o:hralign="center" o:hrstd="t" o:hr="t"/>
        </w:pict>
      </w:r>
    </w:p>
    <w:bookmarkStart w:id="395" w:name="X2e1681321a5f3652095ee15356a57b1f76ec462"/>
    <w:p>
      <w:pPr>
        <w:pStyle w:val="Heading4"/>
      </w:pPr>
      <w:r>
        <w:t xml:space="preserve">A. China: Multi-Level Protection Scheme (MLPS) for Healthcare</w:t>
      </w:r>
    </w:p>
    <w:p>
      <w:pPr>
        <w:pStyle w:val="FirstParagraph"/>
      </w:pPr>
      <w:r>
        <w:rPr>
          <w:b/>
          <w:bCs/>
        </w:rPr>
        <w:t xml:space="preserve">Key Features:</w:t>
      </w:r>
      <w:r>
        <w:t xml:space="preserve"> </w:t>
      </w:r>
      <w:r>
        <w:t xml:space="preserve">-</w:t>
      </w:r>
      <w:r>
        <w:t xml:space="preserve"> </w:t>
      </w:r>
      <w:r>
        <w:rPr>
          <w:b/>
          <w:bCs/>
        </w:rPr>
        <w:t xml:space="preserve">Five-tier grading system</w:t>
      </w:r>
      <w:r>
        <w:t xml:space="preserve"> </w:t>
      </w:r>
      <w:r>
        <w:t xml:space="preserve">(Levels 1-5) applied to all network information systems</w:t>
      </w:r>
      <w:r>
        <w:t xml:space="preserve"> </w:t>
      </w:r>
      <w:r>
        <w:t xml:space="preserve">-</w:t>
      </w:r>
      <w:r>
        <w:t xml:space="preserve"> </w:t>
      </w:r>
      <w:r>
        <w:rPr>
          <w:b/>
          <w:bCs/>
        </w:rPr>
        <w:t xml:space="preserve">Explicit health-sector guidance</w:t>
      </w:r>
      <w:r>
        <w:t xml:space="preserve"> </w:t>
      </w:r>
      <w:r>
        <w:t xml:space="preserve">(2011 NHC directive) specifying which systems are</w:t>
      </w:r>
      <w:r>
        <w:t xml:space="preserve"> </w:t>
      </w:r>
      <w:r>
        <w:t xml:space="preserve">“≥ Level 3”</w:t>
      </w:r>
      <w:r>
        <w:t xml:space="preserve"> </w:t>
      </w:r>
      <w:r>
        <w:t xml:space="preserve">-</w:t>
      </w:r>
      <w:r>
        <w:t xml:space="preserve"> </w:t>
      </w:r>
      <w:r>
        <w:rPr>
          <w:b/>
          <w:bCs/>
        </w:rPr>
        <w:t xml:space="preserve">Party-state designation authority</w:t>
      </w:r>
      <w:r>
        <w:t xml:space="preserve"> </w:t>
      </w:r>
      <w:r>
        <w:t xml:space="preserve">rather than purely market-based self-assessment</w:t>
      </w:r>
    </w:p>
    <w:p>
      <w:pPr>
        <w:pStyle w:val="BodyText"/>
      </w:pPr>
      <w:r>
        <w:rPr>
          <w:b/>
          <w:bCs/>
        </w:rPr>
        <w:t xml:space="preserve">Systems Explicitly Designated Level 3+ (Health Sector):</w:t>
      </w:r>
    </w:p>
    <w:tbl>
      <w:tblPr>
        <w:tblStyle w:val="Table"/>
        <w:tblW w:type="pct" w:w="5000"/>
        <w:tblLayout w:type="fixed"/>
        <w:tblLook w:firstRow="1" w:lastRow="0" w:firstColumn="0" w:lastColumn="0" w:noHBand="0" w:noVBand="0" w:val="0020"/>
      </w:tblPr>
      <w:tblGrid>
        <w:gridCol w:w="3813"/>
        <w:gridCol w:w="2053"/>
        <w:gridCol w:w="2053"/>
      </w:tblGrid>
      <w:tr>
        <w:trPr>
          <w:tblHeader w:val="on"/>
        </w:trPr>
        <w:tc>
          <w:tcPr/>
          <w:p>
            <w:pPr>
              <w:pStyle w:val="Compact"/>
              <w:jc w:val="left"/>
            </w:pPr>
            <w:r>
              <w:t xml:space="preserve">System Type</w:t>
            </w:r>
          </w:p>
        </w:tc>
        <w:tc>
          <w:tcPr/>
          <w:p>
            <w:pPr>
              <w:pStyle w:val="Compact"/>
              <w:jc w:val="left"/>
            </w:pPr>
            <w:r>
              <w:t xml:space="preserve">Level</w:t>
            </w:r>
          </w:p>
        </w:tc>
        <w:tc>
          <w:tcPr/>
          <w:p>
            <w:pPr>
              <w:pStyle w:val="Compact"/>
              <w:jc w:val="left"/>
            </w:pPr>
            <w:r>
              <w:t xml:space="preserve">Scope</w:t>
            </w:r>
          </w:p>
        </w:tc>
      </w:tr>
      <w:tr>
        <w:tc>
          <w:tcPr/>
          <w:p>
            <w:pPr>
              <w:pStyle w:val="Compact"/>
              <w:jc w:val="left"/>
            </w:pPr>
            <w:r>
              <w:t xml:space="preserve">Cross-province national networked systems (infectious disease reporting, health statistics)</w:t>
            </w:r>
          </w:p>
        </w:tc>
        <w:tc>
          <w:tcPr/>
          <w:p>
            <w:pPr>
              <w:pStyle w:val="Compact"/>
              <w:jc w:val="left"/>
            </w:pPr>
            <w:r>
              <w:t xml:space="preserve">≥3</w:t>
            </w:r>
          </w:p>
        </w:tc>
        <w:tc>
          <w:tcPr/>
          <w:p>
            <w:pPr>
              <w:pStyle w:val="Compact"/>
              <w:jc w:val="left"/>
            </w:pPr>
            <w:r>
              <w:t xml:space="preserve">National</w:t>
            </w:r>
          </w:p>
        </w:tc>
      </w:tr>
      <w:tr>
        <w:tc>
          <w:tcPr/>
          <w:p>
            <w:pPr>
              <w:pStyle w:val="Compact"/>
              <w:jc w:val="left"/>
            </w:pPr>
            <w:r>
              <w:t xml:space="preserve">National/provincial/municipal health information platforms</w:t>
            </w:r>
          </w:p>
        </w:tc>
        <w:tc>
          <w:tcPr/>
          <w:p>
            <w:pPr>
              <w:pStyle w:val="Compact"/>
              <w:jc w:val="left"/>
            </w:pPr>
            <w:r>
              <w:t xml:space="preserve">≥3</w:t>
            </w:r>
          </w:p>
        </w:tc>
        <w:tc>
          <w:tcPr/>
          <w:p>
            <w:pPr>
              <w:pStyle w:val="Compact"/>
              <w:jc w:val="left"/>
            </w:pPr>
            <w:r>
              <w:t xml:space="preserve">National/Provincial</w:t>
            </w:r>
          </w:p>
        </w:tc>
      </w:tr>
      <w:tr>
        <w:tc>
          <w:tcPr/>
          <w:p>
            <w:pPr>
              <w:pStyle w:val="Compact"/>
              <w:jc w:val="left"/>
            </w:pPr>
            <w:r>
              <w:t xml:space="preserve">Core business information systems of</w:t>
            </w:r>
            <w:r>
              <w:t xml:space="preserve"> </w:t>
            </w:r>
            <w:r>
              <w:rPr>
                <w:b/>
                <w:bCs/>
              </w:rPr>
              <w:t xml:space="preserve">Class III Grade A hospitals</w:t>
            </w:r>
            <w:r>
              <w:t xml:space="preserve"> </w:t>
            </w:r>
            <w:r>
              <w:rPr>
                <w:rFonts w:hint="eastAsia"/>
              </w:rPr>
              <w:t xml:space="preserve">(三级甲等医院)</w:t>
            </w:r>
          </w:p>
        </w:tc>
        <w:tc>
          <w:tcPr/>
          <w:p>
            <w:pPr>
              <w:pStyle w:val="Compact"/>
              <w:jc w:val="left"/>
            </w:pPr>
            <w:r>
              <w:t xml:space="preserve">≥3</w:t>
            </w:r>
          </w:p>
        </w:tc>
        <w:tc>
          <w:tcPr/>
          <w:p>
            <w:pPr>
              <w:pStyle w:val="Compact"/>
              <w:jc w:val="left"/>
            </w:pPr>
            <w:r>
              <w:t xml:space="preserve">Major tertiary hospitals</w:t>
            </w:r>
          </w:p>
        </w:tc>
      </w:tr>
      <w:tr>
        <w:tc>
          <w:tcPr/>
          <w:p>
            <w:pPr>
              <w:pStyle w:val="Compact"/>
              <w:jc w:val="left"/>
            </w:pPr>
            <w:r>
              <w:t xml:space="preserve">New Rural Cooperative Medical Scheme (NRCMS) systems</w:t>
            </w:r>
          </w:p>
        </w:tc>
        <w:tc>
          <w:tcPr/>
          <w:p>
            <w:pPr>
              <w:pStyle w:val="Compact"/>
              <w:jc w:val="left"/>
            </w:pPr>
            <w:r>
              <w:t xml:space="preserve">≥3</w:t>
            </w:r>
          </w:p>
        </w:tc>
        <w:tc>
          <w:tcPr/>
          <w:p>
            <w:pPr>
              <w:pStyle w:val="Compact"/>
              <w:jc w:val="left"/>
            </w:pPr>
            <w:r>
              <w:t xml:space="preserve">National</w:t>
            </w:r>
          </w:p>
        </w:tc>
      </w:tr>
      <w:tr>
        <w:tc>
          <w:tcPr/>
          <w:p>
            <w:pPr>
              <w:pStyle w:val="Compact"/>
              <w:jc w:val="left"/>
            </w:pPr>
            <w:r>
              <w:t xml:space="preserve">Health supervision and maternal &amp; child health registries</w:t>
            </w:r>
          </w:p>
        </w:tc>
        <w:tc>
          <w:tcPr/>
          <w:p>
            <w:pPr>
              <w:pStyle w:val="Compact"/>
              <w:jc w:val="left"/>
            </w:pPr>
            <w:r>
              <w:t xml:space="preserve">≥3</w:t>
            </w:r>
          </w:p>
        </w:tc>
        <w:tc>
          <w:tcPr/>
          <w:p>
            <w:pPr>
              <w:pStyle w:val="Compact"/>
              <w:jc w:val="left"/>
            </w:pPr>
            <w:r>
              <w:t xml:space="preserve">National</w:t>
            </w:r>
          </w:p>
        </w:tc>
      </w:tr>
    </w:tbl>
    <w:p>
      <w:pPr>
        <w:pStyle w:val="BodyText"/>
      </w:pPr>
      <w:r>
        <w:rPr>
          <w:b/>
          <w:bCs/>
        </w:rPr>
        <w:t xml:space="preserve">Relevance for India:</w:t>
      </w:r>
      <w:r>
        <w:t xml:space="preserve"> </w:t>
      </w:r>
      <w:r>
        <w:t xml:space="preserve">- China’s</w:t>
      </w:r>
      <w:r>
        <w:t xml:space="preserve"> </w:t>
      </w:r>
      <w:r>
        <w:t xml:space="preserve">“Class III Grade A”</w:t>
      </w:r>
      <w:r>
        <w:t xml:space="preserve"> </w:t>
      </w:r>
      <w:r>
        <w:t xml:space="preserve">hospital threshold is conceptually similar to India’s</w:t>
      </w:r>
      <w:r>
        <w:t xml:space="preserve"> </w:t>
      </w:r>
      <w:r>
        <w:rPr>
          <w:b/>
          <w:bCs/>
        </w:rPr>
        <w:t xml:space="preserve">AIIMS/major government medical college</w:t>
      </w:r>
      <w:r>
        <w:t xml:space="preserve"> </w:t>
      </w:r>
      <w:r>
        <w:t xml:space="preserve">tier</w:t>
      </w:r>
      <w:r>
        <w:t xml:space="preserve"> </w:t>
      </w:r>
      <w:r>
        <w:t xml:space="preserve">- The MLPS</w:t>
      </w:r>
      <w:r>
        <w:t xml:space="preserve"> </w:t>
      </w:r>
      <w:r>
        <w:rPr>
          <w:b/>
          <w:bCs/>
        </w:rPr>
        <w:t xml:space="preserve">annual evaluation requirement</w:t>
      </w:r>
      <w:r>
        <w:t xml:space="preserve"> </w:t>
      </w:r>
      <w:r>
        <w:t xml:space="preserve">for Level 3+ systems could inform India’s audit approach</w:t>
      </w:r>
      <w:r>
        <w:t xml:space="preserve"> </w:t>
      </w:r>
      <w:r>
        <w:t xml:space="preserve">- Focus on</w:t>
      </w:r>
      <w:r>
        <w:t xml:space="preserve"> </w:t>
      </w:r>
      <w:r>
        <w:rPr>
          <w:b/>
          <w:bCs/>
        </w:rPr>
        <w:t xml:space="preserve">public health surveillance systems</w:t>
      </w:r>
      <w:r>
        <w:t xml:space="preserve"> </w:t>
      </w:r>
      <w:r>
        <w:t xml:space="preserve">as automatic high-tier matches India’s IHIP context</w:t>
      </w:r>
    </w:p>
    <w:p>
      <w:r>
        <w:pict>
          <v:rect style="width:0;height:1.5pt" o:hralign="center" o:hrstd="t" o:hr="t"/>
        </w:pict>
      </w:r>
    </w:p>
    <w:bookmarkEnd w:id="395"/>
    <w:bookmarkStart w:id="396" w:name="b.-thailand-public-health-as-cii-sector"/>
    <w:p>
      <w:pPr>
        <w:pStyle w:val="Heading4"/>
      </w:pPr>
      <w:r>
        <w:t xml:space="preserve">B. Thailand: Public Health as CII Sector</w:t>
      </w:r>
    </w:p>
    <w:p>
      <w:pPr>
        <w:pStyle w:val="FirstParagraph"/>
      </w:pPr>
      <w:r>
        <w:rPr>
          <w:b/>
          <w:bCs/>
        </w:rPr>
        <w:t xml:space="preserve">Key Features:</w:t>
      </w:r>
      <w:r>
        <w:t xml:space="preserve"> </w:t>
      </w:r>
      <w:r>
        <w:t xml:space="preserve">-</w:t>
      </w:r>
      <w:r>
        <w:t xml:space="preserve"> </w:t>
      </w:r>
      <w:r>
        <w:rPr>
          <w:b/>
          <w:bCs/>
        </w:rPr>
        <w:t xml:space="preserve">Cybersecurity Act B.E. 2562 (2019)</w:t>
      </w:r>
      <w:r>
        <w:t xml:space="preserve"> </w:t>
      </w:r>
      <w:r>
        <w:t xml:space="preserve">explicitly includes</w:t>
      </w:r>
      <w:r>
        <w:t xml:space="preserve"> </w:t>
      </w:r>
      <w:r>
        <w:rPr>
          <w:b/>
          <w:bCs/>
        </w:rPr>
        <w:t xml:space="preserve">“Public Health”</w:t>
      </w:r>
      <w:r>
        <w:t xml:space="preserve"> </w:t>
      </w:r>
      <w:r>
        <w:t xml:space="preserve">as a CII sector (Section 49)</w:t>
      </w:r>
      <w:r>
        <w:t xml:space="preserve"> </w:t>
      </w:r>
      <w:r>
        <w:t xml:space="preserve">-</w:t>
      </w:r>
      <w:r>
        <w:t xml:space="preserve"> </w:t>
      </w:r>
      <w:r>
        <w:rPr>
          <w:b/>
          <w:bCs/>
        </w:rPr>
        <w:t xml:space="preserve">Committee-based designation</w:t>
      </w:r>
      <w:r>
        <w:t xml:space="preserve"> </w:t>
      </w:r>
      <w:r>
        <w:t xml:space="preserve">(case-by-case review by NCSC Committee)</w:t>
      </w:r>
      <w:r>
        <w:t xml:space="preserve"> </w:t>
      </w:r>
      <w:r>
        <w:t xml:space="preserve">-</w:t>
      </w:r>
      <w:r>
        <w:t xml:space="preserve"> </w:t>
      </w:r>
      <w:r>
        <w:rPr>
          <w:b/>
          <w:bCs/>
        </w:rPr>
        <w:t xml:space="preserve">Three cyber threat levels</w:t>
      </w:r>
      <w:r>
        <w:t xml:space="preserve"> </w:t>
      </w:r>
      <w:r>
        <w:t xml:space="preserve">(non-critical / critical / crisis) with</w:t>
      </w:r>
      <w:r>
        <w:t xml:space="preserve"> </w:t>
      </w:r>
      <w:r>
        <w:t xml:space="preserve">“public health”</w:t>
      </w:r>
      <w:r>
        <w:t xml:space="preserve"> </w:t>
      </w:r>
      <w:r>
        <w:t xml:space="preserve">explicitly referenced in</w:t>
      </w:r>
      <w:r>
        <w:t xml:space="preserve"> </w:t>
      </w:r>
      <w:r>
        <w:t xml:space="preserve">“critical level”</w:t>
      </w:r>
      <w:r>
        <w:t xml:space="preserve"> </w:t>
      </w:r>
      <w:r>
        <w:t xml:space="preserve">definition</w:t>
      </w:r>
      <w:r>
        <w:t xml:space="preserve"> </w:t>
      </w:r>
      <w:r>
        <w:t xml:space="preserve">-</w:t>
      </w:r>
      <w:r>
        <w:t xml:space="preserve"> </w:t>
      </w:r>
      <w:r>
        <w:rPr>
          <w:b/>
          <w:bCs/>
        </w:rPr>
        <w:t xml:space="preserve">September 2025 CII List Revision</w:t>
      </w:r>
      <w:r>
        <w:t xml:space="preserve"> </w:t>
      </w:r>
      <w:r>
        <w:t xml:space="preserve">updated health sector designations</w:t>
      </w:r>
    </w:p>
    <w:p>
      <w:pPr>
        <w:pStyle w:val="BodyText"/>
      </w:pPr>
      <w:r>
        <w:rPr>
          <w:b/>
          <w:bCs/>
        </w:rPr>
        <w:t xml:space="preserve">Designation Mechanism:</w:t>
      </w:r>
    </w:p>
    <w:tbl>
      <w:tblPr>
        <w:tblStyle w:val="Table"/>
        <w:tblW w:type="pct" w:w="5000"/>
        <w:tblLayout w:type="fixed"/>
        <w:tblLook w:firstRow="1" w:lastRow="0" w:firstColumn="0" w:lastColumn="0" w:noHBand="0" w:noVBand="0" w:val="0020"/>
      </w:tblPr>
      <w:tblGrid>
        <w:gridCol w:w="1657"/>
        <w:gridCol w:w="3499"/>
        <w:gridCol w:w="2762"/>
      </w:tblGrid>
      <w:tr>
        <w:trPr>
          <w:tblHeader w:val="on"/>
        </w:trPr>
        <w:tc>
          <w:tcPr/>
          <w:p>
            <w:pPr>
              <w:pStyle w:val="Compact"/>
              <w:jc w:val="left"/>
            </w:pPr>
            <w:r>
              <w:t xml:space="preserve">Element</w:t>
            </w:r>
          </w:p>
        </w:tc>
        <w:tc>
          <w:tcPr/>
          <w:p>
            <w:pPr>
              <w:pStyle w:val="Compact"/>
              <w:jc w:val="left"/>
            </w:pPr>
            <w:r>
              <w:t xml:space="preserve">Thailand Approach</w:t>
            </w:r>
          </w:p>
        </w:tc>
        <w:tc>
          <w:tcPr/>
          <w:p>
            <w:pPr>
              <w:pStyle w:val="Compact"/>
              <w:jc w:val="left"/>
            </w:pPr>
            <w:r>
              <w:t xml:space="preserve">Applicability</w:t>
            </w:r>
          </w:p>
        </w:tc>
      </w:tr>
      <w:tr>
        <w:tc>
          <w:tcPr/>
          <w:p>
            <w:pPr>
              <w:pStyle w:val="Compact"/>
              <w:jc w:val="left"/>
            </w:pPr>
            <w:r>
              <w:rPr>
                <w:b/>
                <w:bCs/>
              </w:rPr>
              <w:t xml:space="preserve">Sector trigger</w:t>
            </w:r>
          </w:p>
        </w:tc>
        <w:tc>
          <w:tcPr/>
          <w:p>
            <w:pPr>
              <w:pStyle w:val="Compact"/>
              <w:jc w:val="left"/>
            </w:pPr>
            <w:r>
              <w:t xml:space="preserve">“Public health”</w:t>
            </w:r>
            <w:r>
              <w:t xml:space="preserve"> </w:t>
            </w:r>
            <w:r>
              <w:t xml:space="preserve">listed in Section 49 aspects</w:t>
            </w:r>
          </w:p>
        </w:tc>
        <w:tc>
          <w:tcPr/>
          <w:p>
            <w:pPr>
              <w:pStyle w:val="Compact"/>
              <w:jc w:val="left"/>
            </w:pPr>
            <w:r>
              <w:t xml:space="preserve">Qualitative, broad</w:t>
            </w:r>
          </w:p>
        </w:tc>
      </w:tr>
      <w:tr>
        <w:tc>
          <w:tcPr/>
          <w:p>
            <w:pPr>
              <w:pStyle w:val="Compact"/>
              <w:jc w:val="left"/>
            </w:pPr>
            <w:r>
              <w:rPr>
                <w:b/>
                <w:bCs/>
              </w:rPr>
              <w:t xml:space="preserve">Designation process</w:t>
            </w:r>
          </w:p>
        </w:tc>
        <w:tc>
          <w:tcPr/>
          <w:p>
            <w:pPr>
              <w:pStyle w:val="Compact"/>
              <w:jc w:val="left"/>
            </w:pPr>
            <w:r>
              <w:t xml:space="preserve">Committee notification → case-by-case review → Government Gazette publication</w:t>
            </w:r>
          </w:p>
        </w:tc>
        <w:tc>
          <w:tcPr/>
          <w:p>
            <w:pPr>
              <w:pStyle w:val="Compact"/>
              <w:jc w:val="left"/>
            </w:pPr>
            <w:r>
              <w:t xml:space="preserve">Administrative discretion</w:t>
            </w:r>
          </w:p>
        </w:tc>
      </w:tr>
      <w:tr>
        <w:tc>
          <w:tcPr/>
          <w:p>
            <w:pPr>
              <w:pStyle w:val="Compact"/>
              <w:jc w:val="left"/>
            </w:pPr>
            <w:r>
              <w:rPr>
                <w:b/>
                <w:bCs/>
              </w:rPr>
              <w:t xml:space="preserve">No numeric thresholds</w:t>
            </w:r>
          </w:p>
        </w:tc>
        <w:tc>
          <w:tcPr/>
          <w:p>
            <w:pPr>
              <w:pStyle w:val="Compact"/>
              <w:jc w:val="left"/>
            </w:pPr>
            <w:r>
              <w:t xml:space="preserve">Qualitative (</w:t>
            </w:r>
            <w:r>
              <w:t xml:space="preserve">“maintaining national security, public security, national economic security”</w:t>
            </w:r>
            <w:r>
              <w:t xml:space="preserve">)</w:t>
            </w:r>
          </w:p>
        </w:tc>
        <w:tc>
          <w:tcPr/>
          <w:p>
            <w:pPr>
              <w:pStyle w:val="Compact"/>
              <w:jc w:val="left"/>
            </w:pPr>
            <w:r>
              <w:t xml:space="preserve">Flexible for diverse health system</w:t>
            </w:r>
          </w:p>
        </w:tc>
      </w:tr>
      <w:tr>
        <w:tc>
          <w:tcPr/>
          <w:p>
            <w:pPr>
              <w:pStyle w:val="Compact"/>
              <w:jc w:val="left"/>
            </w:pPr>
            <w:r>
              <w:rPr>
                <w:b/>
                <w:bCs/>
              </w:rPr>
              <w:t xml:space="preserve">Annual assessment</w:t>
            </w:r>
          </w:p>
        </w:tc>
        <w:tc>
          <w:tcPr/>
          <w:p>
            <w:pPr>
              <w:pStyle w:val="Compact"/>
              <w:jc w:val="left"/>
            </w:pPr>
            <w:r>
              <w:t xml:space="preserve">Risk assessment + examination at least once per year</w:t>
            </w:r>
          </w:p>
        </w:tc>
        <w:tc>
          <w:tcPr/>
          <w:p>
            <w:pPr>
              <w:pStyle w:val="Compact"/>
              <w:jc w:val="left"/>
            </w:pPr>
            <w:r>
              <w:t xml:space="preserve">Realistic for developing context</w:t>
            </w:r>
          </w:p>
        </w:tc>
      </w:tr>
      <w:tr>
        <w:tc>
          <w:tcPr/>
          <w:p>
            <w:pPr>
              <w:pStyle w:val="Compact"/>
              <w:jc w:val="left"/>
            </w:pPr>
            <w:r>
              <w:rPr>
                <w:b/>
                <w:bCs/>
              </w:rPr>
              <w:t xml:space="preserve">Penalty</w:t>
            </w:r>
          </w:p>
        </w:tc>
        <w:tc>
          <w:tcPr/>
          <w:p>
            <w:pPr>
              <w:pStyle w:val="Compact"/>
              <w:jc w:val="left"/>
            </w:pPr>
            <w:r>
              <w:t xml:space="preserve">฿200,000 fine for non-reporting (modest by global standards)</w:t>
            </w:r>
          </w:p>
        </w:tc>
        <w:tc>
          <w:tcPr/>
          <w:p>
            <w:pPr>
              <w:pStyle w:val="Compact"/>
              <w:jc w:val="left"/>
            </w:pPr>
            <w:r>
              <w:t xml:space="preserve">Proportionate</w:t>
            </w:r>
          </w:p>
        </w:tc>
      </w:tr>
    </w:tbl>
    <w:p>
      <w:pPr>
        <w:pStyle w:val="BodyText"/>
      </w:pPr>
      <w:r>
        <w:rPr>
          <w:b/>
          <w:bCs/>
        </w:rPr>
        <w:t xml:space="preserve">Relevance for India:</w:t>
      </w:r>
      <w:r>
        <w:t xml:space="preserve"> </w:t>
      </w:r>
      <w:r>
        <w:t xml:space="preserve">- Thailand’s</w:t>
      </w:r>
      <w:r>
        <w:t xml:space="preserve"> </w:t>
      </w:r>
      <w:r>
        <w:rPr>
          <w:b/>
          <w:bCs/>
        </w:rPr>
        <w:t xml:space="preserve">qualitative designation</w:t>
      </w:r>
      <w:r>
        <w:t xml:space="preserve"> </w:t>
      </w:r>
      <w:r>
        <w:t xml:space="preserve">with committee discretion suits contexts where quantitative data is unreliable</w:t>
      </w:r>
      <w:r>
        <w:t xml:space="preserve"> </w:t>
      </w:r>
      <w:r>
        <w:t xml:space="preserve">-</w:t>
      </w:r>
      <w:r>
        <w:t xml:space="preserve"> </w:t>
      </w:r>
      <w:r>
        <w:rPr>
          <w:b/>
          <w:bCs/>
        </w:rPr>
        <w:t xml:space="preserve">Annual assessment</w:t>
      </w:r>
      <w:r>
        <w:t xml:space="preserve"> </w:t>
      </w:r>
      <w:r>
        <w:t xml:space="preserve">(not biennial) is achievable for high-tier facilities</w:t>
      </w:r>
      <w:r>
        <w:t xml:space="preserve"> </w:t>
      </w:r>
      <w:r>
        <w:t xml:space="preserve">-</w:t>
      </w:r>
      <w:r>
        <w:t xml:space="preserve"> </w:t>
      </w:r>
      <w:r>
        <w:rPr>
          <w:b/>
          <w:bCs/>
        </w:rPr>
        <w:t xml:space="preserve">Modest penalties</w:t>
      </w:r>
      <w:r>
        <w:t xml:space="preserve"> </w:t>
      </w:r>
      <w:r>
        <w:t xml:space="preserve">more appropriate than EU-style €10M fines for public-sector hospitals</w:t>
      </w:r>
    </w:p>
    <w:p>
      <w:r>
        <w:pict>
          <v:rect style="width:0;height:1.5pt" o:hralign="center" o:hrstd="t" o:hr="t"/>
        </w:pict>
      </w:r>
    </w:p>
    <w:bookmarkEnd w:id="396"/>
    <w:bookmarkStart w:id="397" w:name="Xdffc5a27a5f39bcb8d9c2a7ca2deb060d851e31"/>
    <w:p>
      <w:pPr>
        <w:pStyle w:val="Heading4"/>
      </w:pPr>
      <w:r>
        <w:t xml:space="preserve">C. Malaysia: National Critical Information Infrastructure (NCII)</w:t>
      </w:r>
    </w:p>
    <w:p>
      <w:pPr>
        <w:pStyle w:val="FirstParagraph"/>
      </w:pPr>
      <w:r>
        <w:rPr>
          <w:b/>
          <w:bCs/>
        </w:rPr>
        <w:t xml:space="preserve">Key Features:</w:t>
      </w:r>
      <w:r>
        <w:t xml:space="preserve"> </w:t>
      </w:r>
      <w:r>
        <w:t xml:space="preserve">-</w:t>
      </w:r>
      <w:r>
        <w:t xml:space="preserve"> </w:t>
      </w:r>
      <w:r>
        <w:rPr>
          <w:b/>
          <w:bCs/>
        </w:rPr>
        <w:t xml:space="preserve">NACSA (National Cyber Security Agency)</w:t>
      </w:r>
      <w:r>
        <w:t xml:space="preserve"> </w:t>
      </w:r>
      <w:r>
        <w:t xml:space="preserve">lists</w:t>
      </w:r>
      <w:r>
        <w:t xml:space="preserve"> </w:t>
      </w:r>
      <w:r>
        <w:rPr>
          <w:b/>
          <w:bCs/>
        </w:rPr>
        <w:t xml:space="preserve">“Healthcare Services”</w:t>
      </w:r>
      <w:r>
        <w:t xml:space="preserve"> </w:t>
      </w:r>
      <w:r>
        <w:t xml:space="preserve">as an NCII sector</w:t>
      </w:r>
      <w:r>
        <w:t xml:space="preserve"> </w:t>
      </w:r>
      <w:r>
        <w:t xml:space="preserve">-</w:t>
      </w:r>
      <w:r>
        <w:t xml:space="preserve"> </w:t>
      </w:r>
      <w:r>
        <w:rPr>
          <w:b/>
          <w:bCs/>
        </w:rPr>
        <w:t xml:space="preserve">Sector-based approach</w:t>
      </w:r>
      <w:r>
        <w:t xml:space="preserve"> </w:t>
      </w:r>
      <w:r>
        <w:t xml:space="preserve">with sector leads responsible for designation</w:t>
      </w:r>
      <w:r>
        <w:t xml:space="preserve"> </w:t>
      </w:r>
      <w:r>
        <w:t xml:space="preserve">- Part of broader</w:t>
      </w:r>
      <w:r>
        <w:t xml:space="preserve"> </w:t>
      </w:r>
      <w:r>
        <w:rPr>
          <w:b/>
          <w:bCs/>
        </w:rPr>
        <w:t xml:space="preserve">11-sector NCII framework</w:t>
      </w:r>
    </w:p>
    <w:p>
      <w:pPr>
        <w:pStyle w:val="BodyText"/>
      </w:pPr>
      <w:r>
        <w:rPr>
          <w:b/>
          <w:bCs/>
        </w:rPr>
        <w:t xml:space="preserve">Model Elements: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Malaysia Approach</w:t>
            </w:r>
          </w:p>
        </w:tc>
      </w:tr>
      <w:tr>
        <w:tc>
          <w:tcPr/>
          <w:p>
            <w:pPr>
              <w:pStyle w:val="Compact"/>
              <w:jc w:val="left"/>
            </w:pPr>
            <w:r>
              <w:rPr>
                <w:b/>
                <w:bCs/>
              </w:rPr>
              <w:t xml:space="preserve">Governing body</w:t>
            </w:r>
          </w:p>
        </w:tc>
        <w:tc>
          <w:tcPr/>
          <w:p>
            <w:pPr>
              <w:pStyle w:val="Compact"/>
              <w:jc w:val="left"/>
            </w:pPr>
            <w:r>
              <w:t xml:space="preserve">NACSA (centralized coordination)</w:t>
            </w:r>
          </w:p>
        </w:tc>
      </w:tr>
      <w:tr>
        <w:tc>
          <w:tcPr/>
          <w:p>
            <w:pPr>
              <w:pStyle w:val="Compact"/>
              <w:jc w:val="left"/>
            </w:pPr>
            <w:r>
              <w:rPr>
                <w:b/>
                <w:bCs/>
              </w:rPr>
              <w:t xml:space="preserve">Sector implementation</w:t>
            </w:r>
          </w:p>
        </w:tc>
        <w:tc>
          <w:tcPr/>
          <w:p>
            <w:pPr>
              <w:pStyle w:val="Compact"/>
              <w:jc w:val="left"/>
            </w:pPr>
            <w:r>
              <w:t xml:space="preserve">Ministry of Health as sector lead</w:t>
            </w:r>
          </w:p>
        </w:tc>
      </w:tr>
      <w:tr>
        <w:tc>
          <w:tcPr/>
          <w:p>
            <w:pPr>
              <w:pStyle w:val="Compact"/>
              <w:jc w:val="left"/>
            </w:pPr>
            <w:r>
              <w:rPr>
                <w:b/>
                <w:bCs/>
              </w:rPr>
              <w:t xml:space="preserve">Scope</w:t>
            </w:r>
          </w:p>
        </w:tc>
        <w:tc>
          <w:tcPr/>
          <w:p>
            <w:pPr>
              <w:pStyle w:val="Compact"/>
              <w:jc w:val="left"/>
            </w:pPr>
            <w:r>
              <w:t xml:space="preserve">Hospitals, clinics, public health agencies</w:t>
            </w:r>
          </w:p>
        </w:tc>
      </w:tr>
      <w:tr>
        <w:tc>
          <w:tcPr/>
          <w:p>
            <w:pPr>
              <w:pStyle w:val="Compact"/>
              <w:jc w:val="left"/>
            </w:pPr>
            <w:r>
              <w:rPr>
                <w:b/>
                <w:bCs/>
              </w:rPr>
              <w:t xml:space="preserve">Reporting</w:t>
            </w:r>
          </w:p>
        </w:tc>
        <w:tc>
          <w:tcPr/>
          <w:p>
            <w:pPr>
              <w:pStyle w:val="Compact"/>
              <w:jc w:val="left"/>
            </w:pPr>
            <w:r>
              <w:t xml:space="preserve">Incident reporting to sector regulator → NACSA</w:t>
            </w:r>
          </w:p>
        </w:tc>
      </w:tr>
    </w:tbl>
    <w:p>
      <w:pPr>
        <w:pStyle w:val="BodyText"/>
      </w:pPr>
      <w:r>
        <w:rPr>
          <w:b/>
          <w:bCs/>
        </w:rPr>
        <w:t xml:space="preserve">Relevance for India:</w:t>
      </w:r>
      <w:r>
        <w:t xml:space="preserve"> </w:t>
      </w:r>
      <w:r>
        <w:t xml:space="preserve">- Malaysia’s</w:t>
      </w:r>
      <w:r>
        <w:t xml:space="preserve"> </w:t>
      </w:r>
      <w:r>
        <w:rPr>
          <w:b/>
          <w:bCs/>
        </w:rPr>
        <w:t xml:space="preserve">sector lead model</w:t>
      </w:r>
      <w:r>
        <w:t xml:space="preserve"> </w:t>
      </w:r>
      <w:r>
        <w:t xml:space="preserve">(health ministry coordination with central cyber agency) aligns with India’s potential MoHFW + CERT-In + NCIIPC structure</w:t>
      </w:r>
      <w:r>
        <w:t xml:space="preserve"> </w:t>
      </w:r>
      <w:r>
        <w:t xml:space="preserve">- NACSA’s role as</w:t>
      </w:r>
      <w:r>
        <w:t xml:space="preserve"> </w:t>
      </w:r>
      <w:r>
        <w:rPr>
          <w:b/>
          <w:bCs/>
        </w:rPr>
        <w:t xml:space="preserve">coordinating body</w:t>
      </w:r>
      <w:r>
        <w:t xml:space="preserve"> </w:t>
      </w:r>
      <w:r>
        <w:t xml:space="preserve">(not sole designator) mirrors India’s federated model with state health departments</w:t>
      </w:r>
    </w:p>
    <w:p>
      <w:r>
        <w:pict>
          <v:rect style="width:0;height:1.5pt" o:hralign="center" o:hrstd="t" o:hr="t"/>
        </w:pict>
      </w:r>
    </w:p>
    <w:bookmarkEnd w:id="397"/>
    <w:bookmarkStart w:id="398" w:name="X3aded44e60f420282a16e438d5489f6c9592f40"/>
    <w:p>
      <w:pPr>
        <w:pStyle w:val="Heading4"/>
      </w:pPr>
      <w:r>
        <w:t xml:space="preserve">D. Indonesia: Vital Information Infrastructure (Perpres 82/2022)</w:t>
      </w:r>
    </w:p>
    <w:p>
      <w:pPr>
        <w:pStyle w:val="FirstParagraph"/>
      </w:pPr>
      <w:r>
        <w:rPr>
          <w:b/>
          <w:bCs/>
        </w:rPr>
        <w:t xml:space="preserve">Key Features:</w:t>
      </w:r>
      <w:r>
        <w:t xml:space="preserve"> </w:t>
      </w:r>
      <w:r>
        <w:t xml:space="preserve">-</w:t>
      </w:r>
      <w:r>
        <w:t xml:space="preserve"> </w:t>
      </w:r>
      <w:r>
        <w:rPr>
          <w:b/>
          <w:bCs/>
        </w:rPr>
        <w:t xml:space="preserve">Presidential Regulation 82/2022</w:t>
      </w:r>
      <w:r>
        <w:t xml:space="preserve"> </w:t>
      </w:r>
      <w:r>
        <w:t xml:space="preserve">establishes Vital Information Infrastructure protection</w:t>
      </w:r>
      <w:r>
        <w:t xml:space="preserve"> </w:t>
      </w:r>
      <w:r>
        <w:t xml:space="preserve">-</w:t>
      </w:r>
      <w:r>
        <w:t xml:space="preserve"> </w:t>
      </w:r>
      <w:r>
        <w:rPr>
          <w:b/>
          <w:bCs/>
        </w:rPr>
        <w:t xml:space="preserve">“Sektor Kesehatan”</w:t>
      </w:r>
      <w:r>
        <w:rPr>
          <w:b/>
          <w:bCs/>
        </w:rPr>
        <w:t xml:space="preserve"> </w:t>
      </w:r>
      <w:r>
        <w:rPr>
          <w:b/>
          <w:bCs/>
        </w:rPr>
        <w:t xml:space="preserve">(Health Sector)</w:t>
      </w:r>
      <w:r>
        <w:t xml:space="preserve"> </w:t>
      </w:r>
      <w:r>
        <w:t xml:space="preserve">explicitly listed as strategic sector</w:t>
      </w:r>
      <w:r>
        <w:t xml:space="preserve"> </w:t>
      </w:r>
      <w:r>
        <w:t xml:space="preserve">-</w:t>
      </w:r>
      <w:r>
        <w:t xml:space="preserve"> </w:t>
      </w:r>
      <w:r>
        <w:rPr>
          <w:b/>
          <w:bCs/>
        </w:rPr>
        <w:t xml:space="preserve">BSSN (National Cyber and Crypto Agency)</w:t>
      </w:r>
      <w:r>
        <w:t xml:space="preserve"> </w:t>
      </w:r>
      <w:r>
        <w:t xml:space="preserve">as coordinating regulator</w:t>
      </w:r>
    </w:p>
    <w:p>
      <w:pPr>
        <w:pStyle w:val="BodyText"/>
      </w:pPr>
      <w:r>
        <w:rPr>
          <w:b/>
          <w:bCs/>
        </w:rPr>
        <w:t xml:space="preserve">Framework Structure:</w:t>
      </w:r>
    </w:p>
    <w:tbl>
      <w:tblPr>
        <w:tblStyle w:val="Table"/>
        <w:tblW w:type="pct" w:w="5000"/>
        <w:tblLayout w:type="fixed"/>
        <w:tblLook w:firstRow="1" w:lastRow="0" w:firstColumn="0" w:lastColumn="0" w:noHBand="0" w:noVBand="0" w:val="0020"/>
      </w:tblPr>
      <w:tblGrid>
        <w:gridCol w:w="2545"/>
        <w:gridCol w:w="5374"/>
      </w:tblGrid>
      <w:tr>
        <w:trPr>
          <w:tblHeader w:val="on"/>
        </w:trPr>
        <w:tc>
          <w:tcPr/>
          <w:p>
            <w:pPr>
              <w:pStyle w:val="Compact"/>
              <w:jc w:val="left"/>
            </w:pPr>
            <w:r>
              <w:t xml:space="preserve">Element</w:t>
            </w:r>
          </w:p>
        </w:tc>
        <w:tc>
          <w:tcPr/>
          <w:p>
            <w:pPr>
              <w:pStyle w:val="Compact"/>
              <w:jc w:val="left"/>
            </w:pPr>
            <w:r>
              <w:t xml:space="preserve">Indonesia Approach</w:t>
            </w:r>
          </w:p>
        </w:tc>
      </w:tr>
      <w:tr>
        <w:tc>
          <w:tcPr/>
          <w:p>
            <w:pPr>
              <w:pStyle w:val="Compact"/>
              <w:jc w:val="left"/>
            </w:pPr>
            <w:r>
              <w:rPr>
                <w:b/>
                <w:bCs/>
              </w:rPr>
              <w:t xml:space="preserve">Legal basis</w:t>
            </w:r>
          </w:p>
        </w:tc>
        <w:tc>
          <w:tcPr/>
          <w:p>
            <w:pPr>
              <w:pStyle w:val="Compact"/>
              <w:jc w:val="left"/>
            </w:pPr>
            <w:r>
              <w:t xml:space="preserve">Presidential Regulation (Perpres) — fast executive action</w:t>
            </w:r>
          </w:p>
        </w:tc>
      </w:tr>
      <w:tr>
        <w:tc>
          <w:tcPr/>
          <w:p>
            <w:pPr>
              <w:pStyle w:val="Compact"/>
              <w:jc w:val="left"/>
            </w:pPr>
            <w:r>
              <w:rPr>
                <w:b/>
                <w:bCs/>
              </w:rPr>
              <w:t xml:space="preserve">Sector classification</w:t>
            </w:r>
          </w:p>
        </w:tc>
        <w:tc>
          <w:tcPr/>
          <w:p>
            <w:pPr>
              <w:pStyle w:val="Compact"/>
              <w:jc w:val="left"/>
            </w:pPr>
            <w:r>
              <w:t xml:space="preserve">Health listed among strategic sectors</w:t>
            </w:r>
          </w:p>
        </w:tc>
      </w:tr>
      <w:tr>
        <w:tc>
          <w:tcPr/>
          <w:p>
            <w:pPr>
              <w:pStyle w:val="Compact"/>
              <w:jc w:val="left"/>
            </w:pPr>
            <w:r>
              <w:rPr>
                <w:b/>
                <w:bCs/>
              </w:rPr>
              <w:t xml:space="preserve">Designation authority</w:t>
            </w:r>
          </w:p>
        </w:tc>
        <w:tc>
          <w:tcPr/>
          <w:p>
            <w:pPr>
              <w:pStyle w:val="Compact"/>
              <w:jc w:val="left"/>
            </w:pPr>
            <w:r>
              <w:t xml:space="preserve">Sector ministry with BSSN coordination</w:t>
            </w:r>
          </w:p>
        </w:tc>
      </w:tr>
      <w:tr>
        <w:tc>
          <w:tcPr/>
          <w:p>
            <w:pPr>
              <w:pStyle w:val="Compact"/>
              <w:jc w:val="left"/>
            </w:pPr>
            <w:r>
              <w:rPr>
                <w:b/>
                <w:bCs/>
              </w:rPr>
              <w:t xml:space="preserve">Implementation</w:t>
            </w:r>
          </w:p>
        </w:tc>
        <w:tc>
          <w:tcPr/>
          <w:p>
            <w:pPr>
              <w:pStyle w:val="Compact"/>
              <w:jc w:val="left"/>
            </w:pPr>
            <w:r>
              <w:t xml:space="preserve">Still developing detailed health-sector guidelines</w:t>
            </w:r>
          </w:p>
        </w:tc>
      </w:tr>
    </w:tbl>
    <w:p>
      <w:pPr>
        <w:pStyle w:val="BodyText"/>
      </w:pPr>
      <w:r>
        <w:rPr>
          <w:b/>
          <w:bCs/>
        </w:rPr>
        <w:t xml:space="preserve">Relevance for India:</w:t>
      </w:r>
      <w:r>
        <w:t xml:space="preserve"> </w:t>
      </w:r>
      <w:r>
        <w:t xml:space="preserve">- Indonesia’s use of</w:t>
      </w:r>
      <w:r>
        <w:t xml:space="preserve"> </w:t>
      </w:r>
      <w:r>
        <w:rPr>
          <w:b/>
          <w:bCs/>
        </w:rPr>
        <w:t xml:space="preserve">executive regulation</w:t>
      </w:r>
      <w:r>
        <w:t xml:space="preserve"> </w:t>
      </w:r>
      <w:r>
        <w:t xml:space="preserve">(Perpres) rather than primary legislation enables faster implementation</w:t>
      </w:r>
      <w:r>
        <w:t xml:space="preserve"> </w:t>
      </w:r>
      <w:r>
        <w:t xml:space="preserve">- Could inform India’s approach via</w:t>
      </w:r>
      <w:r>
        <w:t xml:space="preserve"> </w:t>
      </w:r>
      <w:r>
        <w:rPr>
          <w:b/>
          <w:bCs/>
        </w:rPr>
        <w:t xml:space="preserve">IT Act rules</w:t>
      </w:r>
      <w:r>
        <w:t xml:space="preserve"> </w:t>
      </w:r>
      <w:r>
        <w:t xml:space="preserve">or</w:t>
      </w:r>
      <w:r>
        <w:t xml:space="preserve"> </w:t>
      </w:r>
      <w:r>
        <w:rPr>
          <w:b/>
          <w:bCs/>
        </w:rPr>
        <w:t xml:space="preserve">DPDP Act rules</w:t>
      </w:r>
      <w:r>
        <w:t xml:space="preserve"> </w:t>
      </w:r>
      <w:r>
        <w:t xml:space="preserve">rather than new legislation</w:t>
      </w:r>
      <w:r>
        <w:t xml:space="preserve"> </w:t>
      </w:r>
      <w:r>
        <w:t xml:space="preserve">- Both countries share</w:t>
      </w:r>
      <w:r>
        <w:t xml:space="preserve"> </w:t>
      </w:r>
      <w:r>
        <w:rPr>
          <w:b/>
          <w:bCs/>
        </w:rPr>
        <w:t xml:space="preserve">archipelago/large-geography</w:t>
      </w:r>
      <w:r>
        <w:t xml:space="preserve"> </w:t>
      </w:r>
      <w:r>
        <w:t xml:space="preserve">challenges requiring offline-first system considerations</w:t>
      </w:r>
    </w:p>
    <w:p>
      <w:r>
        <w:pict>
          <v:rect style="width:0;height:1.5pt" o:hralign="center" o:hrstd="t" o:hr="t"/>
        </w:pict>
      </w:r>
    </w:p>
    <w:bookmarkEnd w:id="398"/>
    <w:bookmarkStart w:id="399" w:name="e.-ghana-african-model-for-health-cii"/>
    <w:p>
      <w:pPr>
        <w:pStyle w:val="Heading4"/>
      </w:pPr>
      <w:r>
        <w:t xml:space="preserve">E. Ghana: African Model for Health CII</w:t>
      </w:r>
    </w:p>
    <w:p>
      <w:pPr>
        <w:pStyle w:val="FirstParagraph"/>
      </w:pPr>
      <w:r>
        <w:rPr>
          <w:b/>
          <w:bCs/>
        </w:rPr>
        <w:t xml:space="preserve">Key Features:</w:t>
      </w:r>
      <w:r>
        <w:t xml:space="preserve"> </w:t>
      </w:r>
      <w:r>
        <w:t xml:space="preserve">-</w:t>
      </w:r>
      <w:r>
        <w:t xml:space="preserve"> </w:t>
      </w:r>
      <w:r>
        <w:rPr>
          <w:b/>
          <w:bCs/>
        </w:rPr>
        <w:t xml:space="preserve">Cyber Security Authority (CSA) directive</w:t>
      </w:r>
      <w:r>
        <w:t xml:space="preserve"> </w:t>
      </w:r>
      <w:r>
        <w:t xml:space="preserve">explicitly lists</w:t>
      </w:r>
      <w:r>
        <w:t xml:space="preserve"> </w:t>
      </w:r>
      <w:r>
        <w:rPr>
          <w:b/>
          <w:bCs/>
        </w:rPr>
        <w:t xml:space="preserve">“Health”</w:t>
      </w:r>
      <w:r>
        <w:t xml:space="preserve"> </w:t>
      </w:r>
      <w:r>
        <w:t xml:space="preserve">as a CII sector</w:t>
      </w:r>
      <w:r>
        <w:t xml:space="preserve"> </w:t>
      </w:r>
      <w:r>
        <w:t xml:space="preserve">- Part of</w:t>
      </w:r>
      <w:r>
        <w:t xml:space="preserve"> </w:t>
      </w:r>
      <w:r>
        <w:rPr>
          <w:b/>
          <w:bCs/>
        </w:rPr>
        <w:t xml:space="preserve">national CII protection framework</w:t>
      </w:r>
      <w:r>
        <w:t xml:space="preserve"> </w:t>
      </w:r>
      <w:r>
        <w:t xml:space="preserve">under Cybersecurity Act 2020</w:t>
      </w:r>
      <w:r>
        <w:t xml:space="preserve"> </w:t>
      </w:r>
      <w:r>
        <w:t xml:space="preserve">- Relatively early adopter in Sub-Saharan Africa</w:t>
      </w:r>
    </w:p>
    <w:p>
      <w:pPr>
        <w:pStyle w:val="BodyText"/>
      </w:pPr>
      <w:r>
        <w:rPr>
          <w:b/>
          <w:bCs/>
        </w:rPr>
        <w:t xml:space="preserve">Relevance for India:</w:t>
      </w:r>
      <w:r>
        <w:t xml:space="preserve"> </w:t>
      </w:r>
      <w:r>
        <w:t xml:space="preserve">- Demonstrates that</w:t>
      </w:r>
      <w:r>
        <w:t xml:space="preserve"> </w:t>
      </w:r>
      <w:r>
        <w:rPr>
          <w:b/>
          <w:bCs/>
        </w:rPr>
        <w:t xml:space="preserve">even resource-limited contexts</w:t>
      </w:r>
      <w:r>
        <w:t xml:space="preserve"> </w:t>
      </w:r>
      <w:r>
        <w:t xml:space="preserve">can establish explicit health CII frameworks</w:t>
      </w:r>
      <w:r>
        <w:t xml:space="preserve"> </w:t>
      </w:r>
      <w:r>
        <w:t xml:space="preserve">- Ghana’s approach emphasizes</w:t>
      </w:r>
      <w:r>
        <w:t xml:space="preserve"> </w:t>
      </w:r>
      <w:r>
        <w:rPr>
          <w:b/>
          <w:bCs/>
        </w:rPr>
        <w:t xml:space="preserve">sector listing first, detailed thresholds later</w:t>
      </w:r>
      <w:r>
        <w:t xml:space="preserve"> </w:t>
      </w:r>
      <w:r>
        <w:t xml:space="preserve">— incremental model</w:t>
      </w:r>
    </w:p>
    <w:p>
      <w:r>
        <w:pict>
          <v:rect style="width:0;height:1.5pt" o:hralign="center" o:hrstd="t" o:hr="t"/>
        </w:pict>
      </w:r>
    </w:p>
    <w:bookmarkEnd w:id="399"/>
    <w:bookmarkStart w:id="400" w:name="X8b4a7f7b283cf613a7577aeca4ab1101c84b487"/>
    <w:p>
      <w:pPr>
        <w:pStyle w:val="Heading4"/>
      </w:pPr>
      <w:r>
        <w:t xml:space="preserve">F. Kazakhstan / Kyrgyz Republic: Central Asian Models</w:t>
      </w:r>
    </w:p>
    <w:p>
      <w:pPr>
        <w:pStyle w:val="FirstParagraph"/>
      </w:pPr>
      <w:r>
        <w:rPr>
          <w:b/>
          <w:bCs/>
        </w:rPr>
        <w:t xml:space="preserve">Key Features:</w:t>
      </w:r>
      <w:r>
        <w:t xml:space="preserve"> </w:t>
      </w:r>
      <w:r>
        <w:t xml:space="preserve">- Both jurisdictions</w:t>
      </w:r>
      <w:r>
        <w:t xml:space="preserve"> </w:t>
      </w:r>
      <w:r>
        <w:rPr>
          <w:b/>
          <w:bCs/>
        </w:rPr>
        <w:t xml:space="preserve">explicitly include</w:t>
      </w:r>
      <w:r>
        <w:rPr>
          <w:b/>
          <w:bCs/>
        </w:rPr>
        <w:t xml:space="preserve"> </w:t>
      </w:r>
      <w:r>
        <w:rPr>
          <w:b/>
          <w:bCs/>
        </w:rPr>
        <w:t xml:space="preserve">“healthcare”</w:t>
      </w:r>
      <w:r>
        <w:t xml:space="preserve"> </w:t>
      </w:r>
      <w:r>
        <w:t xml:space="preserve">in their CII/CIIC definitions</w:t>
      </w:r>
      <w:r>
        <w:t xml:space="preserve"> </w:t>
      </w:r>
      <w:r>
        <w:t xml:space="preserve">-</w:t>
      </w:r>
      <w:r>
        <w:t xml:space="preserve"> </w:t>
      </w:r>
      <w:r>
        <w:rPr>
          <w:b/>
          <w:bCs/>
        </w:rPr>
        <w:t xml:space="preserve">Legal text definitions</w:t>
      </w:r>
      <w:r>
        <w:t xml:space="preserve"> </w:t>
      </w:r>
      <w:r>
        <w:t xml:space="preserve">rather than detailed implementation guidance</w:t>
      </w:r>
      <w:r>
        <w:t xml:space="preserve"> </w:t>
      </w:r>
      <w:r>
        <w:t xml:space="preserve">- Reflects</w:t>
      </w:r>
      <w:r>
        <w:t xml:space="preserve"> </w:t>
      </w:r>
      <w:r>
        <w:rPr>
          <w:b/>
          <w:bCs/>
        </w:rPr>
        <w:t xml:space="preserve">post-Soviet legal tradition</w:t>
      </w:r>
      <w:r>
        <w:t xml:space="preserve"> </w:t>
      </w:r>
      <w:r>
        <w:t xml:space="preserve">of broad framework laws</w:t>
      </w:r>
    </w:p>
    <w:tbl>
      <w:tblPr>
        <w:tblStyle w:val="Table"/>
        <w:tblW w:type="pct" w:w="5000"/>
        <w:tblLayout w:type="fixed"/>
        <w:tblLook w:firstRow="1" w:lastRow="0" w:firstColumn="0" w:lastColumn="0" w:noHBand="0" w:noVBand="0" w:val="0020"/>
      </w:tblPr>
      <w:tblGrid>
        <w:gridCol w:w="2457"/>
        <w:gridCol w:w="3277"/>
        <w:gridCol w:w="2184"/>
      </w:tblGrid>
      <w:tr>
        <w:trPr>
          <w:tblHeader w:val="on"/>
        </w:trPr>
        <w:tc>
          <w:tcPr/>
          <w:p>
            <w:pPr>
              <w:pStyle w:val="Compact"/>
              <w:jc w:val="left"/>
            </w:pPr>
            <w:r>
              <w:t xml:space="preserve">Country</w:t>
            </w:r>
          </w:p>
        </w:tc>
        <w:tc>
          <w:tcPr/>
          <w:p>
            <w:pPr>
              <w:pStyle w:val="Compact"/>
              <w:jc w:val="left"/>
            </w:pPr>
            <w:r>
              <w:t xml:space="preserve">Definition</w:t>
            </w:r>
          </w:p>
        </w:tc>
        <w:tc>
          <w:tcPr/>
          <w:p>
            <w:pPr>
              <w:pStyle w:val="Compact"/>
              <w:jc w:val="left"/>
            </w:pPr>
            <w:r>
              <w:t xml:space="preserve">Source</w:t>
            </w:r>
          </w:p>
        </w:tc>
      </w:tr>
      <w:tr>
        <w:tc>
          <w:tcPr/>
          <w:p>
            <w:pPr>
              <w:pStyle w:val="Compact"/>
              <w:jc w:val="left"/>
            </w:pPr>
            <w:r>
              <w:rPr>
                <w:b/>
                <w:bCs/>
              </w:rPr>
              <w:t xml:space="preserve">Kazakhstan</w:t>
            </w:r>
          </w:p>
        </w:tc>
        <w:tc>
          <w:tcPr/>
          <w:p>
            <w:pPr>
              <w:pStyle w:val="Compact"/>
              <w:jc w:val="left"/>
            </w:pPr>
            <w:r>
              <w:t xml:space="preserve">“Critical information and communication infrastructure”</w:t>
            </w:r>
            <w:r>
              <w:t xml:space="preserve"> </w:t>
            </w:r>
            <w:r>
              <w:t xml:space="preserve">explicitly includes</w:t>
            </w:r>
            <w:r>
              <w:t xml:space="preserve"> </w:t>
            </w:r>
            <w:r>
              <w:rPr>
                <w:b/>
                <w:bCs/>
              </w:rPr>
              <w:t xml:space="preserve">healthcare</w:t>
            </w:r>
          </w:p>
        </w:tc>
        <w:tc>
          <w:tcPr/>
          <w:p>
            <w:pPr>
              <w:pStyle w:val="Compact"/>
              <w:jc w:val="left"/>
            </w:pPr>
            <w:r>
              <w:t xml:space="preserve">Adilet LIS CIIC Rules</w:t>
            </w:r>
          </w:p>
        </w:tc>
      </w:tr>
      <w:tr>
        <w:tc>
          <w:tcPr/>
          <w:p>
            <w:pPr>
              <w:pStyle w:val="Compact"/>
              <w:jc w:val="left"/>
            </w:pPr>
            <w:r>
              <w:rPr>
                <w:b/>
                <w:bCs/>
              </w:rPr>
              <w:t xml:space="preserve">Kyrgyz Republic</w:t>
            </w:r>
          </w:p>
        </w:tc>
        <w:tc>
          <w:tcPr/>
          <w:p>
            <w:pPr>
              <w:pStyle w:val="Compact"/>
              <w:jc w:val="left"/>
            </w:pPr>
            <w:r>
              <w:t xml:space="preserve">“Critical information infrastructure”</w:t>
            </w:r>
            <w:r>
              <w:t xml:space="preserve"> </w:t>
            </w:r>
            <w:r>
              <w:t xml:space="preserve">includes the field of</w:t>
            </w:r>
            <w:r>
              <w:t xml:space="preserve"> </w:t>
            </w:r>
            <w:r>
              <w:rPr>
                <w:b/>
                <w:bCs/>
              </w:rPr>
              <w:t xml:space="preserve">healthcare</w:t>
            </w:r>
          </w:p>
        </w:tc>
        <w:tc>
          <w:tcPr/>
          <w:p>
            <w:pPr>
              <w:pStyle w:val="Compact"/>
              <w:jc w:val="left"/>
            </w:pPr>
            <w:r>
              <w:t xml:space="preserve">Regulation for Information Protection in SIS</w:t>
            </w:r>
          </w:p>
        </w:tc>
      </w:tr>
    </w:tbl>
    <w:p>
      <w:pPr>
        <w:pStyle w:val="BodyText"/>
      </w:pPr>
      <w:r>
        <w:rPr>
          <w:b/>
          <w:bCs/>
        </w:rPr>
        <w:t xml:space="preserve">Relevance for India:</w:t>
      </w:r>
      <w:r>
        <w:t xml:space="preserve"> </w:t>
      </w:r>
      <w:r>
        <w:t xml:space="preserve">- Shows that</w:t>
      </w:r>
      <w:r>
        <w:t xml:space="preserve"> </w:t>
      </w:r>
      <w:r>
        <w:rPr>
          <w:b/>
          <w:bCs/>
        </w:rPr>
        <w:t xml:space="preserve">explicit sector listing in law</w:t>
      </w:r>
      <w:r>
        <w:t xml:space="preserve"> </w:t>
      </w:r>
      <w:r>
        <w:t xml:space="preserve">is foundational — India could do this via IT Act amendment or DPDP rules</w:t>
      </w:r>
      <w:r>
        <w:t xml:space="preserve"> </w:t>
      </w:r>
      <w:r>
        <w:t xml:space="preserve">- Central Asian models are also adapting</w:t>
      </w:r>
      <w:r>
        <w:t xml:space="preserve"> </w:t>
      </w:r>
      <w:r>
        <w:rPr>
          <w:b/>
          <w:bCs/>
        </w:rPr>
        <w:t xml:space="preserve">Russian-style graduated protection</w:t>
      </w:r>
      <w:r>
        <w:t xml:space="preserve"> </w:t>
      </w:r>
      <w:r>
        <w:t xml:space="preserve">(similar to China’s MLPS)</w:t>
      </w:r>
    </w:p>
    <w:p>
      <w:r>
        <w:pict>
          <v:rect style="width:0;height:1.5pt" o:hralign="center" o:hrstd="t" o:hr="t"/>
        </w:pict>
      </w:r>
    </w:p>
    <w:bookmarkEnd w:id="400"/>
    <w:bookmarkEnd w:id="401"/>
    <w:bookmarkStart w:id="402" w:name="X6d7b8cd512a627f508b11e8a919ccb4f8bd4759"/>
    <w:p>
      <w:pPr>
        <w:pStyle w:val="Heading3"/>
      </w:pPr>
      <w:r>
        <w:t xml:space="preserve">9.14 Comparative Summary: Developing Country Models</w:t>
      </w:r>
    </w:p>
    <w:tbl>
      <w:tblPr>
        <w:tblStyle w:val="Table"/>
        <w:tblW w:type="pct" w:w="5000"/>
        <w:tblLayout w:type="fixed"/>
        <w:tblLook w:firstRow="1" w:lastRow="0" w:firstColumn="0" w:lastColumn="0" w:noHBand="0" w:noVBand="0" w:val="0020"/>
      </w:tblPr>
      <w:tblGrid>
        <w:gridCol w:w="1096"/>
        <w:gridCol w:w="852"/>
        <w:gridCol w:w="1218"/>
        <w:gridCol w:w="1218"/>
        <w:gridCol w:w="1340"/>
        <w:gridCol w:w="2193"/>
      </w:tblGrid>
      <w:tr>
        <w:trPr>
          <w:tblHeader w:val="on"/>
        </w:trPr>
        <w:tc>
          <w:tcPr/>
          <w:p>
            <w:pPr>
              <w:pStyle w:val="Compact"/>
              <w:jc w:val="left"/>
            </w:pPr>
            <w:r>
              <w:t xml:space="preserve">Feature</w:t>
            </w:r>
          </w:p>
        </w:tc>
        <w:tc>
          <w:tcPr/>
          <w:p>
            <w:pPr>
              <w:pStyle w:val="Compact"/>
              <w:jc w:val="left"/>
            </w:pPr>
            <w:r>
              <w:t xml:space="preserve">China</w:t>
            </w:r>
          </w:p>
        </w:tc>
        <w:tc>
          <w:tcPr/>
          <w:p>
            <w:pPr>
              <w:pStyle w:val="Compact"/>
              <w:jc w:val="left"/>
            </w:pPr>
            <w:r>
              <w:t xml:space="preserve">Thailand</w:t>
            </w:r>
          </w:p>
        </w:tc>
        <w:tc>
          <w:tcPr/>
          <w:p>
            <w:pPr>
              <w:pStyle w:val="Compact"/>
              <w:jc w:val="left"/>
            </w:pPr>
            <w:r>
              <w:t xml:space="preserve">Malaysia</w:t>
            </w:r>
          </w:p>
        </w:tc>
        <w:tc>
          <w:tcPr/>
          <w:p>
            <w:pPr>
              <w:pStyle w:val="Compact"/>
              <w:jc w:val="left"/>
            </w:pPr>
            <w:r>
              <w:t xml:space="preserve">Indonesia</w:t>
            </w:r>
          </w:p>
        </w:tc>
        <w:tc>
          <w:tcPr/>
          <w:p>
            <w:pPr>
              <w:pStyle w:val="Compact"/>
              <w:jc w:val="left"/>
            </w:pPr>
            <w:r>
              <w:t xml:space="preserve">India (Proposed)</w:t>
            </w:r>
          </w:p>
        </w:tc>
      </w:tr>
      <w:tr>
        <w:tc>
          <w:tcPr/>
          <w:p>
            <w:pPr>
              <w:pStyle w:val="Compact"/>
              <w:jc w:val="left"/>
            </w:pPr>
            <w:r>
              <w:rPr>
                <w:b/>
                <w:bCs/>
              </w:rPr>
              <w:t xml:space="preserve">Sector explicitly listed</w:t>
            </w:r>
          </w:p>
        </w:tc>
        <w:tc>
          <w:tcPr/>
          <w:p>
            <w:pPr>
              <w:pStyle w:val="Compact"/>
              <w:jc w:val="left"/>
            </w:pPr>
            <w:r>
              <w:t xml:space="preserve">✓ (MLPS, CII Reg)</w:t>
            </w:r>
          </w:p>
        </w:tc>
        <w:tc>
          <w:tcPr/>
          <w:p>
            <w:pPr>
              <w:pStyle w:val="Compact"/>
              <w:jc w:val="left"/>
            </w:pPr>
            <w:r>
              <w:t xml:space="preserve">✓ (Section 49)</w:t>
            </w:r>
          </w:p>
        </w:tc>
        <w:tc>
          <w:tcPr/>
          <w:p>
            <w:pPr>
              <w:pStyle w:val="Compact"/>
              <w:jc w:val="left"/>
            </w:pPr>
            <w:r>
              <w:t xml:space="preserve">✓ (NCII)</w:t>
            </w:r>
          </w:p>
        </w:tc>
        <w:tc>
          <w:tcPr/>
          <w:p>
            <w:pPr>
              <w:pStyle w:val="Compact"/>
              <w:jc w:val="left"/>
            </w:pPr>
            <w:r>
              <w:t xml:space="preserve">✓ (Perpres 82/2022)</w:t>
            </w:r>
          </w:p>
        </w:tc>
        <w:tc>
          <w:tcPr/>
          <w:p>
            <w:pPr>
              <w:pStyle w:val="Compact"/>
              <w:jc w:val="left"/>
            </w:pPr>
            <w:r>
              <w:t xml:space="preserve">✓ (Recommend)</w:t>
            </w:r>
          </w:p>
        </w:tc>
      </w:tr>
      <w:tr>
        <w:tc>
          <w:tcPr/>
          <w:p>
            <w:pPr>
              <w:pStyle w:val="Compact"/>
              <w:jc w:val="left"/>
            </w:pPr>
            <w:r>
              <w:rPr>
                <w:b/>
                <w:bCs/>
              </w:rPr>
              <w:t xml:space="preserve">Tiering system</w:t>
            </w:r>
          </w:p>
        </w:tc>
        <w:tc>
          <w:tcPr/>
          <w:p>
            <w:pPr>
              <w:pStyle w:val="Compact"/>
              <w:jc w:val="left"/>
            </w:pPr>
            <w:r>
              <w:t xml:space="preserve">5 levels</w:t>
            </w:r>
          </w:p>
        </w:tc>
        <w:tc>
          <w:tcPr/>
          <w:p>
            <w:pPr>
              <w:pStyle w:val="Compact"/>
              <w:jc w:val="left"/>
            </w:pPr>
            <w:r>
              <w:t xml:space="preserve">3 threat levels</w:t>
            </w:r>
          </w:p>
        </w:tc>
        <w:tc>
          <w:tcPr/>
          <w:p>
            <w:pPr>
              <w:pStyle w:val="Compact"/>
              <w:jc w:val="left"/>
            </w:pPr>
            <w:r>
              <w:t xml:space="preserve">Binary</w:t>
            </w:r>
          </w:p>
        </w:tc>
        <w:tc>
          <w:tcPr/>
          <w:p>
            <w:pPr>
              <w:pStyle w:val="Compact"/>
              <w:jc w:val="left"/>
            </w:pPr>
            <w:r>
              <w:t xml:space="preserve">Binary</w:t>
            </w:r>
          </w:p>
        </w:tc>
        <w:tc>
          <w:tcPr/>
          <w:p>
            <w:pPr>
              <w:pStyle w:val="Compact"/>
              <w:jc w:val="left"/>
            </w:pPr>
            <w:r>
              <w:t xml:space="preserve">3 tiers</w:t>
            </w:r>
          </w:p>
        </w:tc>
      </w:tr>
      <w:tr>
        <w:tc>
          <w:tcPr/>
          <w:p>
            <w:pPr>
              <w:pStyle w:val="Compact"/>
              <w:jc w:val="left"/>
            </w:pPr>
            <w:r>
              <w:rPr>
                <w:b/>
                <w:bCs/>
              </w:rPr>
              <w:t xml:space="preserve">Quantitative thresholds</w:t>
            </w:r>
          </w:p>
        </w:tc>
        <w:tc>
          <w:tcPr/>
          <w:p>
            <w:pPr>
              <w:pStyle w:val="Compact"/>
              <w:jc w:val="left"/>
            </w:pPr>
            <w:r>
              <w:t xml:space="preserve">No (Class III-A qualitative)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(adapted)</w:t>
            </w:r>
          </w:p>
        </w:tc>
      </w:tr>
      <w:tr>
        <w:tc>
          <w:tcPr/>
          <w:p>
            <w:pPr>
              <w:pStyle w:val="Compact"/>
              <w:jc w:val="left"/>
            </w:pPr>
            <w:r>
              <w:rPr>
                <w:b/>
                <w:bCs/>
              </w:rPr>
              <w:t xml:space="preserve">Hospital tier explicit</w:t>
            </w:r>
          </w:p>
        </w:tc>
        <w:tc>
          <w:tcPr/>
          <w:p>
            <w:pPr>
              <w:pStyle w:val="Compact"/>
              <w:jc w:val="left"/>
            </w:pPr>
            <w:r>
              <w:t xml:space="preserve">Class III-A</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(AIIMS/DH/PHC)</w:t>
            </w:r>
          </w:p>
        </w:tc>
      </w:tr>
      <w:tr>
        <w:tc>
          <w:tcPr/>
          <w:p>
            <w:pPr>
              <w:pStyle w:val="Compact"/>
              <w:jc w:val="left"/>
            </w:pPr>
            <w:r>
              <w:rPr>
                <w:b/>
                <w:bCs/>
              </w:rPr>
              <w:t xml:space="preserve">National systems separate</w:t>
            </w:r>
          </w:p>
        </w:tc>
        <w:tc>
          <w:tcPr/>
          <w:p>
            <w:pPr>
              <w:pStyle w:val="Compact"/>
              <w:jc w:val="left"/>
            </w:pPr>
            <w:r>
              <w:t xml:space="preserve">Yes (Level 3+)</w:t>
            </w:r>
          </w:p>
        </w:tc>
        <w:tc>
          <w:tcPr/>
          <w:p>
            <w:pPr>
              <w:pStyle w:val="Compact"/>
              <w:jc w:val="left"/>
            </w:pPr>
            <w:r>
              <w:t xml:space="preserve">Implicit</w:t>
            </w:r>
          </w:p>
        </w:tc>
        <w:tc>
          <w:tcPr/>
          <w:p>
            <w:pPr>
              <w:pStyle w:val="Compact"/>
              <w:jc w:val="left"/>
            </w:pPr>
            <w:r>
              <w:t xml:space="preserve">Implicit</w:t>
            </w:r>
          </w:p>
        </w:tc>
        <w:tc>
          <w:tcPr/>
          <w:p>
            <w:pPr>
              <w:pStyle w:val="Compact"/>
              <w:jc w:val="left"/>
            </w:pPr>
            <w:r>
              <w:t xml:space="preserve">Implicit</w:t>
            </w:r>
          </w:p>
        </w:tc>
        <w:tc>
          <w:tcPr/>
          <w:p>
            <w:pPr>
              <w:pStyle w:val="Compact"/>
              <w:jc w:val="left"/>
            </w:pPr>
            <w:r>
              <w:t xml:space="preserve">Yes (ABDM, PM-JAY)</w:t>
            </w:r>
          </w:p>
        </w:tc>
      </w:tr>
      <w:tr>
        <w:tc>
          <w:tcPr/>
          <w:p>
            <w:pPr>
              <w:pStyle w:val="Compact"/>
              <w:jc w:val="left"/>
            </w:pPr>
            <w:r>
              <w:rPr>
                <w:b/>
                <w:bCs/>
              </w:rPr>
              <w:t xml:space="preserve">Geographic factors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(sole provider)</w:t>
            </w:r>
          </w:p>
        </w:tc>
      </w:tr>
      <w:tr>
        <w:tc>
          <w:tcPr/>
          <w:p>
            <w:pPr>
              <w:pStyle w:val="Compact"/>
              <w:jc w:val="left"/>
            </w:pPr>
            <w:r>
              <w:rPr>
                <w:b/>
                <w:bCs/>
              </w:rPr>
              <w:t xml:space="preserve">Audit frequency</w:t>
            </w:r>
          </w:p>
        </w:tc>
        <w:tc>
          <w:tcPr/>
          <w:p>
            <w:pPr>
              <w:pStyle w:val="Compact"/>
              <w:jc w:val="left"/>
            </w:pPr>
            <w:r>
              <w:t xml:space="preserve">Annual (Level 3+)</w:t>
            </w:r>
          </w:p>
        </w:tc>
        <w:tc>
          <w:tcPr/>
          <w:p>
            <w:pPr>
              <w:pStyle w:val="Compact"/>
              <w:jc w:val="left"/>
            </w:pPr>
            <w:r>
              <w:t xml:space="preserve">Annual</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Annual (T1) / Biennial (T2)</w:t>
            </w:r>
          </w:p>
        </w:tc>
      </w:tr>
      <w:tr>
        <w:tc>
          <w:tcPr/>
          <w:p>
            <w:pPr>
              <w:pStyle w:val="Compact"/>
              <w:jc w:val="left"/>
            </w:pPr>
            <w:r>
              <w:rPr>
                <w:b/>
                <w:bCs/>
              </w:rPr>
              <w:t xml:space="preserve">Penalties</w:t>
            </w:r>
          </w:p>
        </w:tc>
        <w:tc>
          <w:tcPr/>
          <w:p>
            <w:pPr>
              <w:pStyle w:val="Compact"/>
              <w:jc w:val="left"/>
            </w:pPr>
            <w:r>
              <w:t xml:space="preserve">Administrative sanctions</w:t>
            </w:r>
          </w:p>
        </w:tc>
        <w:tc>
          <w:tcPr/>
          <w:p>
            <w:pPr>
              <w:pStyle w:val="Compact"/>
              <w:jc w:val="left"/>
            </w:pPr>
            <w:r>
              <w:t xml:space="preserve">฿200K fine</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Proportionate</w:t>
            </w:r>
          </w:p>
        </w:tc>
      </w:tr>
      <w:tr>
        <w:tc>
          <w:tcPr/>
          <w:p>
            <w:pPr>
              <w:pStyle w:val="Compact"/>
              <w:jc w:val="left"/>
            </w:pPr>
            <w:r>
              <w:rPr>
                <w:b/>
                <w:bCs/>
              </w:rPr>
              <w:t xml:space="preserve">Legal instrument</w:t>
            </w:r>
          </w:p>
        </w:tc>
        <w:tc>
          <w:tcPr/>
          <w:p>
            <w:pPr>
              <w:pStyle w:val="Compact"/>
              <w:jc w:val="left"/>
            </w:pPr>
            <w:r>
              <w:t xml:space="preserve">Law + State Council Reg</w:t>
            </w:r>
          </w:p>
        </w:tc>
        <w:tc>
          <w:tcPr/>
          <w:p>
            <w:pPr>
              <w:pStyle w:val="Compact"/>
              <w:jc w:val="left"/>
            </w:pPr>
            <w:r>
              <w:t xml:space="preserve">Cybersecurity Act</w:t>
            </w:r>
          </w:p>
        </w:tc>
        <w:tc>
          <w:tcPr/>
          <w:p>
            <w:pPr>
              <w:pStyle w:val="Compact"/>
              <w:jc w:val="left"/>
            </w:pPr>
            <w:r>
              <w:t xml:space="preserve">Agency directive</w:t>
            </w:r>
          </w:p>
        </w:tc>
        <w:tc>
          <w:tcPr/>
          <w:p>
            <w:pPr>
              <w:pStyle w:val="Compact"/>
              <w:jc w:val="left"/>
            </w:pPr>
            <w:r>
              <w:t xml:space="preserve">Presidential Reg</w:t>
            </w:r>
          </w:p>
        </w:tc>
        <w:tc>
          <w:tcPr/>
          <w:p>
            <w:pPr>
              <w:pStyle w:val="Compact"/>
              <w:jc w:val="left"/>
            </w:pPr>
            <w:r>
              <w:t xml:space="preserve">IT Act rules / new law</w:t>
            </w:r>
          </w:p>
        </w:tc>
      </w:tr>
    </w:tbl>
    <w:bookmarkEnd w:id="402"/>
    <w:bookmarkStart w:id="403" w:name="recommended-approach-for-india"/>
    <w:p>
      <w:pPr>
        <w:pStyle w:val="Heading3"/>
      </w:pPr>
      <w:r>
        <w:t xml:space="preserve">9.15 Recommended Approach for India</w:t>
      </w:r>
    </w:p>
    <w:p>
      <w:pPr>
        <w:pStyle w:val="FirstParagraph"/>
      </w:pPr>
      <w:r>
        <w:t xml:space="preserve">Based on global developing country models, the recommended approach for India:</w:t>
      </w:r>
    </w:p>
    <w:p>
      <w:pPr>
        <w:pStyle w:val="Compact"/>
        <w:numPr>
          <w:ilvl w:val="0"/>
          <w:numId w:val="1308"/>
        </w:numPr>
      </w:pPr>
      <w:r>
        <w:rPr>
          <w:b/>
          <w:bCs/>
        </w:rPr>
        <w:t xml:space="preserve">Explicit sector listing</w:t>
      </w:r>
      <w:r>
        <w:t xml:space="preserve">: Amend IT Act rules or issue executive notification explicitly designating</w:t>
      </w:r>
      <w:r>
        <w:t xml:space="preserve"> </w:t>
      </w:r>
      <w:r>
        <w:t xml:space="preserve">“Healthcare”</w:t>
      </w:r>
      <w:r>
        <w:t xml:space="preserve"> </w:t>
      </w:r>
      <w:r>
        <w:t xml:space="preserve">as CII sector under existing NCIIPC framework</w:t>
      </w:r>
    </w:p>
    <w:p>
      <w:pPr>
        <w:pStyle w:val="Compact"/>
        <w:numPr>
          <w:ilvl w:val="0"/>
          <w:numId w:val="1308"/>
        </w:numPr>
      </w:pPr>
      <w:r>
        <w:rPr>
          <w:b/>
          <w:bCs/>
        </w:rPr>
        <w:t xml:space="preserve">Tiered designation with geographic factors</w:t>
      </w:r>
      <w:r>
        <w:t xml:space="preserve">: Adopt 3-tier model with:</w:t>
      </w:r>
    </w:p>
    <w:p>
      <w:pPr>
        <w:pStyle w:val="Compact"/>
        <w:numPr>
          <w:ilvl w:val="1"/>
          <w:numId w:val="1309"/>
        </w:numPr>
      </w:pPr>
      <w:r>
        <w:rPr>
          <w:b/>
          <w:bCs/>
        </w:rPr>
        <w:t xml:space="preserve">Tier 1</w:t>
      </w:r>
      <w:r>
        <w:t xml:space="preserve">: National digital systems + AIIMS/GMCHs + sole district providers</w:t>
      </w:r>
    </w:p>
    <w:p>
      <w:pPr>
        <w:pStyle w:val="Compact"/>
        <w:numPr>
          <w:ilvl w:val="1"/>
          <w:numId w:val="1309"/>
        </w:numPr>
      </w:pPr>
      <w:r>
        <w:rPr>
          <w:b/>
          <w:bCs/>
        </w:rPr>
        <w:t xml:space="preserve">Tier 2</w:t>
      </w:r>
      <w:r>
        <w:t xml:space="preserve">: District hospitals + reference labs + major private chains</w:t>
      </w:r>
    </w:p>
    <w:p>
      <w:pPr>
        <w:pStyle w:val="Compact"/>
        <w:numPr>
          <w:ilvl w:val="1"/>
          <w:numId w:val="1309"/>
        </w:numPr>
      </w:pPr>
      <w:r>
        <w:rPr>
          <w:b/>
          <w:bCs/>
        </w:rPr>
        <w:t xml:space="preserve">Tier 3</w:t>
      </w:r>
      <w:r>
        <w:t xml:space="preserve">: PHCs/CHCs (voluntary/self-regulated)</w:t>
      </w:r>
    </w:p>
    <w:p>
      <w:pPr>
        <w:pStyle w:val="Compact"/>
        <w:numPr>
          <w:ilvl w:val="0"/>
          <w:numId w:val="1308"/>
        </w:numPr>
      </w:pPr>
      <w:r>
        <w:rPr>
          <w:b/>
          <w:bCs/>
        </w:rPr>
        <w:t xml:space="preserve">Qualitative + quantitative hybrid</w:t>
      </w:r>
      <w:r>
        <w:t xml:space="preserve">: Use adapted quantitative thresholds (10,000 cases/year, 200 beds) with qualitative triggers (sole provider, geographic remoteness)</w:t>
      </w:r>
    </w:p>
    <w:p>
      <w:pPr>
        <w:pStyle w:val="Compact"/>
        <w:numPr>
          <w:ilvl w:val="0"/>
          <w:numId w:val="1308"/>
        </w:numPr>
      </w:pPr>
      <w:r>
        <w:rPr>
          <w:b/>
          <w:bCs/>
        </w:rPr>
        <w:t xml:space="preserve">Committee-based designation</w:t>
      </w:r>
      <w:r>
        <w:t xml:space="preserve"> </w:t>
      </w:r>
      <w:r>
        <w:t xml:space="preserve">(Thailand model): Health-CII Designation Committee with MoHFW, MeitY, NCIIPC, and CERT-In representation</w:t>
      </w:r>
    </w:p>
    <w:p>
      <w:pPr>
        <w:pStyle w:val="Compact"/>
        <w:numPr>
          <w:ilvl w:val="0"/>
          <w:numId w:val="1308"/>
        </w:numPr>
      </w:pPr>
      <w:r>
        <w:rPr>
          <w:b/>
          <w:bCs/>
        </w:rPr>
        <w:t xml:space="preserve">Phased implementation</w:t>
      </w:r>
      <w:r>
        <w:t xml:space="preserve"> </w:t>
      </w:r>
      <w:r>
        <w:t xml:space="preserve">(China model):</w:t>
      </w:r>
    </w:p>
    <w:p>
      <w:pPr>
        <w:pStyle w:val="Compact"/>
        <w:numPr>
          <w:ilvl w:val="1"/>
          <w:numId w:val="1310"/>
        </w:numPr>
      </w:pPr>
      <w:r>
        <w:t xml:space="preserve">Year 1: National systems (ABDM, PM-JAY, 112 ERSS)</w:t>
      </w:r>
    </w:p>
    <w:p>
      <w:pPr>
        <w:pStyle w:val="Compact"/>
        <w:numPr>
          <w:ilvl w:val="1"/>
          <w:numId w:val="1310"/>
        </w:numPr>
      </w:pPr>
      <w:r>
        <w:t xml:space="preserve">Year 2: Tier 1 facilities</w:t>
      </w:r>
    </w:p>
    <w:p>
      <w:pPr>
        <w:pStyle w:val="Compact"/>
        <w:numPr>
          <w:ilvl w:val="1"/>
          <w:numId w:val="1310"/>
        </w:numPr>
      </w:pPr>
      <w:r>
        <w:t xml:space="preserve">Year 3-4: Tier 2 facilities</w:t>
      </w:r>
    </w:p>
    <w:p>
      <w:pPr>
        <w:pStyle w:val="Compact"/>
        <w:numPr>
          <w:ilvl w:val="0"/>
          <w:numId w:val="1308"/>
        </w:numPr>
      </w:pPr>
      <w:r>
        <w:rPr>
          <w:b/>
          <w:bCs/>
        </w:rPr>
        <w:t xml:space="preserve">Proportionate obligations</w:t>
      </w:r>
      <w:r>
        <w:t xml:space="preserve">:</w:t>
      </w:r>
    </w:p>
    <w:p>
      <w:pPr>
        <w:pStyle w:val="Compact"/>
        <w:numPr>
          <w:ilvl w:val="1"/>
          <w:numId w:val="1311"/>
        </w:numPr>
      </w:pPr>
      <w:r>
        <w:t xml:space="preserve">Tier 1: Annual audits, 24-48h reporting, mandatory BCP</w:t>
      </w:r>
    </w:p>
    <w:p>
      <w:pPr>
        <w:pStyle w:val="Compact"/>
        <w:numPr>
          <w:ilvl w:val="1"/>
          <w:numId w:val="1311"/>
        </w:numPr>
      </w:pPr>
      <w:r>
        <w:t xml:space="preserve">Tier 2: Biennial audits, 72-96h reporting</w:t>
      </w:r>
    </w:p>
    <w:p>
      <w:pPr>
        <w:pStyle w:val="Compact"/>
        <w:numPr>
          <w:ilvl w:val="1"/>
          <w:numId w:val="1311"/>
        </w:numPr>
      </w:pPr>
      <w:r>
        <w:t xml:space="preserve">Tier 3: Self-assessment, voluntary reporting</w:t>
      </w:r>
    </w:p>
    <w:p>
      <w:pPr>
        <w:pStyle w:val="Compact"/>
        <w:numPr>
          <w:ilvl w:val="0"/>
          <w:numId w:val="1308"/>
        </w:numPr>
      </w:pPr>
      <w:r>
        <w:rPr>
          <w:b/>
          <w:bCs/>
        </w:rPr>
        <w:t xml:space="preserve">Shared services model</w:t>
      </w:r>
      <w:r>
        <w:t xml:space="preserve">: State-level SOCs for public health facilities (leveraging NIC/state IT infrastructure)</w:t>
      </w:r>
    </w:p>
    <w:p>
      <w:pPr>
        <w:pStyle w:val="Compact"/>
        <w:numPr>
          <w:ilvl w:val="0"/>
          <w:numId w:val="1308"/>
        </w:numPr>
      </w:pPr>
      <w:r>
        <w:rPr>
          <w:b/>
          <w:bCs/>
        </w:rPr>
        <w:t xml:space="preserve">Health-CERT</w:t>
      </w:r>
      <w:r>
        <w:t xml:space="preserve">: Establish sectoral CERT under MoHFW with CERT-In coordination (similar to sectoral CERTs in banking/power)</w:t>
      </w:r>
    </w:p>
    <w:p>
      <w:r>
        <w:pict>
          <v:rect style="width:0;height:1.5pt" o:hralign="center" o:hrstd="t" o:hr="t"/>
        </w:pict>
      </w:r>
    </w:p>
    <w:bookmarkEnd w:id="403"/>
    <w:bookmarkEnd w:id="404"/>
    <w:bookmarkStart w:id="405" w:name="conclusion-1"/>
    <w:p>
      <w:pPr>
        <w:pStyle w:val="Heading2"/>
      </w:pPr>
      <w:r>
        <w:t xml:space="preserve">Conclusion</w:t>
      </w:r>
    </w:p>
    <w:p>
      <w:pPr>
        <w:pStyle w:val="FirstParagraph"/>
      </w:pPr>
      <w:r>
        <w:t xml:space="preserve">This metrics and grading framework provides a</w:t>
      </w:r>
      <w:r>
        <w:t xml:space="preserve"> </w:t>
      </w:r>
      <w:r>
        <w:rPr>
          <w:b/>
          <w:bCs/>
        </w:rPr>
        <w:t xml:space="preserve">structured, evidence-based approach</w:t>
      </w:r>
      <w:r>
        <w:t xml:space="preserve"> </w:t>
      </w:r>
      <w:r>
        <w:t xml:space="preserve">for classifying health sector entities as Critical Information Infrastructure. Key design principles include:</w:t>
      </w:r>
    </w:p>
    <w:p>
      <w:pPr>
        <w:pStyle w:val="Compact"/>
        <w:numPr>
          <w:ilvl w:val="0"/>
          <w:numId w:val="1312"/>
        </w:numPr>
      </w:pPr>
      <w:r>
        <w:rPr>
          <w:b/>
          <w:bCs/>
        </w:rPr>
        <w:t xml:space="preserve">Hybrid criteria</w:t>
      </w:r>
      <w:r>
        <w:t xml:space="preserve">: Combines quantitative thresholds with qualitative safety-net triggers</w:t>
      </w:r>
    </w:p>
    <w:p>
      <w:pPr>
        <w:pStyle w:val="Compact"/>
        <w:numPr>
          <w:ilvl w:val="0"/>
          <w:numId w:val="1312"/>
        </w:numPr>
      </w:pPr>
      <w:r>
        <w:rPr>
          <w:b/>
          <w:bCs/>
        </w:rPr>
        <w:t xml:space="preserve">Proportionality</w:t>
      </w:r>
      <w:r>
        <w:t xml:space="preserve">: Three-tier structure aligns obligations with criticality</w:t>
      </w:r>
    </w:p>
    <w:p>
      <w:pPr>
        <w:pStyle w:val="Compact"/>
        <w:numPr>
          <w:ilvl w:val="0"/>
          <w:numId w:val="1312"/>
        </w:numPr>
      </w:pPr>
      <w:r>
        <w:rPr>
          <w:b/>
          <w:bCs/>
        </w:rPr>
        <w:t xml:space="preserve">Transparency</w:t>
      </w:r>
      <w:r>
        <w:t xml:space="preserve">: Clear criteria enable self-assessment</w:t>
      </w:r>
    </w:p>
    <w:p>
      <w:pPr>
        <w:pStyle w:val="Compact"/>
        <w:numPr>
          <w:ilvl w:val="0"/>
          <w:numId w:val="1312"/>
        </w:numPr>
      </w:pPr>
      <w:r>
        <w:rPr>
          <w:b/>
          <w:bCs/>
        </w:rPr>
        <w:t xml:space="preserve">Adaptability</w:t>
      </w:r>
      <w:r>
        <w:t xml:space="preserve">: Framework accommodates diverse health system contexts</w:t>
      </w:r>
    </w:p>
    <w:p>
      <w:pPr>
        <w:pStyle w:val="Compact"/>
        <w:numPr>
          <w:ilvl w:val="0"/>
          <w:numId w:val="1312"/>
        </w:numPr>
      </w:pPr>
      <w:r>
        <w:rPr>
          <w:b/>
          <w:bCs/>
        </w:rPr>
        <w:t xml:space="preserve">Global alignment</w:t>
      </w:r>
      <w:r>
        <w:t xml:space="preserve">: Harmonized with emerging international standards</w:t>
      </w:r>
    </w:p>
    <w:p>
      <w:pPr>
        <w:pStyle w:val="FirstParagraph"/>
      </w:pPr>
      <w:r>
        <w:t xml:space="preserve">The framework should be adapted to national context, with particular attention to:</w:t>
      </w:r>
      <w:r>
        <w:t xml:space="preserve"> </w:t>
      </w:r>
      <w:r>
        <w:t xml:space="preserve">- Local health system structure and governance</w:t>
      </w:r>
      <w:r>
        <w:t xml:space="preserve"> </w:t>
      </w:r>
      <w:r>
        <w:t xml:space="preserve">- Existing regulatory frameworks</w:t>
      </w:r>
      <w:r>
        <w:t xml:space="preserve"> </w:t>
      </w:r>
      <w:r>
        <w:t xml:space="preserve">- Data availability for quantitative metrics</w:t>
      </w:r>
      <w:r>
        <w:t xml:space="preserve"> </w:t>
      </w:r>
      <w:r>
        <w:t xml:space="preserve">- Administrative capacity for enforcement</w:t>
      </w:r>
    </w:p>
    <w:p>
      <w:r>
        <w:pict>
          <v:rect style="width:0;height:1.5pt" o:hralign="center" o:hrstd="t" o:hr="t"/>
        </w:pict>
      </w:r>
    </w:p>
    <w:bookmarkEnd w:id="405"/>
    <w:bookmarkStart w:id="406" w:name="references"/>
    <w:p>
      <w:pPr>
        <w:pStyle w:val="Heading2"/>
      </w:pPr>
      <w:r>
        <w:t xml:space="preserve">References</w:t>
      </w:r>
    </w:p>
    <w:p>
      <w:pPr>
        <w:pStyle w:val="FirstParagraph"/>
      </w:pPr>
      <w:r>
        <w:t xml:space="preserve">This framework synthesizes criteria from the 17 jurisdictions analyzed in this study:</w:t>
      </w:r>
    </w:p>
    <w:p>
      <w:pPr>
        <w:pStyle w:val="Compact"/>
        <w:numPr>
          <w:ilvl w:val="0"/>
          <w:numId w:val="1313"/>
        </w:numPr>
      </w:pPr>
      <w:r>
        <w:t xml:space="preserve">USA (CISA/HPH Sector)</w:t>
      </w:r>
    </w:p>
    <w:p>
      <w:pPr>
        <w:pStyle w:val="Compact"/>
        <w:numPr>
          <w:ilvl w:val="0"/>
          <w:numId w:val="1313"/>
        </w:numPr>
      </w:pPr>
      <w:r>
        <w:t xml:space="preserve">Australia (SOCI Act 2018)</w:t>
      </w:r>
    </w:p>
    <w:p>
      <w:pPr>
        <w:pStyle w:val="Compact"/>
        <w:numPr>
          <w:ilvl w:val="0"/>
          <w:numId w:val="1313"/>
        </w:numPr>
      </w:pPr>
      <w:r>
        <w:t xml:space="preserve">European Union (NIS2 Directive)</w:t>
      </w:r>
    </w:p>
    <w:p>
      <w:pPr>
        <w:pStyle w:val="Compact"/>
        <w:numPr>
          <w:ilvl w:val="0"/>
          <w:numId w:val="1313"/>
        </w:numPr>
      </w:pPr>
      <w:r>
        <w:t xml:space="preserve">Canada (National CI Strategy)</w:t>
      </w:r>
    </w:p>
    <w:p>
      <w:pPr>
        <w:pStyle w:val="Compact"/>
        <w:numPr>
          <w:ilvl w:val="0"/>
          <w:numId w:val="1313"/>
        </w:numPr>
      </w:pPr>
      <w:r>
        <w:t xml:space="preserve">United Kingdom (NIS Regulations / CAF)</w:t>
      </w:r>
    </w:p>
    <w:p>
      <w:pPr>
        <w:pStyle w:val="Compact"/>
        <w:numPr>
          <w:ilvl w:val="0"/>
          <w:numId w:val="1313"/>
        </w:numPr>
      </w:pPr>
      <w:r>
        <w:t xml:space="preserve">Germany (BSI-KritisV / NIS2UmsuCG)</w:t>
      </w:r>
    </w:p>
    <w:p>
      <w:pPr>
        <w:pStyle w:val="Compact"/>
        <w:numPr>
          <w:ilvl w:val="0"/>
          <w:numId w:val="1313"/>
        </w:numPr>
      </w:pPr>
      <w:r>
        <w:t xml:space="preserve">Singapore (Cybersecurity Act)</w:t>
      </w:r>
    </w:p>
    <w:p>
      <w:pPr>
        <w:pStyle w:val="Compact"/>
        <w:numPr>
          <w:ilvl w:val="0"/>
          <w:numId w:val="1313"/>
        </w:numPr>
      </w:pPr>
      <w:r>
        <w:t xml:space="preserve">New Zealand (HISO 10029 / NVA)</w:t>
      </w:r>
    </w:p>
    <w:p>
      <w:pPr>
        <w:pStyle w:val="Compact"/>
        <w:numPr>
          <w:ilvl w:val="0"/>
          <w:numId w:val="1313"/>
        </w:numPr>
      </w:pPr>
      <w:r>
        <w:t xml:space="preserve">Japan (CIP Policy)</w:t>
      </w:r>
    </w:p>
    <w:p>
      <w:pPr>
        <w:pStyle w:val="Compact"/>
        <w:numPr>
          <w:ilvl w:val="0"/>
          <w:numId w:val="1313"/>
        </w:numPr>
      </w:pPr>
      <w:r>
        <w:t xml:space="preserve">China (Cybersecurity Law / MLPS)</w:t>
      </w:r>
    </w:p>
    <w:p>
      <w:pPr>
        <w:pStyle w:val="Compact"/>
        <w:numPr>
          <w:ilvl w:val="0"/>
          <w:numId w:val="1313"/>
        </w:numPr>
      </w:pPr>
      <w:r>
        <w:t xml:space="preserve">South Korea (CIIC Act)</w:t>
      </w:r>
    </w:p>
    <w:p>
      <w:pPr>
        <w:pStyle w:val="Compact"/>
        <w:numPr>
          <w:ilvl w:val="0"/>
          <w:numId w:val="1313"/>
        </w:numPr>
      </w:pPr>
      <w:r>
        <w:t xml:space="preserve">France (OIV/SAIV/SIIV)</w:t>
      </w:r>
    </w:p>
    <w:p>
      <w:pPr>
        <w:pStyle w:val="Compact"/>
        <w:numPr>
          <w:ilvl w:val="0"/>
          <w:numId w:val="1313"/>
        </w:numPr>
      </w:pPr>
      <w:r>
        <w:t xml:space="preserve">Norway (Digital Security Act)</w:t>
      </w:r>
    </w:p>
    <w:p>
      <w:pPr>
        <w:pStyle w:val="Compact"/>
        <w:numPr>
          <w:ilvl w:val="0"/>
          <w:numId w:val="1313"/>
        </w:numPr>
      </w:pPr>
      <w:r>
        <w:t xml:space="preserve">Switzerland (ISG/CSV)</w:t>
      </w:r>
    </w:p>
    <w:p>
      <w:pPr>
        <w:pStyle w:val="Compact"/>
        <w:numPr>
          <w:ilvl w:val="0"/>
          <w:numId w:val="1313"/>
        </w:numPr>
      </w:pPr>
      <w:r>
        <w:t xml:space="preserve">Taiwan (CSMA)</w:t>
      </w:r>
    </w:p>
    <w:p>
      <w:pPr>
        <w:pStyle w:val="Compact"/>
        <w:numPr>
          <w:ilvl w:val="0"/>
          <w:numId w:val="1313"/>
        </w:numPr>
      </w:pPr>
      <w:r>
        <w:t xml:space="preserve">Thailand (Cybersecurity Act)</w:t>
      </w:r>
    </w:p>
    <w:p>
      <w:pPr>
        <w:pStyle w:val="Compact"/>
        <w:numPr>
          <w:ilvl w:val="0"/>
          <w:numId w:val="1313"/>
        </w:numPr>
      </w:pPr>
      <w:r>
        <w:t xml:space="preserve">Hong Kong (PCICSO)</w:t>
      </w:r>
    </w:p>
    <w:p>
      <w:pPr>
        <w:sectPr>
          <w:footerReference w:type="first" r:id="rId13"/>
          <w:footerReference w:type="default" r:id="rId11"/>
          <w:footerReference w:type="even" r:id="rId10"/>
          <w:type w:val="nextPage"/>
        </w:sectPr>
      </w:pPr>
    </w:p>
    <w:bookmarkEnd w:id="406"/>
    <w:bookmarkEnd w:id="407"/>
    <w:bookmarkStart w:id="451" w:name="Xdb31c7463e67307d004242f8c825b2d31a8d6b9"/>
    <w:p>
      <w:pPr>
        <w:pStyle w:val="Heading1"/>
      </w:pPr>
      <w:r>
        <w:t xml:space="preserve">CII Case Studies: Healthcare Delivery Facilities</w:t>
      </w:r>
    </w:p>
    <w:p>
      <w:pPr>
        <w:pStyle w:val="FirstParagraph"/>
      </w:pPr>
      <w:r>
        <w:t xml:space="preserve">This chapter presents case studies for</w:t>
      </w:r>
      <w:r>
        <w:t xml:space="preserve"> </w:t>
      </w:r>
      <w:r>
        <w:rPr>
          <w:b/>
          <w:bCs/>
        </w:rPr>
        <w:t xml:space="preserve">healthcare delivery facilities</w:t>
      </w:r>
      <w:r>
        <w:t xml:space="preserve"> </w:t>
      </w:r>
      <w:r>
        <w:t xml:space="preserve">including hospitals, medical colleges, community health centres, and telemedicine services.</w:t>
      </w:r>
    </w:p>
    <w:p>
      <w:r>
        <w:pict>
          <v:rect style="width:0;height:1.5pt" o:hralign="center" o:hrstd="t" o:hr="t"/>
        </w:pict>
      </w:r>
    </w:p>
    <w:bookmarkStart w:id="414" w:name="case-study-1-metro-general-hospital"/>
    <w:p>
      <w:pPr>
        <w:pStyle w:val="Heading2"/>
      </w:pPr>
      <w:r>
        <w:t xml:space="preserve">Case Study 1: Metro General Hospital</w:t>
      </w:r>
    </w:p>
    <w:bookmarkStart w:id="408" w:name="entity-profile"/>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Metro General Hospital</w:t>
            </w:r>
          </w:p>
        </w:tc>
      </w:tr>
      <w:tr>
        <w:tc>
          <w:tcPr/>
          <w:p>
            <w:pPr>
              <w:pStyle w:val="Compact"/>
              <w:jc w:val="left"/>
            </w:pPr>
            <w:r>
              <w:rPr>
                <w:b/>
                <w:bCs/>
              </w:rPr>
              <w:t xml:space="preserve">Type</w:t>
            </w:r>
          </w:p>
        </w:tc>
        <w:tc>
          <w:tcPr/>
          <w:p>
            <w:pPr>
              <w:pStyle w:val="Compact"/>
              <w:jc w:val="left"/>
            </w:pPr>
            <w:r>
              <w:t xml:space="preserve">Government tertiary teaching hospital</w:t>
            </w:r>
          </w:p>
        </w:tc>
      </w:tr>
      <w:tr>
        <w:tc>
          <w:tcPr/>
          <w:p>
            <w:pPr>
              <w:pStyle w:val="Compact"/>
              <w:jc w:val="left"/>
            </w:pPr>
            <w:r>
              <w:rPr>
                <w:b/>
                <w:bCs/>
              </w:rPr>
              <w:t xml:space="preserve">Location</w:t>
            </w:r>
          </w:p>
        </w:tc>
        <w:tc>
          <w:tcPr/>
          <w:p>
            <w:pPr>
              <w:pStyle w:val="Compact"/>
              <w:jc w:val="left"/>
            </w:pPr>
            <w:r>
              <w:t xml:space="preserve">State capital city (population 5 million)</w:t>
            </w:r>
          </w:p>
        </w:tc>
      </w:tr>
      <w:tr>
        <w:tc>
          <w:tcPr/>
          <w:p>
            <w:pPr>
              <w:pStyle w:val="Compact"/>
              <w:jc w:val="left"/>
            </w:pPr>
            <w:r>
              <w:rPr>
                <w:b/>
                <w:bCs/>
              </w:rPr>
              <w:t xml:space="preserve">Beds</w:t>
            </w:r>
          </w:p>
        </w:tc>
        <w:tc>
          <w:tcPr/>
          <w:p>
            <w:pPr>
              <w:pStyle w:val="Compact"/>
              <w:jc w:val="left"/>
            </w:pPr>
            <w:r>
              <w:t xml:space="preserve">1,200</w:t>
            </w:r>
          </w:p>
        </w:tc>
      </w:tr>
      <w:tr>
        <w:tc>
          <w:tcPr/>
          <w:p>
            <w:pPr>
              <w:pStyle w:val="Compact"/>
              <w:jc w:val="left"/>
            </w:pPr>
            <w:r>
              <w:rPr>
                <w:b/>
                <w:bCs/>
              </w:rPr>
              <w:t xml:space="preserve">Annual inpatient cases</w:t>
            </w:r>
          </w:p>
        </w:tc>
        <w:tc>
          <w:tcPr/>
          <w:p>
            <w:pPr>
              <w:pStyle w:val="Compact"/>
              <w:jc w:val="left"/>
            </w:pPr>
            <w:r>
              <w:t xml:space="preserve">45,000</w:t>
            </w:r>
          </w:p>
        </w:tc>
      </w:tr>
      <w:tr>
        <w:tc>
          <w:tcPr/>
          <w:p>
            <w:pPr>
              <w:pStyle w:val="Compact"/>
              <w:jc w:val="left"/>
            </w:pPr>
            <w:r>
              <w:rPr>
                <w:b/>
                <w:bCs/>
              </w:rPr>
              <w:t xml:space="preserve">Employees</w:t>
            </w:r>
          </w:p>
        </w:tc>
        <w:tc>
          <w:tcPr/>
          <w:p>
            <w:pPr>
              <w:pStyle w:val="Compact"/>
              <w:jc w:val="left"/>
            </w:pPr>
            <w:r>
              <w:t xml:space="preserve">3,500</w:t>
            </w:r>
          </w:p>
        </w:tc>
      </w:tr>
      <w:tr>
        <w:tc>
          <w:tcPr/>
          <w:p>
            <w:pPr>
              <w:pStyle w:val="Compact"/>
              <w:jc w:val="left"/>
            </w:pPr>
            <w:r>
              <w:rPr>
                <w:b/>
                <w:bCs/>
              </w:rPr>
              <w:t xml:space="preserve">Key departments</w:t>
            </w:r>
          </w:p>
        </w:tc>
        <w:tc>
          <w:tcPr/>
          <w:p>
            <w:pPr>
              <w:pStyle w:val="Compact"/>
              <w:jc w:val="left"/>
            </w:pPr>
            <w:r>
              <w:t xml:space="preserve">ICU (50 beds), Emergency, Trauma Centre, Cardiac Surgery, Organ Transplant</w:t>
            </w:r>
          </w:p>
        </w:tc>
      </w:tr>
      <w:tr>
        <w:tc>
          <w:tcPr/>
          <w:p>
            <w:pPr>
              <w:pStyle w:val="Compact"/>
              <w:jc w:val="left"/>
            </w:pPr>
            <w:r>
              <w:rPr>
                <w:b/>
                <w:bCs/>
              </w:rPr>
              <w:t xml:space="preserve">Digital systems</w:t>
            </w:r>
          </w:p>
        </w:tc>
        <w:tc>
          <w:tcPr/>
          <w:p>
            <w:pPr>
              <w:pStyle w:val="Compact"/>
              <w:jc w:val="left"/>
            </w:pPr>
            <w:r>
              <w:t xml:space="preserve">Integrated HIS, EMR, PACS, LIS, Blood Bank Management</w:t>
            </w:r>
          </w:p>
        </w:tc>
      </w:tr>
      <w:tr>
        <w:tc>
          <w:tcPr/>
          <w:p>
            <w:pPr>
              <w:pStyle w:val="Compact"/>
              <w:jc w:val="left"/>
            </w:pPr>
            <w:r>
              <w:rPr>
                <w:b/>
                <w:bCs/>
              </w:rPr>
              <w:t xml:space="preserve">Connectivity</w:t>
            </w:r>
          </w:p>
        </w:tc>
        <w:tc>
          <w:tcPr/>
          <w:p>
            <w:pPr>
              <w:pStyle w:val="Compact"/>
              <w:jc w:val="left"/>
            </w:pPr>
            <w:r>
              <w:t xml:space="preserve">24/7 broadband; connected to national health exchange</w:t>
            </w:r>
          </w:p>
        </w:tc>
      </w:tr>
    </w:tbl>
    <w:bookmarkEnd w:id="408"/>
    <w:bookmarkStart w:id="411" w:name="cii-classification-assessment"/>
    <w:p>
      <w:pPr>
        <w:pStyle w:val="Heading3"/>
      </w:pPr>
      <w:r>
        <w:t xml:space="preserve">CII Classification Assessment</w:t>
      </w:r>
    </w:p>
    <w:bookmarkStart w:id="409" w:name="scoring-developed-country-framework"/>
    <w:p>
      <w:pPr>
        <w:pStyle w:val="Heading4"/>
      </w:pPr>
      <w:r>
        <w:t xml:space="preserve">Scoring (Developed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≥30,000 cases/year</w:t>
            </w:r>
          </w:p>
        </w:tc>
        <w:tc>
          <w:tcPr/>
          <w:p>
            <w:pPr>
              <w:pStyle w:val="Compact"/>
              <w:jc w:val="center"/>
            </w:pPr>
            <w:r>
              <w:t xml:space="preserve">30</w:t>
            </w:r>
          </w:p>
        </w:tc>
      </w:tr>
      <w:tr>
        <w:tc>
          <w:tcPr/>
          <w:p>
            <w:pPr>
              <w:pStyle w:val="Compact"/>
              <w:jc w:val="left"/>
            </w:pPr>
            <w:r>
              <w:rPr>
                <w:b/>
                <w:bCs/>
              </w:rPr>
              <w:t xml:space="preserve">B. Capability</w:t>
            </w:r>
          </w:p>
        </w:tc>
        <w:tc>
          <w:tcPr/>
          <w:p>
            <w:pPr>
              <w:pStyle w:val="Compact"/>
              <w:jc w:val="left"/>
            </w:pPr>
            <w:r>
              <w:t xml:space="preserve">General ICU present</w:t>
            </w:r>
          </w:p>
        </w:tc>
        <w:tc>
          <w:tcPr/>
          <w:p>
            <w:pPr>
              <w:pStyle w:val="Compact"/>
              <w:jc w:val="center"/>
            </w:pPr>
            <w:r>
              <w:t xml:space="preserve">25</w:t>
            </w:r>
          </w:p>
        </w:tc>
      </w:tr>
      <w:tr>
        <w:tc>
          <w:tcPr/>
          <w:p>
            <w:pPr>
              <w:pStyle w:val="Compact"/>
              <w:jc w:val="left"/>
            </w:pPr>
            <w:r>
              <w:rPr>
                <w:b/>
                <w:bCs/>
              </w:rPr>
              <w:t xml:space="preserve">C. Functions</w:t>
            </w:r>
          </w:p>
        </w:tc>
        <w:tc>
          <w:tcPr/>
          <w:p>
            <w:pPr>
              <w:pStyle w:val="Compact"/>
              <w:jc w:val="left"/>
            </w:pPr>
            <w:r>
              <w:t xml:space="preserve">Blood bank/transfusion + Organ allocation</w:t>
            </w:r>
          </w:p>
        </w:tc>
        <w:tc>
          <w:tcPr/>
          <w:p>
            <w:pPr>
              <w:pStyle w:val="Compact"/>
              <w:jc w:val="center"/>
            </w:pPr>
            <w:r>
              <w:t xml:space="preserve">20</w:t>
            </w:r>
          </w:p>
        </w:tc>
      </w:tr>
      <w:tr>
        <w:tc>
          <w:tcPr/>
          <w:p>
            <w:pPr>
              <w:pStyle w:val="Compact"/>
              <w:jc w:val="left"/>
            </w:pPr>
            <w:r>
              <w:rPr>
                <w:b/>
                <w:bCs/>
              </w:rPr>
              <w:t xml:space="preserve">D. Uniqueness</w:t>
            </w:r>
          </w:p>
        </w:tc>
        <w:tc>
          <w:tcPr/>
          <w:p>
            <w:pPr>
              <w:pStyle w:val="Compact"/>
              <w:jc w:val="left"/>
            </w:pPr>
            <w:r>
              <w:t xml:space="preserve">Alternative providers available (metro area)</w:t>
            </w:r>
          </w:p>
        </w:tc>
        <w:tc>
          <w:tcPr/>
          <w:p>
            <w:pPr>
              <w:pStyle w:val="Compact"/>
              <w:jc w:val="center"/>
            </w:pPr>
            <w:r>
              <w:t xml:space="preserve">0</w:t>
            </w:r>
          </w:p>
        </w:tc>
      </w:tr>
      <w:tr>
        <w:tc>
          <w:tcPr/>
          <w:p>
            <w:pPr>
              <w:pStyle w:val="Compact"/>
              <w:jc w:val="left"/>
            </w:pPr>
            <w:r>
              <w:rPr>
                <w:b/>
                <w:bCs/>
              </w:rPr>
              <w:t xml:space="preserve">E. Dependencies</w:t>
            </w:r>
          </w:p>
        </w:tc>
        <w:tc>
          <w:tcPr/>
          <w:p>
            <w:pPr>
              <w:pStyle w:val="Compact"/>
              <w:jc w:val="left"/>
            </w:pPr>
            <w:r>
              <w:t xml:space="preserve">Other regional facilities depend on transplant services</w:t>
            </w:r>
          </w:p>
        </w:tc>
        <w:tc>
          <w:tcPr/>
          <w:p>
            <w:pPr>
              <w:pStyle w:val="Compact"/>
              <w:jc w:val="center"/>
            </w:pPr>
            <w:r>
              <w:t xml:space="preserve">8</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83</w:t>
            </w:r>
          </w:p>
        </w:tc>
      </w:tr>
    </w:tbl>
    <w:bookmarkEnd w:id="409"/>
    <w:bookmarkStart w:id="410" w:name="X3caf40433bb68049eacd7d05634c54c731c154d"/>
    <w:p>
      <w:pPr>
        <w:pStyle w:val="Heading4"/>
      </w:pPr>
      <w:r>
        <w:t xml:space="preserve">Scoring (Developing Country Framework - Adapted)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≥10,000 cases/year</w:t>
            </w:r>
          </w:p>
        </w:tc>
        <w:tc>
          <w:tcPr/>
          <w:p>
            <w:pPr>
              <w:pStyle w:val="Compact"/>
              <w:jc w:val="center"/>
            </w:pPr>
            <w:r>
              <w:t xml:space="preserve">30</w:t>
            </w:r>
          </w:p>
        </w:tc>
      </w:tr>
      <w:tr>
        <w:tc>
          <w:tcPr/>
          <w:p>
            <w:pPr>
              <w:pStyle w:val="Compact"/>
              <w:jc w:val="left"/>
            </w:pPr>
            <w:r>
              <w:rPr>
                <w:b/>
                <w:bCs/>
              </w:rPr>
              <w:t xml:space="preserve">B. Public System Role</w:t>
            </w:r>
          </w:p>
        </w:tc>
        <w:tc>
          <w:tcPr/>
          <w:p>
            <w:pPr>
              <w:pStyle w:val="Compact"/>
              <w:jc w:val="left"/>
            </w:pPr>
            <w:r>
              <w:t xml:space="preserve">Major Government Medical College</w:t>
            </w:r>
          </w:p>
        </w:tc>
        <w:tc>
          <w:tcPr/>
          <w:p>
            <w:pPr>
              <w:pStyle w:val="Compact"/>
              <w:jc w:val="center"/>
            </w:pPr>
            <w:r>
              <w:t xml:space="preserve">25</w:t>
            </w:r>
          </w:p>
        </w:tc>
      </w:tr>
      <w:tr>
        <w:tc>
          <w:tcPr/>
          <w:p>
            <w:pPr>
              <w:pStyle w:val="Compact"/>
              <w:jc w:val="left"/>
            </w:pPr>
            <w:r>
              <w:rPr>
                <w:b/>
                <w:bCs/>
              </w:rPr>
              <w:t xml:space="preserve">C. Geographic Criticality</w:t>
            </w:r>
          </w:p>
        </w:tc>
        <w:tc>
          <w:tcPr/>
          <w:p>
            <w:pPr>
              <w:pStyle w:val="Compact"/>
              <w:jc w:val="left"/>
            </w:pPr>
            <w:r>
              <w:t xml:space="preserve">Metro (not sole provider)</w:t>
            </w:r>
          </w:p>
        </w:tc>
        <w:tc>
          <w:tcPr/>
          <w:p>
            <w:pPr>
              <w:pStyle w:val="Compact"/>
              <w:jc w:val="center"/>
            </w:pPr>
            <w:r>
              <w:t xml:space="preserve">0</w:t>
            </w:r>
          </w:p>
        </w:tc>
      </w:tr>
      <w:tr>
        <w:tc>
          <w:tcPr/>
          <w:p>
            <w:pPr>
              <w:pStyle w:val="Compact"/>
              <w:jc w:val="left"/>
            </w:pPr>
            <w:r>
              <w:rPr>
                <w:b/>
                <w:bCs/>
              </w:rPr>
              <w:t xml:space="preserve">D. National Program Integration</w:t>
            </w:r>
          </w:p>
        </w:tc>
        <w:tc>
          <w:tcPr/>
          <w:p>
            <w:pPr>
              <w:pStyle w:val="Compact"/>
              <w:jc w:val="left"/>
            </w:pPr>
            <w:r>
              <w:t xml:space="preserve">Connected to national HIE</w:t>
            </w:r>
          </w:p>
        </w:tc>
        <w:tc>
          <w:tcPr/>
          <w:p>
            <w:pPr>
              <w:pStyle w:val="Compact"/>
              <w:jc w:val="center"/>
            </w:pPr>
            <w:r>
              <w:t xml:space="preserve">15</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70</w:t>
            </w:r>
          </w:p>
        </w:tc>
      </w:tr>
    </w:tbl>
    <w:bookmarkEnd w:id="410"/>
    <w:bookmarkEnd w:id="411"/>
    <w:bookmarkStart w:id="412" w:name="classification-result"/>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Developed Country</w:t>
            </w:r>
          </w:p>
        </w:tc>
        <w:tc>
          <w:tcPr/>
          <w:p>
            <w:pPr>
              <w:pStyle w:val="Compact"/>
              <w:jc w:val="left"/>
            </w:pPr>
            <w:r>
              <w:t xml:space="preserve">83</w:t>
            </w:r>
          </w:p>
        </w:tc>
        <w:tc>
          <w:tcPr/>
          <w:p>
            <w:pPr>
              <w:pStyle w:val="Compact"/>
              <w:jc w:val="left"/>
            </w:pPr>
            <w:r>
              <w:rPr>
                <w:b/>
                <w:bCs/>
              </w:rPr>
              <w:t xml:space="preserve">Tier 1 (Essential)</w:t>
            </w:r>
          </w:p>
        </w:tc>
        <w:tc>
          <w:tcPr/>
          <w:p>
            <w:pPr>
              <w:pStyle w:val="Compact"/>
              <w:jc w:val="left"/>
            </w:pPr>
            <w:r>
              <w:t xml:space="preserve">Exceeds 60-point threshold; ICU + transplant capability</w:t>
            </w:r>
          </w:p>
        </w:tc>
      </w:tr>
      <w:tr>
        <w:tc>
          <w:tcPr/>
          <w:p>
            <w:pPr>
              <w:pStyle w:val="Compact"/>
              <w:jc w:val="left"/>
            </w:pPr>
            <w:r>
              <w:rPr>
                <w:b/>
                <w:bCs/>
              </w:rPr>
              <w:t xml:space="preserve">Developing Country</w:t>
            </w:r>
          </w:p>
        </w:tc>
        <w:tc>
          <w:tcPr/>
          <w:p>
            <w:pPr>
              <w:pStyle w:val="Compact"/>
              <w:jc w:val="left"/>
            </w:pPr>
            <w:r>
              <w:t xml:space="preserve">70</w:t>
            </w:r>
          </w:p>
        </w:tc>
        <w:tc>
          <w:tcPr/>
          <w:p>
            <w:pPr>
              <w:pStyle w:val="Compact"/>
              <w:jc w:val="left"/>
            </w:pPr>
            <w:r>
              <w:rPr>
                <w:b/>
                <w:bCs/>
              </w:rPr>
              <w:t xml:space="preserve">Tier 1 (Essential)</w:t>
            </w:r>
          </w:p>
        </w:tc>
        <w:tc>
          <w:tcPr/>
          <w:p>
            <w:pPr>
              <w:pStyle w:val="Compact"/>
              <w:jc w:val="left"/>
            </w:pPr>
            <w:r>
              <w:t xml:space="preserve">Major teaching hospital; national program integration</w:t>
            </w:r>
          </w:p>
        </w:tc>
      </w:tr>
    </w:tbl>
    <w:bookmarkEnd w:id="412"/>
    <w:bookmarkStart w:id="413" w:name="applicable-obligations"/>
    <w:p>
      <w:pPr>
        <w:pStyle w:val="Heading3"/>
      </w:pPr>
      <w:r>
        <w:t xml:space="preserve">Applicable Obligations</w:t>
      </w:r>
    </w:p>
    <w:p>
      <w:pPr>
        <w:pStyle w:val="Compact"/>
        <w:numPr>
          <w:ilvl w:val="0"/>
          <w:numId w:val="1314"/>
        </w:numPr>
      </w:pPr>
      <w:r>
        <w:t xml:space="preserve">Annual security audit (third-party)</w:t>
      </w:r>
    </w:p>
    <w:p>
      <w:pPr>
        <w:pStyle w:val="Compact"/>
        <w:numPr>
          <w:ilvl w:val="0"/>
          <w:numId w:val="1314"/>
        </w:numPr>
      </w:pPr>
      <w:r>
        <w:t xml:space="preserve">24-48 hour incident reporting</w:t>
      </w:r>
    </w:p>
    <w:p>
      <w:pPr>
        <w:pStyle w:val="Compact"/>
        <w:numPr>
          <w:ilvl w:val="0"/>
          <w:numId w:val="1314"/>
        </w:numPr>
      </w:pPr>
      <w:r>
        <w:t xml:space="preserve">Dedicated CISO required</w:t>
      </w:r>
    </w:p>
    <w:p>
      <w:pPr>
        <w:pStyle w:val="Compact"/>
        <w:numPr>
          <w:ilvl w:val="0"/>
          <w:numId w:val="1314"/>
        </w:numPr>
      </w:pPr>
      <w:r>
        <w:t xml:space="preserve">Mandatory business continuity plan</w:t>
      </w:r>
    </w:p>
    <w:p>
      <w:pPr>
        <w:pStyle w:val="Compact"/>
        <w:numPr>
          <w:ilvl w:val="0"/>
          <w:numId w:val="1314"/>
        </w:numPr>
      </w:pPr>
      <w:r>
        <w:t xml:space="preserve">Participation in cyber drills</w:t>
      </w:r>
    </w:p>
    <w:p>
      <w:pPr>
        <w:pStyle w:val="Compact"/>
        <w:numPr>
          <w:ilvl w:val="0"/>
          <w:numId w:val="1314"/>
        </w:numPr>
      </w:pPr>
      <w:r>
        <w:t xml:space="preserve">24/7 security monitoring</w:t>
      </w:r>
    </w:p>
    <w:p>
      <w:r>
        <w:pict>
          <v:rect style="width:0;height:1.5pt" o:hralign="center" o:hrstd="t" o:hr="t"/>
        </w:pict>
      </w:r>
    </w:p>
    <w:bookmarkEnd w:id="413"/>
    <w:bookmarkEnd w:id="414"/>
    <w:bookmarkStart w:id="421" w:name="X9aee356a912c4687004bc3a0b48410be3b201ed"/>
    <w:p>
      <w:pPr>
        <w:pStyle w:val="Heading2"/>
      </w:pPr>
      <w:r>
        <w:t xml:space="preserve">Case Study 2: Rural District Hospital - Greenfield DH</w:t>
      </w:r>
    </w:p>
    <w:bookmarkStart w:id="415" w:name="entity-profile-1"/>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Greenfield District Hospital</w:t>
            </w:r>
          </w:p>
        </w:tc>
      </w:tr>
      <w:tr>
        <w:tc>
          <w:tcPr/>
          <w:p>
            <w:pPr>
              <w:pStyle w:val="Compact"/>
              <w:jc w:val="left"/>
            </w:pPr>
            <w:r>
              <w:rPr>
                <w:b/>
                <w:bCs/>
              </w:rPr>
              <w:t xml:space="preserve">Type</w:t>
            </w:r>
          </w:p>
        </w:tc>
        <w:tc>
          <w:tcPr/>
          <w:p>
            <w:pPr>
              <w:pStyle w:val="Compact"/>
              <w:jc w:val="left"/>
            </w:pPr>
            <w:r>
              <w:t xml:space="preserve">Government district hospital</w:t>
            </w:r>
          </w:p>
        </w:tc>
      </w:tr>
      <w:tr>
        <w:tc>
          <w:tcPr/>
          <w:p>
            <w:pPr>
              <w:pStyle w:val="Compact"/>
              <w:jc w:val="left"/>
            </w:pPr>
            <w:r>
              <w:rPr>
                <w:b/>
                <w:bCs/>
              </w:rPr>
              <w:t xml:space="preserve">Location</w:t>
            </w:r>
          </w:p>
        </w:tc>
        <w:tc>
          <w:tcPr/>
          <w:p>
            <w:pPr>
              <w:pStyle w:val="Compact"/>
              <w:jc w:val="left"/>
            </w:pPr>
            <w:r>
              <w:t xml:space="preserve">Rural district headquarters (district population 1.2 million)</w:t>
            </w:r>
          </w:p>
        </w:tc>
      </w:tr>
      <w:tr>
        <w:tc>
          <w:tcPr/>
          <w:p>
            <w:pPr>
              <w:pStyle w:val="Compact"/>
              <w:jc w:val="left"/>
            </w:pPr>
            <w:r>
              <w:rPr>
                <w:b/>
                <w:bCs/>
              </w:rPr>
              <w:t xml:space="preserve">Beds</w:t>
            </w:r>
          </w:p>
        </w:tc>
        <w:tc>
          <w:tcPr/>
          <w:p>
            <w:pPr>
              <w:pStyle w:val="Compact"/>
              <w:jc w:val="left"/>
            </w:pPr>
            <w:r>
              <w:t xml:space="preserve">150</w:t>
            </w:r>
          </w:p>
        </w:tc>
      </w:tr>
      <w:tr>
        <w:tc>
          <w:tcPr/>
          <w:p>
            <w:pPr>
              <w:pStyle w:val="Compact"/>
              <w:jc w:val="left"/>
            </w:pPr>
            <w:r>
              <w:rPr>
                <w:b/>
                <w:bCs/>
              </w:rPr>
              <w:t xml:space="preserve">Annual inpatient cases</w:t>
            </w:r>
          </w:p>
        </w:tc>
        <w:tc>
          <w:tcPr/>
          <w:p>
            <w:pPr>
              <w:pStyle w:val="Compact"/>
              <w:jc w:val="left"/>
            </w:pPr>
            <w:r>
              <w:t xml:space="preserve">8,000</w:t>
            </w:r>
          </w:p>
        </w:tc>
      </w:tr>
      <w:tr>
        <w:tc>
          <w:tcPr/>
          <w:p>
            <w:pPr>
              <w:pStyle w:val="Compact"/>
              <w:jc w:val="left"/>
            </w:pPr>
            <w:r>
              <w:rPr>
                <w:b/>
                <w:bCs/>
              </w:rPr>
              <w:t xml:space="preserve">Employees</w:t>
            </w:r>
          </w:p>
        </w:tc>
        <w:tc>
          <w:tcPr/>
          <w:p>
            <w:pPr>
              <w:pStyle w:val="Compact"/>
              <w:jc w:val="left"/>
            </w:pPr>
            <w:r>
              <w:t xml:space="preserve">280</w:t>
            </w:r>
          </w:p>
        </w:tc>
      </w:tr>
      <w:tr>
        <w:tc>
          <w:tcPr/>
          <w:p>
            <w:pPr>
              <w:pStyle w:val="Compact"/>
              <w:jc w:val="left"/>
            </w:pPr>
            <w:r>
              <w:rPr>
                <w:b/>
                <w:bCs/>
              </w:rPr>
              <w:t xml:space="preserve">Key departments</w:t>
            </w:r>
          </w:p>
        </w:tc>
        <w:tc>
          <w:tcPr/>
          <w:p>
            <w:pPr>
              <w:pStyle w:val="Compact"/>
              <w:jc w:val="left"/>
            </w:pPr>
            <w:r>
              <w:t xml:space="preserve">General surgery, Obstetrics, Emergency, No ICU</w:t>
            </w:r>
          </w:p>
        </w:tc>
      </w:tr>
      <w:tr>
        <w:tc>
          <w:tcPr/>
          <w:p>
            <w:pPr>
              <w:pStyle w:val="Compact"/>
              <w:jc w:val="left"/>
            </w:pPr>
            <w:r>
              <w:rPr>
                <w:b/>
                <w:bCs/>
              </w:rPr>
              <w:t xml:space="preserve">Digital systems</w:t>
            </w:r>
          </w:p>
        </w:tc>
        <w:tc>
          <w:tcPr/>
          <w:p>
            <w:pPr>
              <w:pStyle w:val="Compact"/>
              <w:jc w:val="left"/>
            </w:pPr>
            <w:r>
              <w:t xml:space="preserve">Basic HIS, connected to state disease surveillance</w:t>
            </w:r>
          </w:p>
        </w:tc>
      </w:tr>
      <w:tr>
        <w:tc>
          <w:tcPr/>
          <w:p>
            <w:pPr>
              <w:pStyle w:val="Compact"/>
              <w:jc w:val="left"/>
            </w:pPr>
            <w:r>
              <w:rPr>
                <w:b/>
                <w:bCs/>
              </w:rPr>
              <w:t xml:space="preserve">Connectivity</w:t>
            </w:r>
          </w:p>
        </w:tc>
        <w:tc>
          <w:tcPr/>
          <w:p>
            <w:pPr>
              <w:pStyle w:val="Compact"/>
              <w:jc w:val="left"/>
            </w:pPr>
            <w:r>
              <w:t xml:space="preserve">Intermittent broadband; mobile backup</w:t>
            </w:r>
          </w:p>
        </w:tc>
      </w:tr>
      <w:tr>
        <w:tc>
          <w:tcPr/>
          <w:p>
            <w:pPr>
              <w:pStyle w:val="Compact"/>
              <w:jc w:val="left"/>
            </w:pPr>
            <w:r>
              <w:rPr>
                <w:b/>
                <w:bCs/>
              </w:rPr>
              <w:t xml:space="preserve">Special status</w:t>
            </w:r>
          </w:p>
        </w:tc>
        <w:tc>
          <w:tcPr/>
          <w:p>
            <w:pPr>
              <w:pStyle w:val="Compact"/>
              <w:jc w:val="left"/>
            </w:pPr>
            <w:r>
              <w:rPr>
                <w:b/>
                <w:bCs/>
              </w:rPr>
              <w:t xml:space="preserve">Only hospital with surgical capability in the district</w:t>
            </w:r>
          </w:p>
        </w:tc>
      </w:tr>
    </w:tbl>
    <w:bookmarkEnd w:id="415"/>
    <w:bookmarkStart w:id="418" w:name="cii-classification-assessment-1"/>
    <w:p>
      <w:pPr>
        <w:pStyle w:val="Heading3"/>
      </w:pPr>
      <w:r>
        <w:t xml:space="preserve">CII Classification Assessment</w:t>
      </w:r>
    </w:p>
    <w:bookmarkStart w:id="416" w:name="scoring-developed-country-framework-1"/>
    <w:p>
      <w:pPr>
        <w:pStyle w:val="Heading4"/>
      </w:pPr>
      <w:r>
        <w:t xml:space="preserve">Scoring (Developed Country Framework)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5,000–14,999 cases/year</w:t>
            </w:r>
          </w:p>
        </w:tc>
        <w:tc>
          <w:tcPr/>
          <w:p>
            <w:pPr>
              <w:pStyle w:val="Compact"/>
              <w:jc w:val="center"/>
            </w:pPr>
            <w:r>
              <w:t xml:space="preserve">10</w:t>
            </w:r>
          </w:p>
        </w:tc>
      </w:tr>
      <w:tr>
        <w:tc>
          <w:tcPr/>
          <w:p>
            <w:pPr>
              <w:pStyle w:val="Compact"/>
              <w:jc w:val="left"/>
            </w:pPr>
            <w:r>
              <w:rPr>
                <w:b/>
                <w:bCs/>
              </w:rPr>
              <w:t xml:space="preserve">B. Capability</w:t>
            </w:r>
          </w:p>
        </w:tc>
        <w:tc>
          <w:tcPr/>
          <w:p>
            <w:pPr>
              <w:pStyle w:val="Compact"/>
              <w:jc w:val="left"/>
            </w:pPr>
            <w:r>
              <w:t xml:space="preserve">Emergency department only (no ICU)</w:t>
            </w:r>
          </w:p>
        </w:tc>
        <w:tc>
          <w:tcPr/>
          <w:p>
            <w:pPr>
              <w:pStyle w:val="Compact"/>
              <w:jc w:val="center"/>
            </w:pPr>
            <w:r>
              <w:t xml:space="preserve">10</w:t>
            </w:r>
          </w:p>
        </w:tc>
      </w:tr>
      <w:tr>
        <w:tc>
          <w:tcPr/>
          <w:p>
            <w:pPr>
              <w:pStyle w:val="Compact"/>
              <w:jc w:val="left"/>
            </w:pPr>
            <w:r>
              <w:rPr>
                <w:b/>
                <w:bCs/>
              </w:rPr>
              <w:t xml:space="preserve">C. Functions</w:t>
            </w:r>
          </w:p>
        </w:tc>
        <w:tc>
          <w:tcPr/>
          <w:p>
            <w:pPr>
              <w:pStyle w:val="Compact"/>
              <w:jc w:val="left"/>
            </w:pPr>
            <w:r>
              <w:t xml:space="preserve">None of the critical functions listed</w:t>
            </w:r>
          </w:p>
        </w:tc>
        <w:tc>
          <w:tcPr/>
          <w:p>
            <w:pPr>
              <w:pStyle w:val="Compact"/>
              <w:jc w:val="center"/>
            </w:pPr>
            <w:r>
              <w:t xml:space="preserve">0</w:t>
            </w:r>
          </w:p>
        </w:tc>
      </w:tr>
      <w:tr>
        <w:tc>
          <w:tcPr/>
          <w:p>
            <w:pPr>
              <w:pStyle w:val="Compact"/>
              <w:jc w:val="left"/>
            </w:pPr>
            <w:r>
              <w:rPr>
                <w:b/>
                <w:bCs/>
              </w:rPr>
              <w:t xml:space="preserve">D. Uniqueness</w:t>
            </w:r>
          </w:p>
        </w:tc>
        <w:tc>
          <w:tcPr/>
          <w:p>
            <w:pPr>
              <w:pStyle w:val="Compact"/>
              <w:jc w:val="left"/>
            </w:pPr>
            <w:r>
              <w:t xml:space="preserve">Sole provider in region</w:t>
            </w:r>
          </w:p>
        </w:tc>
        <w:tc>
          <w:tcPr/>
          <w:p>
            <w:pPr>
              <w:pStyle w:val="Compact"/>
              <w:jc w:val="center"/>
            </w:pPr>
            <w:r>
              <w:t xml:space="preserve">10</w:t>
            </w:r>
          </w:p>
        </w:tc>
      </w:tr>
      <w:tr>
        <w:tc>
          <w:tcPr/>
          <w:p>
            <w:pPr>
              <w:pStyle w:val="Compact"/>
              <w:jc w:val="left"/>
            </w:pPr>
            <w:r>
              <w:rPr>
                <w:b/>
                <w:bCs/>
              </w:rPr>
              <w:t xml:space="preserve">E. Dependencies</w:t>
            </w:r>
          </w:p>
        </w:tc>
        <w:tc>
          <w:tcPr/>
          <w:p>
            <w:pPr>
              <w:pStyle w:val="Compact"/>
              <w:jc w:val="left"/>
            </w:pPr>
            <w:r>
              <w:t xml:space="preserve">Limited external dependencies</w:t>
            </w:r>
          </w:p>
        </w:tc>
        <w:tc>
          <w:tcPr/>
          <w:p>
            <w:pPr>
              <w:pStyle w:val="Compact"/>
              <w:jc w:val="center"/>
            </w:pPr>
            <w:r>
              <w:t xml:space="preserve">3</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33</w:t>
            </w:r>
          </w:p>
        </w:tc>
      </w:tr>
    </w:tbl>
    <w:bookmarkEnd w:id="416"/>
    <w:bookmarkStart w:id="417" w:name="X0ab32670d4b6a1a97fb0e48e0c479b2b8ea3b00"/>
    <w:p>
      <w:pPr>
        <w:pStyle w:val="Heading4"/>
      </w:pPr>
      <w:r>
        <w:t xml:space="preserve">Scoring (Developing Country Framework - Adapted)</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5,000–9,999 cases/year</w:t>
            </w:r>
          </w:p>
        </w:tc>
        <w:tc>
          <w:tcPr/>
          <w:p>
            <w:pPr>
              <w:pStyle w:val="Compact"/>
              <w:jc w:val="center"/>
            </w:pPr>
            <w:r>
              <w:t xml:space="preserve">20</w:t>
            </w:r>
          </w:p>
        </w:tc>
      </w:tr>
      <w:tr>
        <w:tc>
          <w:tcPr/>
          <w:p>
            <w:pPr>
              <w:pStyle w:val="Compact"/>
              <w:jc w:val="left"/>
            </w:pPr>
            <w:r>
              <w:rPr>
                <w:b/>
                <w:bCs/>
              </w:rPr>
              <w:t xml:space="preserve">B. Public System Role</w:t>
            </w:r>
          </w:p>
        </w:tc>
        <w:tc>
          <w:tcPr/>
          <w:p>
            <w:pPr>
              <w:pStyle w:val="Compact"/>
              <w:jc w:val="left"/>
            </w:pPr>
            <w:r>
              <w:t xml:space="preserve">District Hospital (sole in district)</w:t>
            </w:r>
          </w:p>
        </w:tc>
        <w:tc>
          <w:tcPr/>
          <w:p>
            <w:pPr>
              <w:pStyle w:val="Compact"/>
              <w:jc w:val="center"/>
            </w:pPr>
            <w:r>
              <w:t xml:space="preserve">25</w:t>
            </w:r>
          </w:p>
        </w:tc>
      </w:tr>
      <w:tr>
        <w:tc>
          <w:tcPr/>
          <w:p>
            <w:pPr>
              <w:pStyle w:val="Compact"/>
              <w:jc w:val="left"/>
            </w:pPr>
            <w:r>
              <w:rPr>
                <w:b/>
                <w:bCs/>
              </w:rPr>
              <w:t xml:space="preserve">C. Geographic Criticality</w:t>
            </w:r>
          </w:p>
        </w:tc>
        <w:tc>
          <w:tcPr/>
          <w:p>
            <w:pPr>
              <w:pStyle w:val="Compact"/>
              <w:jc w:val="left"/>
            </w:pPr>
            <w:r>
              <w:t xml:space="preserve">Sole provider &gt;50km radius</w:t>
            </w:r>
          </w:p>
        </w:tc>
        <w:tc>
          <w:tcPr/>
          <w:p>
            <w:pPr>
              <w:pStyle w:val="Compact"/>
              <w:jc w:val="center"/>
            </w:pPr>
            <w:r>
              <w:t xml:space="preserve">20</w:t>
            </w:r>
          </w:p>
        </w:tc>
      </w:tr>
      <w:tr>
        <w:tc>
          <w:tcPr/>
          <w:p>
            <w:pPr>
              <w:pStyle w:val="Compact"/>
              <w:jc w:val="left"/>
            </w:pPr>
            <w:r>
              <w:rPr>
                <w:b/>
                <w:bCs/>
              </w:rPr>
              <w:t xml:space="preserve">D. National Program Integration</w:t>
            </w:r>
          </w:p>
        </w:tc>
        <w:tc>
          <w:tcPr/>
          <w:p>
            <w:pPr>
              <w:pStyle w:val="Compact"/>
              <w:jc w:val="left"/>
            </w:pPr>
            <w:r>
              <w:t xml:space="preserve">State disease surveillance node</w:t>
            </w:r>
          </w:p>
        </w:tc>
        <w:tc>
          <w:tcPr/>
          <w:p>
            <w:pPr>
              <w:pStyle w:val="Compact"/>
              <w:jc w:val="center"/>
            </w:pPr>
            <w:r>
              <w:t xml:space="preserve">10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75</w:t>
            </w:r>
          </w:p>
        </w:tc>
      </w:tr>
    </w:tbl>
    <w:bookmarkEnd w:id="417"/>
    <w:bookmarkEnd w:id="418"/>
    <w:bookmarkStart w:id="419" w:name="classification-result-1"/>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Developed Country</w:t>
            </w:r>
          </w:p>
        </w:tc>
        <w:tc>
          <w:tcPr/>
          <w:p>
            <w:pPr>
              <w:pStyle w:val="Compact"/>
              <w:jc w:val="left"/>
            </w:pPr>
            <w:r>
              <w:t xml:space="preserve">33</w:t>
            </w:r>
          </w:p>
        </w:tc>
        <w:tc>
          <w:tcPr/>
          <w:p>
            <w:pPr>
              <w:pStyle w:val="Compact"/>
              <w:jc w:val="left"/>
            </w:pPr>
            <w:r>
              <w:rPr>
                <w:b/>
                <w:bCs/>
              </w:rPr>
              <w:t xml:space="preserve">Tier 2 (Important)</w:t>
            </w:r>
          </w:p>
        </w:tc>
        <w:tc>
          <w:tcPr/>
          <w:p>
            <w:pPr>
              <w:pStyle w:val="Compact"/>
              <w:jc w:val="left"/>
            </w:pPr>
            <w:r>
              <w:t xml:space="preserve">Above 30 threshold; sole provider adds weight</w:t>
            </w:r>
          </w:p>
        </w:tc>
      </w:tr>
      <w:tr>
        <w:tc>
          <w:tcPr/>
          <w:p>
            <w:pPr>
              <w:pStyle w:val="Compact"/>
              <w:jc w:val="left"/>
            </w:pPr>
            <w:r>
              <w:rPr>
                <w:b/>
                <w:bCs/>
              </w:rPr>
              <w:t xml:space="preserve">Developing Country</w:t>
            </w:r>
          </w:p>
        </w:tc>
        <w:tc>
          <w:tcPr/>
          <w:p>
            <w:pPr>
              <w:pStyle w:val="Compact"/>
              <w:jc w:val="left"/>
            </w:pPr>
            <w:r>
              <w:t xml:space="preserve">75</w:t>
            </w:r>
          </w:p>
        </w:tc>
        <w:tc>
          <w:tcPr/>
          <w:p>
            <w:pPr>
              <w:pStyle w:val="Compact"/>
              <w:jc w:val="left"/>
            </w:pPr>
            <w:r>
              <w:rPr>
                <w:b/>
                <w:bCs/>
              </w:rPr>
              <w:t xml:space="preserve">Tier 1 (Essential)</w:t>
            </w:r>
          </w:p>
        </w:tc>
        <w:tc>
          <w:tcPr/>
          <w:p>
            <w:pPr>
              <w:pStyle w:val="Compact"/>
              <w:jc w:val="left"/>
            </w:pPr>
            <w:r>
              <w:rPr>
                <w:b/>
                <w:bCs/>
              </w:rPr>
              <w:t xml:space="preserve">Automatic Tier 1 trigger</w:t>
            </w:r>
            <w:r>
              <w:t xml:space="preserve">: Sole district hospital</w:t>
            </w:r>
          </w:p>
        </w:tc>
      </w:tr>
    </w:tbl>
    <w:p>
      <w:pPr>
        <w:pStyle w:val="BlockText"/>
      </w:pPr>
      <w:r>
        <w:t xml:space="preserve">[!IMPORTANT]</w:t>
      </w:r>
      <w:r>
        <w:t xml:space="preserve"> </w:t>
      </w:r>
      <w:r>
        <w:t xml:space="preserve">This case illustrates why developing country adaptations are critical. Under developed-country thresholds, this hospital would be Tier 2. However, as the</w:t>
      </w:r>
      <w:r>
        <w:t xml:space="preserve"> </w:t>
      </w:r>
      <w:r>
        <w:rPr>
          <w:b/>
          <w:bCs/>
        </w:rPr>
        <w:t xml:space="preserve">sole surgical/obstetric facility for 1.2 million people</w:t>
      </w:r>
      <w:r>
        <w:t xml:space="preserve">, it merits Tier 1 designation in the developing country context.</w:t>
      </w:r>
    </w:p>
    <w:bookmarkEnd w:id="419"/>
    <w:bookmarkStart w:id="420" w:name="Xfd473297de823c1424afcfbf66d703800e28126"/>
    <w:p>
      <w:pPr>
        <w:pStyle w:val="Heading3"/>
      </w:pPr>
      <w:r>
        <w:t xml:space="preserve">Applicable Obligations (Developing Country Tier 1)</w:t>
      </w:r>
    </w:p>
    <w:p>
      <w:pPr>
        <w:pStyle w:val="Compact"/>
        <w:numPr>
          <w:ilvl w:val="0"/>
          <w:numId w:val="1315"/>
        </w:numPr>
      </w:pPr>
      <w:r>
        <w:t xml:space="preserve">Annual security audit (may be state-supported)</w:t>
      </w:r>
    </w:p>
    <w:p>
      <w:pPr>
        <w:pStyle w:val="Compact"/>
        <w:numPr>
          <w:ilvl w:val="0"/>
          <w:numId w:val="1315"/>
        </w:numPr>
      </w:pPr>
      <w:r>
        <w:t xml:space="preserve">24-48 hour incident reporting</w:t>
      </w:r>
    </w:p>
    <w:p>
      <w:pPr>
        <w:pStyle w:val="Compact"/>
        <w:numPr>
          <w:ilvl w:val="0"/>
          <w:numId w:val="1315"/>
        </w:numPr>
      </w:pPr>
      <w:r>
        <w:t xml:space="preserve">Security focal point required (may share with district administration)</w:t>
      </w:r>
    </w:p>
    <w:p>
      <w:pPr>
        <w:pStyle w:val="Compact"/>
        <w:numPr>
          <w:ilvl w:val="0"/>
          <w:numId w:val="1315"/>
        </w:numPr>
      </w:pPr>
      <w:r>
        <w:t xml:space="preserve">Business continuity plan with manual fallback procedures</w:t>
      </w:r>
    </w:p>
    <w:p>
      <w:pPr>
        <w:pStyle w:val="Compact"/>
        <w:numPr>
          <w:ilvl w:val="0"/>
          <w:numId w:val="1315"/>
        </w:numPr>
      </w:pPr>
      <w:r>
        <w:t xml:space="preserve">State SOC integration (shared services model)</w:t>
      </w:r>
    </w:p>
    <w:p>
      <w:r>
        <w:pict>
          <v:rect style="width:0;height:1.5pt" o:hralign="center" o:hrstd="t" o:hr="t"/>
        </w:pict>
      </w:r>
    </w:p>
    <w:bookmarkEnd w:id="420"/>
    <w:bookmarkEnd w:id="421"/>
    <w:bookmarkStart w:id="429" w:name="X34be264702d59f4fee2f2dfa5fb48329be82602"/>
    <w:p>
      <w:pPr>
        <w:pStyle w:val="Heading2"/>
      </w:pPr>
      <w:r>
        <w:t xml:space="preserve">Case Study 3: Private Hospital Chain - HealthFirst Network</w:t>
      </w:r>
    </w:p>
    <w:bookmarkStart w:id="422" w:name="entity-profile-2"/>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HealthFirst Hospital Network</w:t>
            </w:r>
          </w:p>
        </w:tc>
      </w:tr>
      <w:tr>
        <w:tc>
          <w:tcPr/>
          <w:p>
            <w:pPr>
              <w:pStyle w:val="Compact"/>
              <w:jc w:val="left"/>
            </w:pPr>
            <w:r>
              <w:rPr>
                <w:b/>
                <w:bCs/>
              </w:rPr>
              <w:t xml:space="preserve">Type</w:t>
            </w:r>
          </w:p>
        </w:tc>
        <w:tc>
          <w:tcPr/>
          <w:p>
            <w:pPr>
              <w:pStyle w:val="Compact"/>
              <w:jc w:val="left"/>
            </w:pPr>
            <w:r>
              <w:t xml:space="preserve">Private corporate hospital chain</w:t>
            </w:r>
          </w:p>
        </w:tc>
      </w:tr>
      <w:tr>
        <w:tc>
          <w:tcPr/>
          <w:p>
            <w:pPr>
              <w:pStyle w:val="Compact"/>
              <w:jc w:val="left"/>
            </w:pPr>
            <w:r>
              <w:rPr>
                <w:b/>
                <w:bCs/>
              </w:rPr>
              <w:t xml:space="preserve">Coverage</w:t>
            </w:r>
          </w:p>
        </w:tc>
        <w:tc>
          <w:tcPr/>
          <w:p>
            <w:pPr>
              <w:pStyle w:val="Compact"/>
              <w:jc w:val="left"/>
            </w:pPr>
            <w:r>
              <w:t xml:space="preserve">15 hospitals across 8 states</w:t>
            </w:r>
          </w:p>
        </w:tc>
      </w:tr>
      <w:tr>
        <w:tc>
          <w:tcPr/>
          <w:p>
            <w:pPr>
              <w:pStyle w:val="Compact"/>
              <w:jc w:val="left"/>
            </w:pPr>
            <w:r>
              <w:rPr>
                <w:b/>
                <w:bCs/>
              </w:rPr>
              <w:t xml:space="preserve">Total beds</w:t>
            </w:r>
          </w:p>
        </w:tc>
        <w:tc>
          <w:tcPr/>
          <w:p>
            <w:pPr>
              <w:pStyle w:val="Compact"/>
              <w:jc w:val="left"/>
            </w:pPr>
            <w:r>
              <w:t xml:space="preserve">4,500 (average 300 per hospital)</w:t>
            </w:r>
          </w:p>
        </w:tc>
      </w:tr>
      <w:tr>
        <w:tc>
          <w:tcPr/>
          <w:p>
            <w:pPr>
              <w:pStyle w:val="Compact"/>
              <w:jc w:val="left"/>
            </w:pPr>
            <w:r>
              <w:rPr>
                <w:b/>
                <w:bCs/>
              </w:rPr>
              <w:t xml:space="preserve">Annual inpatient cases</w:t>
            </w:r>
          </w:p>
        </w:tc>
        <w:tc>
          <w:tcPr/>
          <w:p>
            <w:pPr>
              <w:pStyle w:val="Compact"/>
              <w:jc w:val="left"/>
            </w:pPr>
            <w:r>
              <w:t xml:space="preserve">180,000 (network-wide)</w:t>
            </w:r>
          </w:p>
        </w:tc>
      </w:tr>
      <w:tr>
        <w:tc>
          <w:tcPr/>
          <w:p>
            <w:pPr>
              <w:pStyle w:val="Compact"/>
              <w:jc w:val="left"/>
            </w:pPr>
            <w:r>
              <w:rPr>
                <w:b/>
                <w:bCs/>
              </w:rPr>
              <w:t xml:space="preserve">Employees</w:t>
            </w:r>
          </w:p>
        </w:tc>
        <w:tc>
          <w:tcPr/>
          <w:p>
            <w:pPr>
              <w:pStyle w:val="Compact"/>
              <w:jc w:val="left"/>
            </w:pPr>
            <w:r>
              <w:t xml:space="preserve">12,000</w:t>
            </w:r>
          </w:p>
        </w:tc>
      </w:tr>
      <w:tr>
        <w:tc>
          <w:tcPr/>
          <w:p>
            <w:pPr>
              <w:pStyle w:val="Compact"/>
              <w:jc w:val="left"/>
            </w:pPr>
            <w:r>
              <w:rPr>
                <w:b/>
                <w:bCs/>
              </w:rPr>
              <w:t xml:space="preserve">Key features</w:t>
            </w:r>
          </w:p>
        </w:tc>
        <w:tc>
          <w:tcPr/>
          <w:p>
            <w:pPr>
              <w:pStyle w:val="Compact"/>
              <w:jc w:val="left"/>
            </w:pPr>
            <w:r>
              <w:t xml:space="preserve">ICU in all facilities; 3 hospitals with cardiac surgery</w:t>
            </w:r>
          </w:p>
        </w:tc>
      </w:tr>
      <w:tr>
        <w:tc>
          <w:tcPr/>
          <w:p>
            <w:pPr>
              <w:pStyle w:val="Compact"/>
              <w:jc w:val="left"/>
            </w:pPr>
            <w:r>
              <w:rPr>
                <w:b/>
                <w:bCs/>
              </w:rPr>
              <w:t xml:space="preserve">Digital systems</w:t>
            </w:r>
          </w:p>
        </w:tc>
        <w:tc>
          <w:tcPr/>
          <w:p>
            <w:pPr>
              <w:pStyle w:val="Compact"/>
              <w:jc w:val="left"/>
            </w:pPr>
            <w:r>
              <w:t xml:space="preserve">Centralized cloud EHR; unified patient portal</w:t>
            </w:r>
          </w:p>
        </w:tc>
      </w:tr>
      <w:tr>
        <w:tc>
          <w:tcPr/>
          <w:p>
            <w:pPr>
              <w:pStyle w:val="Compact"/>
              <w:jc w:val="left"/>
            </w:pPr>
            <w:r>
              <w:rPr>
                <w:b/>
                <w:bCs/>
              </w:rPr>
              <w:t xml:space="preserve">Market position</w:t>
            </w:r>
          </w:p>
        </w:tc>
        <w:tc>
          <w:tcPr/>
          <w:p>
            <w:pPr>
              <w:pStyle w:val="Compact"/>
              <w:jc w:val="left"/>
            </w:pPr>
            <w:r>
              <w:t xml:space="preserve">Second-largest private chain in the country</w:t>
            </w:r>
          </w:p>
        </w:tc>
      </w:tr>
    </w:tbl>
    <w:bookmarkEnd w:id="422"/>
    <w:bookmarkStart w:id="426" w:name="cii-classification-assessment-2"/>
    <w:p>
      <w:pPr>
        <w:pStyle w:val="Heading3"/>
      </w:pPr>
      <w:r>
        <w:t xml:space="preserve">CII Classification Assessment</w:t>
      </w:r>
    </w:p>
    <w:bookmarkStart w:id="423" w:name="entity-level-vs-system-level-analysis"/>
    <w:p>
      <w:pPr>
        <w:pStyle w:val="Heading4"/>
      </w:pPr>
      <w:r>
        <w:t xml:space="preserve">Entity-Level vs System-Level Analysis</w:t>
      </w:r>
    </w:p>
    <w:tbl>
      <w:tblPr>
        <w:tblStyle w:val="Table"/>
        <w:tblW w:type="pct" w:w="5000"/>
        <w:tblLayout w:type="fixed"/>
        <w:tblLook w:firstRow="1" w:lastRow="0" w:firstColumn="0" w:lastColumn="0" w:noHBand="0" w:noVBand="0" w:val="0020"/>
      </w:tblPr>
      <w:tblGrid>
        <w:gridCol w:w="3840"/>
        <w:gridCol w:w="1680"/>
        <w:gridCol w:w="2400"/>
      </w:tblGrid>
      <w:tr>
        <w:trPr>
          <w:tblHeader w:val="on"/>
        </w:trPr>
        <w:tc>
          <w:tcPr/>
          <w:p>
            <w:pPr>
              <w:pStyle w:val="Compact"/>
              <w:jc w:val="left"/>
            </w:pPr>
            <w:r>
              <w:t xml:space="preserve">Analysis Level</w:t>
            </w:r>
          </w:p>
        </w:tc>
        <w:tc>
          <w:tcPr/>
          <w:p>
            <w:pPr>
              <w:pStyle w:val="Compact"/>
              <w:jc w:val="left"/>
            </w:pPr>
            <w:r>
              <w:t xml:space="preserve">Scope</w:t>
            </w:r>
          </w:p>
        </w:tc>
        <w:tc>
          <w:tcPr/>
          <w:p>
            <w:pPr>
              <w:pStyle w:val="Compact"/>
              <w:jc w:val="left"/>
            </w:pPr>
            <w:r>
              <w:t xml:space="preserve">Approach</w:t>
            </w:r>
          </w:p>
        </w:tc>
      </w:tr>
      <w:tr>
        <w:tc>
          <w:tcPr/>
          <w:p>
            <w:pPr>
              <w:pStyle w:val="Compact"/>
              <w:jc w:val="left"/>
            </w:pPr>
            <w:r>
              <w:rPr>
                <w:b/>
                <w:bCs/>
              </w:rPr>
              <w:t xml:space="preserve">Entity-level (network)</w:t>
            </w:r>
          </w:p>
        </w:tc>
        <w:tc>
          <w:tcPr/>
          <w:p>
            <w:pPr>
              <w:pStyle w:val="Compact"/>
              <w:jc w:val="left"/>
            </w:pPr>
            <w:r>
              <w:t xml:space="preserve">Entire chain as single entity</w:t>
            </w:r>
          </w:p>
        </w:tc>
        <w:tc>
          <w:tcPr/>
          <w:p>
            <w:pPr>
              <w:pStyle w:val="Compact"/>
              <w:jc w:val="left"/>
            </w:pPr>
            <w:r>
              <w:t xml:space="preserve">Aggregate scoring</w:t>
            </w:r>
          </w:p>
        </w:tc>
      </w:tr>
      <w:tr>
        <w:tc>
          <w:tcPr/>
          <w:p>
            <w:pPr>
              <w:pStyle w:val="Compact"/>
              <w:jc w:val="left"/>
            </w:pPr>
            <w:r>
              <w:rPr>
                <w:b/>
                <w:bCs/>
              </w:rPr>
              <w:t xml:space="preserve">System-level</w:t>
            </w:r>
          </w:p>
        </w:tc>
        <w:tc>
          <w:tcPr/>
          <w:p>
            <w:pPr>
              <w:pStyle w:val="Compact"/>
              <w:jc w:val="left"/>
            </w:pPr>
            <w:r>
              <w:t xml:space="preserve">Centralized EHR platform</w:t>
            </w:r>
          </w:p>
        </w:tc>
        <w:tc>
          <w:tcPr/>
          <w:p>
            <w:pPr>
              <w:pStyle w:val="Compact"/>
              <w:jc w:val="left"/>
            </w:pPr>
            <w:r>
              <w:t xml:space="preserve">System criticality assessment</w:t>
            </w:r>
          </w:p>
        </w:tc>
      </w:tr>
      <w:tr>
        <w:tc>
          <w:tcPr/>
          <w:p>
            <w:pPr>
              <w:pStyle w:val="Compact"/>
              <w:jc w:val="left"/>
            </w:pPr>
            <w:r>
              <w:rPr>
                <w:b/>
                <w:bCs/>
              </w:rPr>
              <w:t xml:space="preserve">Facility-level</w:t>
            </w:r>
          </w:p>
        </w:tc>
        <w:tc>
          <w:tcPr/>
          <w:p>
            <w:pPr>
              <w:pStyle w:val="Compact"/>
              <w:jc w:val="left"/>
            </w:pPr>
            <w:r>
              <w:t xml:space="preserve">Each hospital individually</w:t>
            </w:r>
          </w:p>
        </w:tc>
        <w:tc>
          <w:tcPr/>
          <w:p>
            <w:pPr>
              <w:pStyle w:val="Compact"/>
              <w:jc w:val="left"/>
            </w:pPr>
            <w:r>
              <w:t xml:space="preserve">Facility-by-facility scoring</w:t>
            </w:r>
          </w:p>
        </w:tc>
      </w:tr>
    </w:tbl>
    <w:bookmarkEnd w:id="423"/>
    <w:bookmarkStart w:id="424" w:name="network-level-scoring-developing-country"/>
    <w:p>
      <w:pPr>
        <w:pStyle w:val="Heading4"/>
      </w:pPr>
      <w:r>
        <w:t xml:space="preserve">Network-Level Scoring (Developing Country)</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≥10,000 cases/year (network: 180,000)</w:t>
            </w:r>
          </w:p>
        </w:tc>
        <w:tc>
          <w:tcPr/>
          <w:p>
            <w:pPr>
              <w:pStyle w:val="Compact"/>
              <w:jc w:val="center"/>
            </w:pPr>
            <w:r>
              <w:t xml:space="preserve">30</w:t>
            </w:r>
          </w:p>
        </w:tc>
      </w:tr>
      <w:tr>
        <w:tc>
          <w:tcPr/>
          <w:p>
            <w:pPr>
              <w:pStyle w:val="Compact"/>
              <w:jc w:val="left"/>
            </w:pPr>
            <w:r>
              <w:rPr>
                <w:b/>
                <w:bCs/>
              </w:rPr>
              <w:t xml:space="preserve">B. Capability</w:t>
            </w:r>
          </w:p>
        </w:tc>
        <w:tc>
          <w:tcPr/>
          <w:p>
            <w:pPr>
              <w:pStyle w:val="Compact"/>
              <w:jc w:val="left"/>
            </w:pPr>
            <w:r>
              <w:t xml:space="preserve">ICU present in all facilities</w:t>
            </w:r>
          </w:p>
        </w:tc>
        <w:tc>
          <w:tcPr/>
          <w:p>
            <w:pPr>
              <w:pStyle w:val="Compact"/>
              <w:jc w:val="center"/>
            </w:pPr>
            <w:r>
              <w:t xml:space="preserve">25</w:t>
            </w:r>
          </w:p>
        </w:tc>
      </w:tr>
      <w:tr>
        <w:tc>
          <w:tcPr/>
          <w:p>
            <w:pPr>
              <w:pStyle w:val="Compact"/>
              <w:jc w:val="left"/>
            </w:pPr>
            <w:r>
              <w:rPr>
                <w:b/>
                <w:bCs/>
              </w:rPr>
              <w:t xml:space="preserve">C. Geographic Criticality</w:t>
            </w:r>
          </w:p>
        </w:tc>
        <w:tc>
          <w:tcPr/>
          <w:p>
            <w:pPr>
              <w:pStyle w:val="Compact"/>
              <w:jc w:val="left"/>
            </w:pPr>
            <w:r>
              <w:t xml:space="preserve">Multi-state presence; alternative providers in most locations</w:t>
            </w:r>
          </w:p>
        </w:tc>
        <w:tc>
          <w:tcPr/>
          <w:p>
            <w:pPr>
              <w:pStyle w:val="Compact"/>
              <w:jc w:val="center"/>
            </w:pPr>
            <w:r>
              <w:t xml:space="preserve">5</w:t>
            </w:r>
          </w:p>
        </w:tc>
      </w:tr>
      <w:tr>
        <w:tc>
          <w:tcPr/>
          <w:p>
            <w:pPr>
              <w:pStyle w:val="Compact"/>
              <w:jc w:val="left"/>
            </w:pPr>
            <w:r>
              <w:rPr>
                <w:b/>
                <w:bCs/>
              </w:rPr>
              <w:t xml:space="preserve">D. National Program Integration</w:t>
            </w:r>
          </w:p>
        </w:tc>
        <w:tc>
          <w:tcPr/>
          <w:p>
            <w:pPr>
              <w:pStyle w:val="Compact"/>
              <w:jc w:val="left"/>
            </w:pPr>
            <w:r>
              <w:t xml:space="preserve">PM-JAY empaneled; national HIE connected</w:t>
            </w:r>
          </w:p>
        </w:tc>
        <w:tc>
          <w:tcPr/>
          <w:p>
            <w:pPr>
              <w:pStyle w:val="Compact"/>
              <w:jc w:val="center"/>
            </w:pPr>
            <w:r>
              <w:t xml:space="preserve">20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80</w:t>
            </w:r>
          </w:p>
        </w:tc>
      </w:tr>
    </w:tbl>
    <w:bookmarkEnd w:id="424"/>
    <w:bookmarkStart w:id="425" w:name="Xdfe244c1f93ceac1c8d404606069507aee55b41"/>
    <w:p>
      <w:pPr>
        <w:pStyle w:val="Heading4"/>
      </w:pPr>
      <w:r>
        <w:t xml:space="preserve">System-Level Assessment: Centralized EHR Platform</w:t>
      </w:r>
    </w:p>
    <w:tbl>
      <w:tblPr>
        <w:tblStyle w:val="Table"/>
        <w:tblW w:type="pct" w:w="5000"/>
        <w:tblLayout w:type="fixed"/>
        <w:tblLook w:firstRow="1" w:lastRow="0" w:firstColumn="0" w:lastColumn="0" w:noHBand="0" w:noVBand="0" w:val="0020"/>
      </w:tblPr>
      <w:tblGrid>
        <w:gridCol w:w="2346"/>
        <w:gridCol w:w="3520"/>
        <w:gridCol w:w="2053"/>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center"/>
            </w:pPr>
            <w:r>
              <w:t xml:space="preserve">Score</w:t>
            </w:r>
          </w:p>
        </w:tc>
      </w:tr>
      <w:tr>
        <w:tc>
          <w:tcPr/>
          <w:p>
            <w:pPr>
              <w:pStyle w:val="Compact"/>
              <w:jc w:val="left"/>
            </w:pPr>
            <w:r>
              <w:rPr>
                <w:b/>
                <w:bCs/>
              </w:rPr>
              <w:t xml:space="preserve">Availability Impact</w:t>
            </w:r>
          </w:p>
        </w:tc>
        <w:tc>
          <w:tcPr/>
          <w:p>
            <w:pPr>
              <w:pStyle w:val="Compact"/>
              <w:jc w:val="left"/>
            </w:pPr>
            <w:r>
              <w:t xml:space="preserve">Outage affects 180,000 patients/year across 15 hospitals</w:t>
            </w:r>
          </w:p>
        </w:tc>
        <w:tc>
          <w:tcPr/>
          <w:p>
            <w:pPr>
              <w:pStyle w:val="Compact"/>
              <w:jc w:val="center"/>
            </w:pPr>
            <w:r>
              <w:t xml:space="preserve">10</w:t>
            </w:r>
          </w:p>
        </w:tc>
      </w:tr>
      <w:tr>
        <w:tc>
          <w:tcPr/>
          <w:p>
            <w:pPr>
              <w:pStyle w:val="Compact"/>
              <w:jc w:val="left"/>
            </w:pPr>
            <w:r>
              <w:rPr>
                <w:b/>
                <w:bCs/>
              </w:rPr>
              <w:t xml:space="preserve">Integrity Impact</w:t>
            </w:r>
          </w:p>
        </w:tc>
        <w:tc>
          <w:tcPr/>
          <w:p>
            <w:pPr>
              <w:pStyle w:val="Compact"/>
              <w:jc w:val="left"/>
            </w:pPr>
            <w:r>
              <w:t xml:space="preserve">Data corruption could affect treatment decisions</w:t>
            </w:r>
          </w:p>
        </w:tc>
        <w:tc>
          <w:tcPr/>
          <w:p>
            <w:pPr>
              <w:pStyle w:val="Compact"/>
              <w:jc w:val="center"/>
            </w:pPr>
            <w:r>
              <w:t xml:space="preserve">9</w:t>
            </w:r>
          </w:p>
        </w:tc>
      </w:tr>
      <w:tr>
        <w:tc>
          <w:tcPr/>
          <w:p>
            <w:pPr>
              <w:pStyle w:val="Compact"/>
              <w:jc w:val="left"/>
            </w:pPr>
            <w:r>
              <w:rPr>
                <w:b/>
                <w:bCs/>
              </w:rPr>
              <w:t xml:space="preserve">Confidentiality Impact</w:t>
            </w:r>
          </w:p>
        </w:tc>
        <w:tc>
          <w:tcPr/>
          <w:p>
            <w:pPr>
              <w:pStyle w:val="Compact"/>
              <w:jc w:val="left"/>
            </w:pPr>
            <w:r>
              <w:t xml:space="preserve">Millions of patient records at risk</w:t>
            </w:r>
          </w:p>
        </w:tc>
        <w:tc>
          <w:tcPr/>
          <w:p>
            <w:pPr>
              <w:pStyle w:val="Compact"/>
              <w:jc w:val="center"/>
            </w:pPr>
            <w:r>
              <w:t xml:space="preserve">9</w:t>
            </w:r>
          </w:p>
        </w:tc>
      </w:tr>
      <w:tr>
        <w:tc>
          <w:tcPr/>
          <w:p>
            <w:pPr>
              <w:pStyle w:val="Compact"/>
              <w:jc w:val="left"/>
            </w:pPr>
            <w:r>
              <w:rPr>
                <w:b/>
                <w:bCs/>
              </w:rPr>
              <w:t xml:space="preserve">Substitutability</w:t>
            </w:r>
          </w:p>
        </w:tc>
        <w:tc>
          <w:tcPr/>
          <w:p>
            <w:pPr>
              <w:pStyle w:val="Compact"/>
              <w:jc w:val="left"/>
            </w:pPr>
            <w:r>
              <w:t xml:space="preserve">Paper fallback possible but severely impacts operations</w:t>
            </w:r>
          </w:p>
        </w:tc>
        <w:tc>
          <w:tcPr/>
          <w:p>
            <w:pPr>
              <w:pStyle w:val="Compact"/>
              <w:jc w:val="center"/>
            </w:pPr>
            <w:r>
              <w:t xml:space="preserve">7</w:t>
            </w:r>
          </w:p>
        </w:tc>
      </w:tr>
      <w:tr>
        <w:tc>
          <w:tcPr/>
          <w:p>
            <w:pPr>
              <w:pStyle w:val="Compact"/>
              <w:jc w:val="left"/>
            </w:pPr>
            <w:r>
              <w:rPr>
                <w:b/>
                <w:bCs/>
              </w:rPr>
              <w:t xml:space="preserve">Recovery Time</w:t>
            </w:r>
          </w:p>
        </w:tc>
        <w:tc>
          <w:tcPr/>
          <w:p>
            <w:pPr>
              <w:pStyle w:val="Compact"/>
              <w:jc w:val="left"/>
            </w:pPr>
            <w:r>
              <w:t xml:space="preserve">RTO estimated 48+ hours for full restoration</w:t>
            </w:r>
          </w:p>
        </w:tc>
        <w:tc>
          <w:tcPr/>
          <w:p>
            <w:pPr>
              <w:pStyle w:val="Compact"/>
              <w:jc w:val="center"/>
            </w:pPr>
            <w:r>
              <w:t xml:space="preserve">9</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44</w:t>
            </w:r>
          </w:p>
        </w:tc>
      </w:tr>
    </w:tbl>
    <w:bookmarkEnd w:id="425"/>
    <w:bookmarkEnd w:id="426"/>
    <w:bookmarkStart w:id="427" w:name="classification-result-2"/>
    <w:p>
      <w:pPr>
        <w:pStyle w:val="Heading3"/>
      </w:pPr>
      <w:r>
        <w:t xml:space="preserve">Classification Result</w:t>
      </w:r>
    </w:p>
    <w:tbl>
      <w:tblPr>
        <w:tblStyle w:val="Table"/>
        <w:tblW w:type="pct" w:w="5000"/>
        <w:tblLayout w:type="fixed"/>
        <w:tblLook w:firstRow="1" w:lastRow="0" w:firstColumn="0" w:lastColumn="0" w:noHBand="0" w:noVBand="0" w:val="0020"/>
      </w:tblPr>
      <w:tblGrid>
        <w:gridCol w:w="1788"/>
        <w:gridCol w:w="1788"/>
        <w:gridCol w:w="1532"/>
        <w:gridCol w:w="2810"/>
      </w:tblGrid>
      <w:tr>
        <w:trPr>
          <w:tblHeader w:val="on"/>
        </w:trPr>
        <w:tc>
          <w:tcPr/>
          <w:p>
            <w:pPr>
              <w:pStyle w:val="Compact"/>
              <w:jc w:val="left"/>
            </w:pPr>
            <w:r>
              <w:t xml:space="preserve">Level</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Network (entity)</w:t>
            </w:r>
          </w:p>
        </w:tc>
        <w:tc>
          <w:tcPr/>
          <w:p>
            <w:pPr>
              <w:pStyle w:val="Compact"/>
              <w:jc w:val="left"/>
            </w:pPr>
            <w:r>
              <w:t xml:space="preserve">80</w:t>
            </w:r>
          </w:p>
        </w:tc>
        <w:tc>
          <w:tcPr/>
          <w:p>
            <w:pPr>
              <w:pStyle w:val="Compact"/>
              <w:jc w:val="left"/>
            </w:pPr>
            <w:r>
              <w:rPr>
                <w:b/>
                <w:bCs/>
              </w:rPr>
              <w:t xml:space="preserve">Tier 1</w:t>
            </w:r>
          </w:p>
        </w:tc>
        <w:tc>
          <w:tcPr/>
          <w:p>
            <w:pPr>
              <w:pStyle w:val="Compact"/>
              <w:jc w:val="left"/>
            </w:pPr>
            <w:r>
              <w:t xml:space="preserve">Scale + capability + national program integration</w:t>
            </w:r>
          </w:p>
        </w:tc>
      </w:tr>
      <w:tr>
        <w:tc>
          <w:tcPr/>
          <w:p>
            <w:pPr>
              <w:pStyle w:val="Compact"/>
              <w:jc w:val="left"/>
            </w:pPr>
            <w:r>
              <w:rPr>
                <w:b/>
                <w:bCs/>
              </w:rPr>
              <w:t xml:space="preserve">Centralized EHR (system)</w:t>
            </w:r>
          </w:p>
        </w:tc>
        <w:tc>
          <w:tcPr/>
          <w:p>
            <w:pPr>
              <w:pStyle w:val="Compact"/>
              <w:jc w:val="left"/>
            </w:pPr>
            <w:r>
              <w:t xml:space="preserve">44</w:t>
            </w:r>
          </w:p>
        </w:tc>
        <w:tc>
          <w:tcPr/>
          <w:p>
            <w:pPr>
              <w:pStyle w:val="Compact"/>
              <w:jc w:val="left"/>
            </w:pPr>
            <w:r>
              <w:rPr>
                <w:b/>
                <w:bCs/>
              </w:rPr>
              <w:t xml:space="preserve">Tier 1 System</w:t>
            </w:r>
          </w:p>
        </w:tc>
        <w:tc>
          <w:tcPr/>
          <w:p>
            <w:pPr>
              <w:pStyle w:val="Compact"/>
              <w:jc w:val="left"/>
            </w:pPr>
            <w:r>
              <w:t xml:space="preserve">High criticality across all factors</w:t>
            </w:r>
          </w:p>
        </w:tc>
      </w:tr>
      <w:tr>
        <w:tc>
          <w:tcPr/>
          <w:p>
            <w:pPr>
              <w:pStyle w:val="Compact"/>
              <w:jc w:val="left"/>
            </w:pPr>
            <w:r>
              <w:rPr>
                <w:b/>
                <w:bCs/>
              </w:rPr>
              <w:t xml:space="preserve">Individual hospitals</w:t>
            </w:r>
          </w:p>
        </w:tc>
        <w:tc>
          <w:tcPr/>
          <w:p>
            <w:pPr>
              <w:pStyle w:val="Compact"/>
              <w:jc w:val="left"/>
            </w:pPr>
            <w:r>
              <w:t xml:space="preserve">Varies</w:t>
            </w:r>
          </w:p>
        </w:tc>
        <w:tc>
          <w:tcPr/>
          <w:p>
            <w:pPr>
              <w:pStyle w:val="Compact"/>
              <w:jc w:val="left"/>
            </w:pPr>
            <w:r>
              <w:rPr>
                <w:b/>
                <w:bCs/>
              </w:rPr>
              <w:t xml:space="preserve">Tier 1 or 2</w:t>
            </w:r>
          </w:p>
        </w:tc>
        <w:tc>
          <w:tcPr/>
          <w:p>
            <w:pPr>
              <w:pStyle w:val="Compact"/>
              <w:jc w:val="left"/>
            </w:pPr>
            <w:r>
              <w:t xml:space="preserve">Based on local sole-provider status</w:t>
            </w:r>
          </w:p>
        </w:tc>
      </w:tr>
    </w:tbl>
    <w:bookmarkEnd w:id="427"/>
    <w:bookmarkStart w:id="428" w:name="applicable-obligations-1"/>
    <w:p>
      <w:pPr>
        <w:pStyle w:val="Heading3"/>
      </w:pPr>
      <w:r>
        <w:t xml:space="preserve">Applicable Obligations</w:t>
      </w:r>
    </w:p>
    <w:p>
      <w:pPr>
        <w:pStyle w:val="FirstParagraph"/>
      </w:pPr>
      <w:r>
        <w:rPr>
          <w:b/>
          <w:bCs/>
        </w:rPr>
        <w:t xml:space="preserve">Network-level:</w:t>
      </w:r>
      <w:r>
        <w:t xml:space="preserve"> </w:t>
      </w:r>
      <w:r>
        <w:t xml:space="preserve">- Dedicated Group CISO required</w:t>
      </w:r>
      <w:r>
        <w:t xml:space="preserve"> </w:t>
      </w:r>
      <w:r>
        <w:t xml:space="preserve">- Annual third-party audit of centralized systems</w:t>
      </w:r>
      <w:r>
        <w:t xml:space="preserve"> </w:t>
      </w:r>
      <w:r>
        <w:t xml:space="preserve">- 24-hour incident reporting for centralized platform incidents</w:t>
      </w:r>
      <w:r>
        <w:t xml:space="preserve"> </w:t>
      </w:r>
      <w:r>
        <w:t xml:space="preserve">- Participation in national cyber drills</w:t>
      </w:r>
      <w:r>
        <w:t xml:space="preserve"> </w:t>
      </w:r>
      <w:r>
        <w:t xml:space="preserve">- Supply chain security assessment for cloud vendors</w:t>
      </w:r>
    </w:p>
    <w:p>
      <w:pPr>
        <w:pStyle w:val="BodyText"/>
      </w:pPr>
      <w:r>
        <w:rPr>
          <w:b/>
          <w:bCs/>
        </w:rPr>
        <w:t xml:space="preserve">Facility-level:</w:t>
      </w:r>
      <w:r>
        <w:t xml:space="preserve"> </w:t>
      </w:r>
      <w:r>
        <w:t xml:space="preserve">- Site-level security focal points</w:t>
      </w:r>
      <w:r>
        <w:t xml:space="preserve"> </w:t>
      </w:r>
      <w:r>
        <w:t xml:space="preserve">- Local business continuity plans</w:t>
      </w:r>
      <w:r>
        <w:t xml:space="preserve"> </w:t>
      </w:r>
      <w:r>
        <w:t xml:space="preserve">- Integration with network SOC</w:t>
      </w:r>
    </w:p>
    <w:p>
      <w:r>
        <w:pict>
          <v:rect style="width:0;height:1.5pt" o:hralign="center" o:hrstd="t" o:hr="t"/>
        </w:pict>
      </w:r>
    </w:p>
    <w:bookmarkEnd w:id="428"/>
    <w:bookmarkEnd w:id="429"/>
    <w:bookmarkStart w:id="435" w:name="X48ca1a13c00875565cd8a5aa071cca6843c00ca"/>
    <w:p>
      <w:pPr>
        <w:pStyle w:val="Heading2"/>
      </w:pPr>
      <w:r>
        <w:t xml:space="preserve">Case Study 4: Community Health Centre - Riverside CHC</w:t>
      </w:r>
    </w:p>
    <w:bookmarkStart w:id="430" w:name="entity-profile-3"/>
    <w:p>
      <w:pPr>
        <w:pStyle w:val="Heading3"/>
      </w:pPr>
      <w:r>
        <w:t xml:space="preserve">Entity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Riverside Community Health Centre</w:t>
            </w:r>
          </w:p>
        </w:tc>
      </w:tr>
      <w:tr>
        <w:tc>
          <w:tcPr/>
          <w:p>
            <w:pPr>
              <w:pStyle w:val="Compact"/>
              <w:jc w:val="left"/>
            </w:pPr>
            <w:r>
              <w:rPr>
                <w:b/>
                <w:bCs/>
              </w:rPr>
              <w:t xml:space="preserve">Type</w:t>
            </w:r>
          </w:p>
        </w:tc>
        <w:tc>
          <w:tcPr/>
          <w:p>
            <w:pPr>
              <w:pStyle w:val="Compact"/>
              <w:jc w:val="left"/>
            </w:pPr>
            <w:r>
              <w:t xml:space="preserve">Government block-level CHC</w:t>
            </w:r>
          </w:p>
        </w:tc>
      </w:tr>
      <w:tr>
        <w:tc>
          <w:tcPr/>
          <w:p>
            <w:pPr>
              <w:pStyle w:val="Compact"/>
              <w:jc w:val="left"/>
            </w:pPr>
            <w:r>
              <w:rPr>
                <w:b/>
                <w:bCs/>
              </w:rPr>
              <w:t xml:space="preserve">Location</w:t>
            </w:r>
          </w:p>
        </w:tc>
        <w:tc>
          <w:tcPr/>
          <w:p>
            <w:pPr>
              <w:pStyle w:val="Compact"/>
              <w:jc w:val="left"/>
            </w:pPr>
            <w:r>
              <w:t xml:space="preserve">Rural block (block population 120,000)</w:t>
            </w:r>
          </w:p>
        </w:tc>
      </w:tr>
      <w:tr>
        <w:tc>
          <w:tcPr/>
          <w:p>
            <w:pPr>
              <w:pStyle w:val="Compact"/>
              <w:jc w:val="left"/>
            </w:pPr>
            <w:r>
              <w:rPr>
                <w:b/>
                <w:bCs/>
              </w:rPr>
              <w:t xml:space="preserve">Beds</w:t>
            </w:r>
          </w:p>
        </w:tc>
        <w:tc>
          <w:tcPr/>
          <w:p>
            <w:pPr>
              <w:pStyle w:val="Compact"/>
              <w:jc w:val="left"/>
            </w:pPr>
            <w:r>
              <w:t xml:space="preserve">30</w:t>
            </w:r>
          </w:p>
        </w:tc>
      </w:tr>
      <w:tr>
        <w:tc>
          <w:tcPr/>
          <w:p>
            <w:pPr>
              <w:pStyle w:val="Compact"/>
              <w:jc w:val="left"/>
            </w:pPr>
            <w:r>
              <w:rPr>
                <w:b/>
                <w:bCs/>
              </w:rPr>
              <w:t xml:space="preserve">Annual inpatient cases</w:t>
            </w:r>
          </w:p>
        </w:tc>
        <w:tc>
          <w:tcPr/>
          <w:p>
            <w:pPr>
              <w:pStyle w:val="Compact"/>
              <w:jc w:val="left"/>
            </w:pPr>
            <w:r>
              <w:t xml:space="preserve">1,200</w:t>
            </w:r>
          </w:p>
        </w:tc>
      </w:tr>
      <w:tr>
        <w:tc>
          <w:tcPr/>
          <w:p>
            <w:pPr>
              <w:pStyle w:val="Compact"/>
              <w:jc w:val="left"/>
            </w:pPr>
            <w:r>
              <w:rPr>
                <w:b/>
                <w:bCs/>
              </w:rPr>
              <w:t xml:space="preserve">Employees</w:t>
            </w:r>
          </w:p>
        </w:tc>
        <w:tc>
          <w:tcPr/>
          <w:p>
            <w:pPr>
              <w:pStyle w:val="Compact"/>
              <w:jc w:val="left"/>
            </w:pPr>
            <w:r>
              <w:t xml:space="preserve">45</w:t>
            </w:r>
          </w:p>
        </w:tc>
      </w:tr>
      <w:tr>
        <w:tc>
          <w:tcPr/>
          <w:p>
            <w:pPr>
              <w:pStyle w:val="Compact"/>
              <w:jc w:val="left"/>
            </w:pPr>
            <w:r>
              <w:rPr>
                <w:b/>
                <w:bCs/>
              </w:rPr>
              <w:t xml:space="preserve">Key departments</w:t>
            </w:r>
          </w:p>
        </w:tc>
        <w:tc>
          <w:tcPr/>
          <w:p>
            <w:pPr>
              <w:pStyle w:val="Compact"/>
              <w:jc w:val="left"/>
            </w:pPr>
            <w:r>
              <w:t xml:space="preserve">General OPD, Labor room, No surgery, No ICU</w:t>
            </w:r>
          </w:p>
        </w:tc>
      </w:tr>
      <w:tr>
        <w:tc>
          <w:tcPr/>
          <w:p>
            <w:pPr>
              <w:pStyle w:val="Compact"/>
              <w:jc w:val="left"/>
            </w:pPr>
            <w:r>
              <w:rPr>
                <w:b/>
                <w:bCs/>
              </w:rPr>
              <w:t xml:space="preserve">Digital systems</w:t>
            </w:r>
          </w:p>
        </w:tc>
        <w:tc>
          <w:tcPr/>
          <w:p>
            <w:pPr>
              <w:pStyle w:val="Compact"/>
              <w:jc w:val="left"/>
            </w:pPr>
            <w:r>
              <w:t xml:space="preserve">RCH portal access; immunization tracking</w:t>
            </w:r>
          </w:p>
        </w:tc>
      </w:tr>
      <w:tr>
        <w:tc>
          <w:tcPr/>
          <w:p>
            <w:pPr>
              <w:pStyle w:val="Compact"/>
              <w:jc w:val="left"/>
            </w:pPr>
            <w:r>
              <w:rPr>
                <w:b/>
                <w:bCs/>
              </w:rPr>
              <w:t xml:space="preserve">Connectivity</w:t>
            </w:r>
          </w:p>
        </w:tc>
        <w:tc>
          <w:tcPr/>
          <w:p>
            <w:pPr>
              <w:pStyle w:val="Compact"/>
              <w:jc w:val="left"/>
            </w:pPr>
            <w:r>
              <w:t xml:space="preserve">Mobile data; intermittent connectivity</w:t>
            </w:r>
          </w:p>
        </w:tc>
      </w:tr>
      <w:tr>
        <w:tc>
          <w:tcPr/>
          <w:p>
            <w:pPr>
              <w:pStyle w:val="Compact"/>
              <w:jc w:val="left"/>
            </w:pPr>
            <w:r>
              <w:rPr>
                <w:b/>
                <w:bCs/>
              </w:rPr>
              <w:t xml:space="preserve">Special status</w:t>
            </w:r>
          </w:p>
        </w:tc>
        <w:tc>
          <w:tcPr/>
          <w:p>
            <w:pPr>
              <w:pStyle w:val="Compact"/>
              <w:jc w:val="left"/>
            </w:pPr>
            <w:r>
              <w:t xml:space="preserve">Not designated as First Referral Unit (FRU)</w:t>
            </w:r>
          </w:p>
        </w:tc>
      </w:tr>
    </w:tbl>
    <w:bookmarkEnd w:id="430"/>
    <w:bookmarkStart w:id="432" w:name="cii-classification-assessment-3"/>
    <w:p>
      <w:pPr>
        <w:pStyle w:val="Heading3"/>
      </w:pPr>
      <w:r>
        <w:t xml:space="preserve">CII Classification Assessment</w:t>
      </w:r>
    </w:p>
    <w:bookmarkStart w:id="431" w:name="scoring-developing-country-framework"/>
    <w:p>
      <w:pPr>
        <w:pStyle w:val="Heading4"/>
      </w:pPr>
      <w:r>
        <w:t xml:space="preserve">Scoring (Developing Country Framework)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&lt;2,000 cases/year</w:t>
            </w:r>
          </w:p>
        </w:tc>
        <w:tc>
          <w:tcPr/>
          <w:p>
            <w:pPr>
              <w:pStyle w:val="Compact"/>
              <w:jc w:val="center"/>
            </w:pPr>
            <w:r>
              <w:t xml:space="preserve">5</w:t>
            </w:r>
          </w:p>
        </w:tc>
      </w:tr>
      <w:tr>
        <w:tc>
          <w:tcPr/>
          <w:p>
            <w:pPr>
              <w:pStyle w:val="Compact"/>
              <w:jc w:val="left"/>
            </w:pPr>
            <w:r>
              <w:rPr>
                <w:b/>
                <w:bCs/>
              </w:rPr>
              <w:t xml:space="preserve">B. Public System Role</w:t>
            </w:r>
          </w:p>
        </w:tc>
        <w:tc>
          <w:tcPr/>
          <w:p>
            <w:pPr>
              <w:pStyle w:val="Compact"/>
              <w:jc w:val="left"/>
            </w:pPr>
            <w:r>
              <w:t xml:space="preserve">CHC (not FRU, not sole in block)</w:t>
            </w:r>
          </w:p>
        </w:tc>
        <w:tc>
          <w:tcPr/>
          <w:p>
            <w:pPr>
              <w:pStyle w:val="Compact"/>
              <w:jc w:val="center"/>
            </w:pPr>
            <w:r>
              <w:t xml:space="preserve">5</w:t>
            </w:r>
          </w:p>
        </w:tc>
      </w:tr>
      <w:tr>
        <w:tc>
          <w:tcPr/>
          <w:p>
            <w:pPr>
              <w:pStyle w:val="Compact"/>
              <w:jc w:val="left"/>
            </w:pPr>
            <w:r>
              <w:rPr>
                <w:b/>
                <w:bCs/>
              </w:rPr>
              <w:t xml:space="preserve">C. Geographic Criticality</w:t>
            </w:r>
          </w:p>
        </w:tc>
        <w:tc>
          <w:tcPr/>
          <w:p>
            <w:pPr>
              <w:pStyle w:val="Compact"/>
              <w:jc w:val="left"/>
            </w:pPr>
            <w:r>
              <w:t xml:space="preserve">District hospital 35km away</w:t>
            </w:r>
          </w:p>
        </w:tc>
        <w:tc>
          <w:tcPr/>
          <w:p>
            <w:pPr>
              <w:pStyle w:val="Compact"/>
              <w:jc w:val="center"/>
            </w:pPr>
            <w:r>
              <w:t xml:space="preserve">5</w:t>
            </w:r>
          </w:p>
        </w:tc>
      </w:tr>
      <w:tr>
        <w:tc>
          <w:tcPr/>
          <w:p>
            <w:pPr>
              <w:pStyle w:val="Compact"/>
              <w:jc w:val="left"/>
            </w:pPr>
            <w:r>
              <w:rPr>
                <w:b/>
                <w:bCs/>
              </w:rPr>
              <w:t xml:space="preserve">D. National Program Integration</w:t>
            </w:r>
          </w:p>
        </w:tc>
        <w:tc>
          <w:tcPr/>
          <w:p>
            <w:pPr>
              <w:pStyle w:val="Compact"/>
              <w:jc w:val="left"/>
            </w:pPr>
            <w:r>
              <w:t xml:space="preserve">RCH portal access</w:t>
            </w:r>
          </w:p>
        </w:tc>
        <w:tc>
          <w:tcPr/>
          <w:p>
            <w:pPr>
              <w:pStyle w:val="Compact"/>
              <w:jc w:val="center"/>
            </w:pPr>
            <w:r>
              <w:t xml:space="preserve">5</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20</w:t>
            </w:r>
          </w:p>
        </w:tc>
      </w:tr>
    </w:tbl>
    <w:bookmarkEnd w:id="431"/>
    <w:bookmarkEnd w:id="432"/>
    <w:bookmarkStart w:id="433" w:name="classification-result-3"/>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20</w:t>
            </w:r>
          </w:p>
        </w:tc>
        <w:tc>
          <w:tcPr/>
          <w:p>
            <w:pPr>
              <w:pStyle w:val="Compact"/>
              <w:jc w:val="left"/>
            </w:pPr>
            <w:r>
              <w:rPr>
                <w:b/>
                <w:bCs/>
              </w:rPr>
              <w:t xml:space="preserve">Tier 3 (Baseline)</w:t>
            </w:r>
          </w:p>
        </w:tc>
        <w:tc>
          <w:tcPr/>
          <w:p>
            <w:pPr>
              <w:pStyle w:val="Compact"/>
              <w:jc w:val="left"/>
            </w:pPr>
            <w:r>
              <w:t xml:space="preserve">Small scale; not sole provider; limited digital footprint</w:t>
            </w:r>
          </w:p>
        </w:tc>
      </w:tr>
    </w:tbl>
    <w:bookmarkEnd w:id="433"/>
    <w:bookmarkStart w:id="434" w:name="applicable-obligations-tier-3"/>
    <w:p>
      <w:pPr>
        <w:pStyle w:val="Heading3"/>
      </w:pPr>
      <w:r>
        <w:t xml:space="preserve">Applicable Obligations (Tier 3)</w:t>
      </w:r>
    </w:p>
    <w:p>
      <w:pPr>
        <w:pStyle w:val="Compact"/>
        <w:numPr>
          <w:ilvl w:val="0"/>
          <w:numId w:val="1316"/>
        </w:numPr>
      </w:pPr>
      <w:r>
        <w:t xml:space="preserve">Self-assessment recommended</w:t>
      </w:r>
    </w:p>
    <w:p>
      <w:pPr>
        <w:pStyle w:val="Compact"/>
        <w:numPr>
          <w:ilvl w:val="0"/>
          <w:numId w:val="1316"/>
        </w:numPr>
      </w:pPr>
      <w:r>
        <w:t xml:space="preserve">Voluntary incident reporting</w:t>
      </w:r>
    </w:p>
    <w:p>
      <w:pPr>
        <w:pStyle w:val="Compact"/>
        <w:numPr>
          <w:ilvl w:val="0"/>
          <w:numId w:val="1316"/>
        </w:numPr>
      </w:pPr>
      <w:r>
        <w:t xml:space="preserve">Basic cyber hygiene guidance</w:t>
      </w:r>
    </w:p>
    <w:p>
      <w:pPr>
        <w:pStyle w:val="Compact"/>
        <w:numPr>
          <w:ilvl w:val="0"/>
          <w:numId w:val="1316"/>
        </w:numPr>
      </w:pPr>
      <w:r>
        <w:t xml:space="preserve">May benefit from state-level shared services (SOC, backup)</w:t>
      </w:r>
    </w:p>
    <w:p>
      <w:pPr>
        <w:pStyle w:val="Compact"/>
        <w:numPr>
          <w:ilvl w:val="0"/>
          <w:numId w:val="1316"/>
        </w:numPr>
      </w:pPr>
      <w:r>
        <w:t xml:space="preserve">Not subject to mandatory audits or reporting timelines</w:t>
      </w:r>
    </w:p>
    <w:p>
      <w:r>
        <w:pict>
          <v:rect style="width:0;height:1.5pt" o:hralign="center" o:hrstd="t" o:hr="t"/>
        </w:pict>
      </w:r>
    </w:p>
    <w:bookmarkEnd w:id="434"/>
    <w:bookmarkEnd w:id="435"/>
    <w:bookmarkStart w:id="441" w:name="Xc00b3e2f34a4011907c01638f80c4facc1c8d6f"/>
    <w:p>
      <w:pPr>
        <w:pStyle w:val="Heading2"/>
      </w:pPr>
      <w:r>
        <w:t xml:space="preserve">Case Study 5: Telemedicine Hub -</w:t>
      </w:r>
      <w:r>
        <w:t xml:space="preserve"> </w:t>
      </w:r>
      <w:r>
        <w:t xml:space="preserve">“Sehat Setu”</w:t>
      </w:r>
    </w:p>
    <w:bookmarkStart w:id="436" w:name="entity-profile-4"/>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Sehat Setu Regional Telemedicine Hub</w:t>
            </w:r>
          </w:p>
        </w:tc>
      </w:tr>
      <w:tr>
        <w:tc>
          <w:tcPr/>
          <w:p>
            <w:pPr>
              <w:pStyle w:val="Compact"/>
              <w:jc w:val="left"/>
            </w:pPr>
            <w:r>
              <w:rPr>
                <w:b/>
                <w:bCs/>
              </w:rPr>
              <w:t xml:space="preserve">Type</w:t>
            </w:r>
          </w:p>
        </w:tc>
        <w:tc>
          <w:tcPr/>
          <w:p>
            <w:pPr>
              <w:pStyle w:val="Compact"/>
              <w:jc w:val="left"/>
            </w:pPr>
            <w:r>
              <w:t xml:space="preserve">Government telemedicine hub serving remote/tribal areas</w:t>
            </w:r>
          </w:p>
        </w:tc>
      </w:tr>
      <w:tr>
        <w:tc>
          <w:tcPr/>
          <w:p>
            <w:pPr>
              <w:pStyle w:val="Compact"/>
              <w:jc w:val="left"/>
            </w:pPr>
            <w:r>
              <w:rPr>
                <w:b/>
                <w:bCs/>
              </w:rPr>
              <w:t xml:space="preserve">Coverage</w:t>
            </w:r>
          </w:p>
        </w:tc>
        <w:tc>
          <w:tcPr/>
          <w:p>
            <w:pPr>
              <w:pStyle w:val="Compact"/>
              <w:jc w:val="left"/>
            </w:pPr>
            <w:r>
              <w:t xml:space="preserve">3 remote districts; 200 spoke locations</w:t>
            </w:r>
          </w:p>
        </w:tc>
      </w:tr>
      <w:tr>
        <w:tc>
          <w:tcPr/>
          <w:p>
            <w:pPr>
              <w:pStyle w:val="Compact"/>
              <w:jc w:val="left"/>
            </w:pPr>
            <w:r>
              <w:rPr>
                <w:b/>
                <w:bCs/>
              </w:rPr>
              <w:t xml:space="preserve">Functions</w:t>
            </w:r>
          </w:p>
        </w:tc>
        <w:tc>
          <w:tcPr/>
          <w:p>
            <w:pPr>
              <w:pStyle w:val="Compact"/>
              <w:jc w:val="left"/>
            </w:pPr>
            <w:r>
              <w:t xml:space="preserve">Video consultations; specialist referrals; prescription support</w:t>
            </w:r>
          </w:p>
        </w:tc>
      </w:tr>
      <w:tr>
        <w:tc>
          <w:tcPr/>
          <w:p>
            <w:pPr>
              <w:pStyle w:val="Compact"/>
              <w:jc w:val="left"/>
            </w:pPr>
            <w:r>
              <w:rPr>
                <w:b/>
                <w:bCs/>
              </w:rPr>
              <w:t xml:space="preserve">Consultations</w:t>
            </w:r>
          </w:p>
        </w:tc>
        <w:tc>
          <w:tcPr/>
          <w:p>
            <w:pPr>
              <w:pStyle w:val="Compact"/>
              <w:jc w:val="left"/>
            </w:pPr>
            <w:r>
              <w:t xml:space="preserve">150,000 per year</w:t>
            </w:r>
          </w:p>
        </w:tc>
      </w:tr>
      <w:tr>
        <w:tc>
          <w:tcPr/>
          <w:p>
            <w:pPr>
              <w:pStyle w:val="Compact"/>
              <w:jc w:val="left"/>
            </w:pPr>
            <w:r>
              <w:rPr>
                <w:b/>
                <w:bCs/>
              </w:rPr>
              <w:t xml:space="preserve">Employees</w:t>
            </w:r>
          </w:p>
        </w:tc>
        <w:tc>
          <w:tcPr/>
          <w:p>
            <w:pPr>
              <w:pStyle w:val="Compact"/>
              <w:jc w:val="left"/>
            </w:pPr>
            <w:r>
              <w:t xml:space="preserve">35</w:t>
            </w:r>
          </w:p>
        </w:tc>
      </w:tr>
      <w:tr>
        <w:tc>
          <w:tcPr/>
          <w:p>
            <w:pPr>
              <w:pStyle w:val="Compact"/>
              <w:jc w:val="left"/>
            </w:pPr>
            <w:r>
              <w:rPr>
                <w:b/>
                <w:bCs/>
              </w:rPr>
              <w:t xml:space="preserve">Population served</w:t>
            </w:r>
          </w:p>
        </w:tc>
        <w:tc>
          <w:tcPr/>
          <w:p>
            <w:pPr>
              <w:pStyle w:val="Compact"/>
              <w:jc w:val="left"/>
            </w:pPr>
            <w:r>
              <w:t xml:space="preserve">2.5 million (primarily tribal, remote)</w:t>
            </w:r>
          </w:p>
        </w:tc>
      </w:tr>
      <w:tr>
        <w:tc>
          <w:tcPr/>
          <w:p>
            <w:pPr>
              <w:pStyle w:val="Compact"/>
              <w:jc w:val="left"/>
            </w:pPr>
            <w:r>
              <w:rPr>
                <w:b/>
                <w:bCs/>
              </w:rPr>
              <w:t xml:space="preserve">Special status</w:t>
            </w:r>
          </w:p>
        </w:tc>
        <w:tc>
          <w:tcPr/>
          <w:p>
            <w:pPr>
              <w:pStyle w:val="Compact"/>
              <w:jc w:val="left"/>
            </w:pPr>
            <w:r>
              <w:t xml:space="preserve">Only specialist access for tribal blocks</w:t>
            </w:r>
          </w:p>
        </w:tc>
      </w:tr>
    </w:tbl>
    <w:bookmarkEnd w:id="436"/>
    <w:bookmarkStart w:id="438" w:name="cii-classification-assessment-4"/>
    <w:p>
      <w:pPr>
        <w:pStyle w:val="Heading3"/>
      </w:pPr>
      <w:r>
        <w:t xml:space="preserve">CII Classification Assessment</w:t>
      </w:r>
    </w:p>
    <w:bookmarkStart w:id="437" w:name="scoring-developing-country-framework-1"/>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Not a hospital (consultations-based)</w:t>
            </w:r>
          </w:p>
        </w:tc>
        <w:tc>
          <w:tcPr/>
          <w:p>
            <w:pPr>
              <w:pStyle w:val="Compact"/>
              <w:jc w:val="center"/>
            </w:pPr>
            <w:r>
              <w:t xml:space="preserve">10</w:t>
            </w:r>
          </w:p>
        </w:tc>
      </w:tr>
      <w:tr>
        <w:tc>
          <w:tcPr/>
          <w:p>
            <w:pPr>
              <w:pStyle w:val="Compact"/>
              <w:jc w:val="left"/>
            </w:pPr>
            <w:r>
              <w:rPr>
                <w:b/>
                <w:bCs/>
              </w:rPr>
              <w:t xml:space="preserve">B. Public System Role</w:t>
            </w:r>
          </w:p>
        </w:tc>
        <w:tc>
          <w:tcPr/>
          <w:p>
            <w:pPr>
              <w:pStyle w:val="Compact"/>
              <w:jc w:val="left"/>
            </w:pPr>
            <w:r>
              <w:t xml:space="preserve">Government telemedicine hub</w:t>
            </w:r>
          </w:p>
        </w:tc>
        <w:tc>
          <w:tcPr/>
          <w:p>
            <w:pPr>
              <w:pStyle w:val="Compact"/>
              <w:jc w:val="center"/>
            </w:pPr>
            <w:r>
              <w:t xml:space="preserve">15</w:t>
            </w:r>
          </w:p>
        </w:tc>
      </w:tr>
      <w:tr>
        <w:tc>
          <w:tcPr/>
          <w:p>
            <w:pPr>
              <w:pStyle w:val="Compact"/>
              <w:jc w:val="left"/>
            </w:pPr>
            <w:r>
              <w:rPr>
                <w:b/>
                <w:bCs/>
              </w:rPr>
              <w:t xml:space="preserve">C. Geographic Criticality</w:t>
            </w:r>
          </w:p>
        </w:tc>
        <w:tc>
          <w:tcPr/>
          <w:p>
            <w:pPr>
              <w:pStyle w:val="Compact"/>
              <w:jc w:val="left"/>
            </w:pPr>
            <w:r>
              <w:t xml:space="preserve">Sole specialist access for remote population</w:t>
            </w:r>
          </w:p>
        </w:tc>
        <w:tc>
          <w:tcPr/>
          <w:p>
            <w:pPr>
              <w:pStyle w:val="Compact"/>
              <w:jc w:val="center"/>
            </w:pPr>
            <w:r>
              <w:t xml:space="preserve">20</w:t>
            </w:r>
          </w:p>
        </w:tc>
      </w:tr>
      <w:tr>
        <w:tc>
          <w:tcPr/>
          <w:p>
            <w:pPr>
              <w:pStyle w:val="Compact"/>
              <w:jc w:val="left"/>
            </w:pPr>
            <w:r>
              <w:rPr>
                <w:b/>
                <w:bCs/>
              </w:rPr>
              <w:t xml:space="preserve">D. Functions</w:t>
            </w:r>
          </w:p>
        </w:tc>
        <w:tc>
          <w:tcPr/>
          <w:p>
            <w:pPr>
              <w:pStyle w:val="Compact"/>
              <w:jc w:val="left"/>
            </w:pPr>
            <w:r>
              <w:t xml:space="preserve">Telemedicine hub for tribal/remote areas</w:t>
            </w:r>
          </w:p>
        </w:tc>
        <w:tc>
          <w:tcPr/>
          <w:p>
            <w:pPr>
              <w:pStyle w:val="Compact"/>
              <w:jc w:val="center"/>
            </w:pPr>
            <w:r>
              <w:t xml:space="preserve">15</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60</w:t>
            </w:r>
          </w:p>
        </w:tc>
      </w:tr>
    </w:tbl>
    <w:bookmarkEnd w:id="437"/>
    <w:bookmarkEnd w:id="438"/>
    <w:bookmarkStart w:id="439" w:name="classification-result-4"/>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60</w:t>
            </w:r>
          </w:p>
        </w:tc>
        <w:tc>
          <w:tcPr/>
          <w:p>
            <w:pPr>
              <w:pStyle w:val="Compact"/>
              <w:jc w:val="left"/>
            </w:pPr>
            <w:r>
              <w:rPr>
                <w:b/>
                <w:bCs/>
              </w:rPr>
              <w:t xml:space="preserve">Tier 1 (Essential)</w:t>
            </w:r>
          </w:p>
        </w:tc>
        <w:tc>
          <w:tcPr/>
          <w:p>
            <w:pPr>
              <w:pStyle w:val="Compact"/>
              <w:jc w:val="left"/>
            </w:pPr>
            <w:r>
              <w:t xml:space="preserve">Threshold met; sole specialist access for underserved population</w:t>
            </w:r>
          </w:p>
        </w:tc>
      </w:tr>
    </w:tbl>
    <w:p>
      <w:pPr>
        <w:pStyle w:val="BlockText"/>
      </w:pPr>
      <w:r>
        <w:t xml:space="preserve">[!NOTE]</w:t>
      </w:r>
      <w:r>
        <w:t xml:space="preserve"> </w:t>
      </w:r>
      <w:r>
        <w:t xml:space="preserve">This case demonstrates how</w:t>
      </w:r>
      <w:r>
        <w:t xml:space="preserve"> </w:t>
      </w:r>
      <w:r>
        <w:rPr>
          <w:b/>
          <w:bCs/>
        </w:rPr>
        <w:t xml:space="preserve">telemedicine hubs serving remote populations</w:t>
      </w:r>
      <w:r>
        <w:t xml:space="preserve"> </w:t>
      </w:r>
      <w:r>
        <w:t xml:space="preserve">can qualify as Tier 1 despite modest scale, because they represent the</w:t>
      </w:r>
      <w:r>
        <w:t xml:space="preserve"> </w:t>
      </w:r>
      <w:r>
        <w:rPr>
          <w:b/>
          <w:bCs/>
        </w:rPr>
        <w:t xml:space="preserve">only access point</w:t>
      </w:r>
      <w:r>
        <w:t xml:space="preserve"> </w:t>
      </w:r>
      <w:r>
        <w:t xml:space="preserve">for specialist care.</w:t>
      </w:r>
    </w:p>
    <w:bookmarkEnd w:id="439"/>
    <w:bookmarkStart w:id="440" w:name="applicable-obligations-2"/>
    <w:p>
      <w:pPr>
        <w:pStyle w:val="Heading3"/>
      </w:pPr>
      <w:r>
        <w:t xml:space="preserve">Applicable Obligations</w:t>
      </w:r>
    </w:p>
    <w:p>
      <w:pPr>
        <w:pStyle w:val="Compact"/>
        <w:numPr>
          <w:ilvl w:val="0"/>
          <w:numId w:val="1317"/>
        </w:numPr>
      </w:pPr>
      <w:r>
        <w:t xml:space="preserve">Security focal point</w:t>
      </w:r>
    </w:p>
    <w:p>
      <w:pPr>
        <w:pStyle w:val="Compact"/>
        <w:numPr>
          <w:ilvl w:val="0"/>
          <w:numId w:val="1317"/>
        </w:numPr>
      </w:pPr>
      <w:r>
        <w:t xml:space="preserve">24-48 hour incident reporting</w:t>
      </w:r>
    </w:p>
    <w:p>
      <w:pPr>
        <w:pStyle w:val="Compact"/>
        <w:numPr>
          <w:ilvl w:val="0"/>
          <w:numId w:val="1317"/>
        </w:numPr>
      </w:pPr>
      <w:r>
        <w:t xml:space="preserve">Business continuity: Backup connectivity; manual referral protocols</w:t>
      </w:r>
    </w:p>
    <w:p>
      <w:pPr>
        <w:pStyle w:val="Compact"/>
        <w:numPr>
          <w:ilvl w:val="0"/>
          <w:numId w:val="1317"/>
        </w:numPr>
      </w:pPr>
      <w:r>
        <w:t xml:space="preserve">Annual audit (may be combined with state ICT audit)</w:t>
      </w:r>
    </w:p>
    <w:p>
      <w:pPr>
        <w:pStyle w:val="Compact"/>
        <w:numPr>
          <w:ilvl w:val="0"/>
          <w:numId w:val="1317"/>
        </w:numPr>
      </w:pPr>
      <w:r>
        <w:t xml:space="preserve">Data protection: Patient consultation confidentiality</w:t>
      </w:r>
    </w:p>
    <w:p>
      <w:r>
        <w:pict>
          <v:rect style="width:0;height:1.5pt" o:hralign="center" o:hrstd="t" o:hr="t"/>
        </w:pict>
      </w:r>
    </w:p>
    <w:bookmarkEnd w:id="440"/>
    <w:bookmarkEnd w:id="441"/>
    <w:bookmarkStart w:id="448" w:name="X17e429f7fb7f94662fed0c9ac6050ae73db8b7e"/>
    <w:p>
      <w:pPr>
        <w:pStyle w:val="Heading2"/>
      </w:pPr>
      <w:r>
        <w:t xml:space="preserve">Case Study 6: Medical College Research Institution -</w:t>
      </w:r>
      <w:r>
        <w:t xml:space="preserve"> </w:t>
      </w:r>
      <w:r>
        <w:t xml:space="preserve">“Lakshmi Devi Medical College”</w:t>
      </w:r>
    </w:p>
    <w:bookmarkStart w:id="442" w:name="entity-profile-5"/>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Lakshmi Devi Medical College &amp; Research Institute</w:t>
            </w:r>
          </w:p>
        </w:tc>
      </w:tr>
      <w:tr>
        <w:tc>
          <w:tcPr/>
          <w:p>
            <w:pPr>
              <w:pStyle w:val="Compact"/>
              <w:jc w:val="left"/>
            </w:pPr>
            <w:r>
              <w:rPr>
                <w:b/>
                <w:bCs/>
              </w:rPr>
              <w:t xml:space="preserve">Type</w:t>
            </w:r>
          </w:p>
        </w:tc>
        <w:tc>
          <w:tcPr/>
          <w:p>
            <w:pPr>
              <w:pStyle w:val="Compact"/>
              <w:jc w:val="left"/>
            </w:pPr>
            <w:r>
              <w:t xml:space="preserve">Government medical college with attached teaching hospital</w:t>
            </w:r>
          </w:p>
        </w:tc>
      </w:tr>
      <w:tr>
        <w:tc>
          <w:tcPr/>
          <w:p>
            <w:pPr>
              <w:pStyle w:val="Compact"/>
              <w:jc w:val="left"/>
            </w:pPr>
            <w:r>
              <w:rPr>
                <w:b/>
                <w:bCs/>
              </w:rPr>
              <w:t xml:space="preserve">Location</w:t>
            </w:r>
          </w:p>
        </w:tc>
        <w:tc>
          <w:tcPr/>
          <w:p>
            <w:pPr>
              <w:pStyle w:val="Compact"/>
              <w:jc w:val="left"/>
            </w:pPr>
            <w:r>
              <w:t xml:space="preserve">State capital city</w:t>
            </w:r>
          </w:p>
        </w:tc>
      </w:tr>
      <w:tr>
        <w:tc>
          <w:tcPr/>
          <w:p>
            <w:pPr>
              <w:pStyle w:val="Compact"/>
              <w:jc w:val="left"/>
            </w:pPr>
            <w:r>
              <w:rPr>
                <w:b/>
                <w:bCs/>
              </w:rPr>
              <w:t xml:space="preserve">Beds</w:t>
            </w:r>
          </w:p>
        </w:tc>
        <w:tc>
          <w:tcPr/>
          <w:p>
            <w:pPr>
              <w:pStyle w:val="Compact"/>
              <w:jc w:val="left"/>
            </w:pPr>
            <w:r>
              <w:t xml:space="preserve">1,500 (attached hospital)</w:t>
            </w:r>
          </w:p>
        </w:tc>
      </w:tr>
      <w:tr>
        <w:tc>
          <w:tcPr/>
          <w:p>
            <w:pPr>
              <w:pStyle w:val="Compact"/>
              <w:jc w:val="left"/>
            </w:pPr>
            <w:r>
              <w:rPr>
                <w:b/>
                <w:bCs/>
              </w:rPr>
              <w:t xml:space="preserve">Annual admissions</w:t>
            </w:r>
          </w:p>
        </w:tc>
        <w:tc>
          <w:tcPr/>
          <w:p>
            <w:pPr>
              <w:pStyle w:val="Compact"/>
              <w:jc w:val="left"/>
            </w:pPr>
            <w:r>
              <w:t xml:space="preserve">MBBS: 250; PG: 150; Super-specialty: 50</w:t>
            </w:r>
          </w:p>
        </w:tc>
      </w:tr>
      <w:tr>
        <w:tc>
          <w:tcPr/>
          <w:p>
            <w:pPr>
              <w:pStyle w:val="Compact"/>
              <w:jc w:val="left"/>
            </w:pPr>
            <w:r>
              <w:rPr>
                <w:b/>
                <w:bCs/>
              </w:rPr>
              <w:t xml:space="preserve">Research programs</w:t>
            </w:r>
          </w:p>
        </w:tc>
        <w:tc>
          <w:tcPr/>
          <w:p>
            <w:pPr>
              <w:pStyle w:val="Compact"/>
              <w:jc w:val="left"/>
            </w:pPr>
            <w:r>
              <w:t xml:space="preserve">45 active research projects; 12 clinical trials</w:t>
            </w:r>
          </w:p>
        </w:tc>
      </w:tr>
      <w:tr>
        <w:tc>
          <w:tcPr/>
          <w:p>
            <w:pPr>
              <w:pStyle w:val="Compact"/>
              <w:jc w:val="left"/>
            </w:pPr>
            <w:r>
              <w:rPr>
                <w:b/>
                <w:bCs/>
              </w:rPr>
              <w:t xml:space="preserve">Research funding</w:t>
            </w:r>
          </w:p>
        </w:tc>
        <w:tc>
          <w:tcPr/>
          <w:p>
            <w:pPr>
              <w:pStyle w:val="Compact"/>
              <w:jc w:val="left"/>
            </w:pPr>
            <w:r>
              <w:t xml:space="preserve">₹50 crore active grants (national and international)</w:t>
            </w:r>
          </w:p>
        </w:tc>
      </w:tr>
      <w:tr>
        <w:tc>
          <w:tcPr/>
          <w:p>
            <w:pPr>
              <w:pStyle w:val="Compact"/>
              <w:jc w:val="left"/>
            </w:pPr>
            <w:r>
              <w:rPr>
                <w:b/>
                <w:bCs/>
              </w:rPr>
              <w:t xml:space="preserve">Key systems</w:t>
            </w:r>
          </w:p>
        </w:tc>
        <w:tc>
          <w:tcPr/>
          <w:p>
            <w:pPr>
              <w:pStyle w:val="Compact"/>
              <w:jc w:val="left"/>
            </w:pPr>
            <w:r>
              <w:t xml:space="preserve">Hospital Information System (HIS), Clinical Trial Management System (CTMS), Electronic Lab Notebook (ELN), Research Data Repository, Student Information System</w:t>
            </w:r>
          </w:p>
        </w:tc>
      </w:tr>
      <w:tr>
        <w:tc>
          <w:tcPr/>
          <w:p>
            <w:pPr>
              <w:pStyle w:val="Compact"/>
              <w:jc w:val="left"/>
            </w:pPr>
            <w:r>
              <w:rPr>
                <w:b/>
                <w:bCs/>
              </w:rPr>
              <w:t xml:space="preserve">Data holdings</w:t>
            </w:r>
          </w:p>
        </w:tc>
        <w:tc>
          <w:tcPr/>
          <w:p>
            <w:pPr>
              <w:pStyle w:val="Compact"/>
              <w:jc w:val="left"/>
            </w:pPr>
            <w:r>
              <w:t xml:space="preserve">25 years of patient records; 200,000+ research subjects data</w:t>
            </w:r>
          </w:p>
        </w:tc>
      </w:tr>
      <w:tr>
        <w:tc>
          <w:tcPr/>
          <w:p>
            <w:pPr>
              <w:pStyle w:val="Compact"/>
              <w:jc w:val="left"/>
            </w:pPr>
            <w:r>
              <w:rPr>
                <w:b/>
                <w:bCs/>
              </w:rPr>
              <w:t xml:space="preserve">Integrations</w:t>
            </w:r>
          </w:p>
        </w:tc>
        <w:tc>
          <w:tcPr/>
          <w:p>
            <w:pPr>
              <w:pStyle w:val="Compact"/>
              <w:jc w:val="left"/>
            </w:pPr>
            <w:r>
              <w:t xml:space="preserve">Connected to national clinical trial registry; multiple international research collaborations</w:t>
            </w:r>
          </w:p>
        </w:tc>
      </w:tr>
      <w:tr>
        <w:tc>
          <w:tcPr/>
          <w:p>
            <w:pPr>
              <w:pStyle w:val="Compact"/>
              <w:jc w:val="left"/>
            </w:pPr>
            <w:r>
              <w:rPr>
                <w:b/>
                <w:bCs/>
              </w:rPr>
              <w:t xml:space="preserve">Special consideration</w:t>
            </w:r>
          </w:p>
        </w:tc>
        <w:tc>
          <w:tcPr/>
          <w:p>
            <w:pPr>
              <w:pStyle w:val="Compact"/>
              <w:jc w:val="left"/>
            </w:pPr>
            <w:r>
              <w:rPr>
                <w:b/>
                <w:bCs/>
              </w:rPr>
              <w:t xml:space="preserve">Dual role: clinical care + research training pipeline</w:t>
            </w:r>
          </w:p>
        </w:tc>
      </w:tr>
    </w:tbl>
    <w:bookmarkEnd w:id="442"/>
    <w:bookmarkStart w:id="445" w:name="cii-classification-assessment-5"/>
    <w:p>
      <w:pPr>
        <w:pStyle w:val="Heading3"/>
      </w:pPr>
      <w:r>
        <w:t xml:space="preserve">CII Classification Assessment</w:t>
      </w:r>
    </w:p>
    <w:bookmarkStart w:id="443" w:name="X08538163123c7063a637cb49d0e48c2d655dca8"/>
    <w:p>
      <w:pPr>
        <w:pStyle w:val="Heading4"/>
      </w:pPr>
      <w:r>
        <w:t xml:space="preserve">Dual Assessment: Clinical vs Research Functions</w:t>
      </w:r>
    </w:p>
    <w:tbl>
      <w:tblPr>
        <w:tblStyle w:val="Table"/>
        <w:tblW w:type="pct" w:w="5000"/>
        <w:tblLayout w:type="fixed"/>
        <w:tblLook w:firstRow="1" w:lastRow="0" w:firstColumn="0" w:lastColumn="0" w:noHBand="0" w:noVBand="0" w:val="0020"/>
      </w:tblPr>
      <w:tblGrid>
        <w:gridCol w:w="2731"/>
        <w:gridCol w:w="5188"/>
      </w:tblGrid>
      <w:tr>
        <w:trPr>
          <w:tblHeader w:val="on"/>
        </w:trPr>
        <w:tc>
          <w:tcPr/>
          <w:p>
            <w:pPr>
              <w:pStyle w:val="Compact"/>
              <w:jc w:val="left"/>
            </w:pPr>
            <w:r>
              <w:t xml:space="preserve">Function</w:t>
            </w:r>
          </w:p>
        </w:tc>
        <w:tc>
          <w:tcPr/>
          <w:p>
            <w:pPr>
              <w:pStyle w:val="Compact"/>
              <w:jc w:val="left"/>
            </w:pPr>
            <w:r>
              <w:t xml:space="preserve">Criticality Basis</w:t>
            </w:r>
          </w:p>
        </w:tc>
      </w:tr>
      <w:tr>
        <w:tc>
          <w:tcPr/>
          <w:p>
            <w:pPr>
              <w:pStyle w:val="Compact"/>
              <w:jc w:val="left"/>
            </w:pPr>
            <w:r>
              <w:rPr>
                <w:b/>
                <w:bCs/>
              </w:rPr>
              <w:t xml:space="preserve">Clinical care</w:t>
            </w:r>
          </w:p>
        </w:tc>
        <w:tc>
          <w:tcPr/>
          <w:p>
            <w:pPr>
              <w:pStyle w:val="Compact"/>
              <w:jc w:val="left"/>
            </w:pPr>
            <w:r>
              <w:t xml:space="preserve">Major tertiary hospital with ICU, trauma, specialty services</w:t>
            </w:r>
          </w:p>
        </w:tc>
      </w:tr>
      <w:tr>
        <w:tc>
          <w:tcPr/>
          <w:p>
            <w:pPr>
              <w:pStyle w:val="Compact"/>
              <w:jc w:val="left"/>
            </w:pPr>
            <w:r>
              <w:rPr>
                <w:b/>
                <w:bCs/>
              </w:rPr>
              <w:t xml:space="preserve">Medical education</w:t>
            </w:r>
          </w:p>
        </w:tc>
        <w:tc>
          <w:tcPr/>
          <w:p>
            <w:pPr>
              <w:pStyle w:val="Compact"/>
              <w:jc w:val="left"/>
            </w:pPr>
            <w:r>
              <w:t xml:space="preserve">Trains future healthcare workforce; pipeline criticality</w:t>
            </w:r>
          </w:p>
        </w:tc>
      </w:tr>
      <w:tr>
        <w:tc>
          <w:tcPr/>
          <w:p>
            <w:pPr>
              <w:pStyle w:val="Compact"/>
              <w:jc w:val="left"/>
            </w:pPr>
            <w:r>
              <w:rPr>
                <w:b/>
                <w:bCs/>
              </w:rPr>
              <w:t xml:space="preserve">Research</w:t>
            </w:r>
          </w:p>
        </w:tc>
        <w:tc>
          <w:tcPr/>
          <w:p>
            <w:pPr>
              <w:pStyle w:val="Compact"/>
              <w:jc w:val="left"/>
            </w:pPr>
            <w:r>
              <w:t xml:space="preserve">Clinical trials, longitudinal studies, collaborative research data</w:t>
            </w:r>
          </w:p>
        </w:tc>
      </w:tr>
      <w:tr>
        <w:tc>
          <w:tcPr/>
          <w:p>
            <w:pPr>
              <w:pStyle w:val="Compact"/>
              <w:jc w:val="left"/>
            </w:pPr>
            <w:r>
              <w:rPr>
                <w:b/>
                <w:bCs/>
              </w:rPr>
              <w:t xml:space="preserve">Research IP</w:t>
            </w:r>
          </w:p>
        </w:tc>
        <w:tc>
          <w:tcPr/>
          <w:p>
            <w:pPr>
              <w:pStyle w:val="Compact"/>
              <w:jc w:val="left"/>
            </w:pPr>
            <w:r>
              <w:t xml:space="preserve">Proprietary research findings, unpublished data</w:t>
            </w:r>
          </w:p>
        </w:tc>
      </w:tr>
    </w:tbl>
    <w:bookmarkEnd w:id="443"/>
    <w:bookmarkStart w:id="444" w:name="scoring-developing-country-framework-2"/>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Clinical Scale</w:t>
            </w:r>
          </w:p>
        </w:tc>
        <w:tc>
          <w:tcPr/>
          <w:p>
            <w:pPr>
              <w:pStyle w:val="Compact"/>
              <w:jc w:val="left"/>
            </w:pPr>
            <w:r>
              <w:t xml:space="preserve">1,500 beds; major tertiary hospital</w:t>
            </w:r>
          </w:p>
        </w:tc>
        <w:tc>
          <w:tcPr/>
          <w:p>
            <w:pPr>
              <w:pStyle w:val="Compact"/>
              <w:jc w:val="center"/>
            </w:pPr>
            <w:r>
              <w:t xml:space="preserve">30</w:t>
            </w:r>
          </w:p>
        </w:tc>
      </w:tr>
      <w:tr>
        <w:tc>
          <w:tcPr/>
          <w:p>
            <w:pPr>
              <w:pStyle w:val="Compact"/>
              <w:jc w:val="left"/>
            </w:pPr>
            <w:r>
              <w:rPr>
                <w:b/>
                <w:bCs/>
              </w:rPr>
              <w:t xml:space="preserve">B. Capability</w:t>
            </w:r>
          </w:p>
        </w:tc>
        <w:tc>
          <w:tcPr/>
          <w:p>
            <w:pPr>
              <w:pStyle w:val="Compact"/>
              <w:jc w:val="left"/>
            </w:pPr>
            <w:r>
              <w:t xml:space="preserve">ICU, emergency, tertiary specialty services</w:t>
            </w:r>
          </w:p>
        </w:tc>
        <w:tc>
          <w:tcPr/>
          <w:p>
            <w:pPr>
              <w:pStyle w:val="Compact"/>
              <w:jc w:val="center"/>
            </w:pPr>
            <w:r>
              <w:t xml:space="preserve">25</w:t>
            </w:r>
          </w:p>
        </w:tc>
      </w:tr>
      <w:tr>
        <w:tc>
          <w:tcPr/>
          <w:p>
            <w:pPr>
              <w:pStyle w:val="Compact"/>
              <w:jc w:val="left"/>
            </w:pPr>
            <w:r>
              <w:rPr>
                <w:b/>
                <w:bCs/>
              </w:rPr>
              <w:t xml:space="preserve">C. Research Function</w:t>
            </w:r>
          </w:p>
        </w:tc>
        <w:tc>
          <w:tcPr/>
          <w:p>
            <w:pPr>
              <w:pStyle w:val="Compact"/>
              <w:jc w:val="left"/>
            </w:pPr>
            <w:r>
              <w:t xml:space="preserve">45 active projects; clinical trial data</w:t>
            </w:r>
          </w:p>
        </w:tc>
        <w:tc>
          <w:tcPr/>
          <w:p>
            <w:pPr>
              <w:pStyle w:val="Compact"/>
              <w:jc w:val="center"/>
            </w:pPr>
            <w:r>
              <w:t xml:space="preserve">15</w:t>
            </w:r>
          </w:p>
        </w:tc>
      </w:tr>
      <w:tr>
        <w:tc>
          <w:tcPr/>
          <w:p>
            <w:pPr>
              <w:pStyle w:val="Compact"/>
              <w:jc w:val="left"/>
            </w:pPr>
            <w:r>
              <w:rPr>
                <w:b/>
                <w:bCs/>
              </w:rPr>
              <w:t xml:space="preserve">D. Training Pipeline</w:t>
            </w:r>
          </w:p>
        </w:tc>
        <w:tc>
          <w:tcPr/>
          <w:p>
            <w:pPr>
              <w:pStyle w:val="Compact"/>
              <w:jc w:val="left"/>
            </w:pPr>
            <w:r>
              <w:t xml:space="preserve">450 trainees/year; workforce development</w:t>
            </w:r>
          </w:p>
        </w:tc>
        <w:tc>
          <w:tcPr/>
          <w:p>
            <w:pPr>
              <w:pStyle w:val="Compact"/>
              <w:jc w:val="center"/>
            </w:pPr>
            <w:r>
              <w:t xml:space="preserve">10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80</w:t>
            </w:r>
          </w:p>
        </w:tc>
      </w:tr>
    </w:tbl>
    <w:bookmarkEnd w:id="444"/>
    <w:bookmarkEnd w:id="445"/>
    <w:bookmarkStart w:id="446" w:name="classification-result-5"/>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80</w:t>
            </w:r>
          </w:p>
        </w:tc>
        <w:tc>
          <w:tcPr/>
          <w:p>
            <w:pPr>
              <w:pStyle w:val="Compact"/>
              <w:jc w:val="left"/>
            </w:pPr>
            <w:r>
              <w:rPr>
                <w:b/>
                <w:bCs/>
              </w:rPr>
              <w:t xml:space="preserve">Tier 1 (Essential)</w:t>
            </w:r>
          </w:p>
        </w:tc>
        <w:tc>
          <w:tcPr/>
          <w:p>
            <w:pPr>
              <w:pStyle w:val="Compact"/>
              <w:jc w:val="left"/>
            </w:pPr>
            <w:r>
              <w:t xml:space="preserve">Major tertiary hospital + research institution + training function</w:t>
            </w:r>
          </w:p>
        </w:tc>
      </w:tr>
    </w:tbl>
    <w:p>
      <w:pPr>
        <w:pStyle w:val="BlockText"/>
      </w:pPr>
      <w:r>
        <w:t xml:space="preserve">[!NOTE]</w:t>
      </w:r>
      <w:r>
        <w:t xml:space="preserve"> </w:t>
      </w:r>
      <w:r>
        <w:t xml:space="preserve">Medical colleges have</w:t>
      </w:r>
      <w:r>
        <w:t xml:space="preserve"> </w:t>
      </w:r>
      <w:r>
        <w:rPr>
          <w:b/>
          <w:bCs/>
        </w:rPr>
        <w:t xml:space="preserve">triple criticality</w:t>
      </w:r>
      <w:r>
        <w:t xml:space="preserve">: clinical care, research data, and workforce training. A cyber incident affecting a medical college simultaneously impacts patient care, ongoing research, and future healthcare capacity.</w:t>
      </w:r>
    </w:p>
    <w:bookmarkEnd w:id="446"/>
    <w:bookmarkStart w:id="447" w:name="applicable-obligations-3"/>
    <w:p>
      <w:pPr>
        <w:pStyle w:val="Heading3"/>
      </w:pPr>
      <w:r>
        <w:t xml:space="preserve">Applicable Obligations</w:t>
      </w:r>
    </w:p>
    <w:p>
      <w:pPr>
        <w:pStyle w:val="FirstParagraph"/>
      </w:pPr>
      <w:r>
        <w:rPr>
          <w:b/>
          <w:bCs/>
        </w:rPr>
        <w:t xml:space="preserve">Clinical side:</w:t>
      </w:r>
      <w:r>
        <w:t xml:space="preserve"> </w:t>
      </w:r>
      <w:r>
        <w:t xml:space="preserve">- All Tier 1 hospital obligations (CISO, audit, incident reporting, BCP)</w:t>
      </w:r>
    </w:p>
    <w:p>
      <w:pPr>
        <w:pStyle w:val="BodyText"/>
      </w:pPr>
      <w:r>
        <w:rPr>
          <w:b/>
          <w:bCs/>
        </w:rPr>
        <w:t xml:space="preserve">Research side:</w:t>
      </w:r>
      <w:r>
        <w:t xml:space="preserve"> </w:t>
      </w:r>
      <w:r>
        <w:t xml:space="preserve">- Research data protection controls (ELN, CTMS, repositories)</w:t>
      </w:r>
      <w:r>
        <w:t xml:space="preserve"> </w:t>
      </w:r>
      <w:r>
        <w:t xml:space="preserve">- Clinical trial data integrity monitoring</w:t>
      </w:r>
      <w:r>
        <w:t xml:space="preserve"> </w:t>
      </w:r>
      <w:r>
        <w:t xml:space="preserve">- International collaboration data transfer controls</w:t>
      </w:r>
      <w:r>
        <w:t xml:space="preserve"> </w:t>
      </w:r>
      <w:r>
        <w:t xml:space="preserve">- Research ethics committee security awareness</w:t>
      </w:r>
    </w:p>
    <w:p>
      <w:pPr>
        <w:pStyle w:val="BodyText"/>
      </w:pPr>
      <w:r>
        <w:rPr>
          <w:b/>
          <w:bCs/>
        </w:rPr>
        <w:t xml:space="preserve">Education side:</w:t>
      </w:r>
      <w:r>
        <w:t xml:space="preserve"> </w:t>
      </w:r>
      <w:r>
        <w:t xml:space="preserve">- Student data protection</w:t>
      </w:r>
      <w:r>
        <w:t xml:space="preserve"> </w:t>
      </w:r>
      <w:r>
        <w:t xml:space="preserve">- Examination system security</w:t>
      </w:r>
      <w:r>
        <w:t xml:space="preserve"> </w:t>
      </w:r>
      <w:r>
        <w:t xml:space="preserve">- Training continuity planning</w:t>
      </w:r>
    </w:p>
    <w:p>
      <w:r>
        <w:pict>
          <v:rect style="width:0;height:1.5pt" o:hralign="center" o:hrstd="t" o:hr="t"/>
        </w:pict>
      </w:r>
    </w:p>
    <w:bookmarkEnd w:id="447"/>
    <w:bookmarkEnd w:id="448"/>
    <w:bookmarkStart w:id="450" w:name="X692804684143a33ee7e1a24b5080f04c7b304fb"/>
    <w:p>
      <w:pPr>
        <w:pStyle w:val="Heading2"/>
      </w:pPr>
      <w:r>
        <w:t xml:space="preserve">Summary: Healthcare Delivery Classification</w:t>
      </w:r>
    </w:p>
    <w:tbl>
      <w:tblPr>
        <w:tblStyle w:val="Table"/>
        <w:tblW w:type="pct" w:w="5000"/>
        <w:tblLayout w:type="fixed"/>
        <w:tblLook w:firstRow="1" w:lastRow="0" w:firstColumn="0" w:lastColumn="0" w:noHBand="0" w:noVBand="0" w:val="0020"/>
      </w:tblPr>
      <w:tblGrid>
        <w:gridCol w:w="2501"/>
        <w:gridCol w:w="2709"/>
        <w:gridCol w:w="1458"/>
        <w:gridCol w:w="1250"/>
      </w:tblGrid>
      <w:tr>
        <w:trPr>
          <w:tblHeader w:val="on"/>
        </w:trPr>
        <w:tc>
          <w:tcPr/>
          <w:p>
            <w:pPr>
              <w:pStyle w:val="Compact"/>
              <w:jc w:val="left"/>
            </w:pPr>
            <w:r>
              <w:t xml:space="preserve">Case Study</w:t>
            </w:r>
          </w:p>
        </w:tc>
        <w:tc>
          <w:tcPr/>
          <w:p>
            <w:pPr>
              <w:pStyle w:val="Compact"/>
              <w:jc w:val="left"/>
            </w:pPr>
            <w:r>
              <w:t xml:space="preserve">Entity Type</w:t>
            </w:r>
          </w:p>
        </w:tc>
        <w:tc>
          <w:tcPr/>
          <w:p>
            <w:pPr>
              <w:pStyle w:val="Compact"/>
              <w:jc w:val="center"/>
            </w:pPr>
            <w:r>
              <w:t xml:space="preserve">Score</w:t>
            </w:r>
          </w:p>
        </w:tc>
        <w:tc>
          <w:tcPr/>
          <w:p>
            <w:pPr>
              <w:pStyle w:val="Compact"/>
              <w:jc w:val="center"/>
            </w:pPr>
            <w:r>
              <w:t xml:space="preserve">Tier</w:t>
            </w:r>
          </w:p>
        </w:tc>
      </w:tr>
      <w:tr>
        <w:tc>
          <w:tcPr/>
          <w:p>
            <w:pPr>
              <w:pStyle w:val="Compact"/>
              <w:jc w:val="left"/>
            </w:pPr>
            <w:r>
              <w:t xml:space="preserve">Metro General Hospital</w:t>
            </w:r>
          </w:p>
        </w:tc>
        <w:tc>
          <w:tcPr/>
          <w:p>
            <w:pPr>
              <w:pStyle w:val="Compact"/>
              <w:jc w:val="left"/>
            </w:pPr>
            <w:r>
              <w:t xml:space="preserve">Tertiary teaching</w:t>
            </w:r>
          </w:p>
        </w:tc>
        <w:tc>
          <w:tcPr/>
          <w:p>
            <w:pPr>
              <w:pStyle w:val="Compact"/>
              <w:jc w:val="center"/>
            </w:pPr>
            <w:r>
              <w:t xml:space="preserve">70</w:t>
            </w:r>
          </w:p>
        </w:tc>
        <w:tc>
          <w:tcPr/>
          <w:p>
            <w:pPr>
              <w:pStyle w:val="Compact"/>
              <w:jc w:val="center"/>
            </w:pPr>
            <w:r>
              <w:rPr>
                <w:b/>
                <w:bCs/>
              </w:rPr>
              <w:t xml:space="preserve">Tier 1</w:t>
            </w:r>
          </w:p>
        </w:tc>
      </w:tr>
      <w:tr>
        <w:tc>
          <w:tcPr/>
          <w:p>
            <w:pPr>
              <w:pStyle w:val="Compact"/>
              <w:jc w:val="left"/>
            </w:pPr>
            <w:r>
              <w:t xml:space="preserve">Greenfield District Hospital</w:t>
            </w:r>
          </w:p>
        </w:tc>
        <w:tc>
          <w:tcPr/>
          <w:p>
            <w:pPr>
              <w:pStyle w:val="Compact"/>
              <w:jc w:val="left"/>
            </w:pPr>
            <w:r>
              <w:t xml:space="preserve">District hospital (sole)</w:t>
            </w:r>
          </w:p>
        </w:tc>
        <w:tc>
          <w:tcPr/>
          <w:p>
            <w:pPr>
              <w:pStyle w:val="Compact"/>
              <w:jc w:val="center"/>
            </w:pPr>
            <w:r>
              <w:t xml:space="preserve">75</w:t>
            </w:r>
          </w:p>
        </w:tc>
        <w:tc>
          <w:tcPr/>
          <w:p>
            <w:pPr>
              <w:pStyle w:val="Compact"/>
              <w:jc w:val="center"/>
            </w:pPr>
            <w:r>
              <w:rPr>
                <w:b/>
                <w:bCs/>
              </w:rPr>
              <w:t xml:space="preserve">Tier 1</w:t>
            </w:r>
            <w:r>
              <w:t xml:space="preserve"> </w:t>
            </w:r>
            <w:r>
              <w:t xml:space="preserve">(auto)</w:t>
            </w:r>
          </w:p>
        </w:tc>
      </w:tr>
      <w:tr>
        <w:tc>
          <w:tcPr/>
          <w:p>
            <w:pPr>
              <w:pStyle w:val="Compact"/>
              <w:jc w:val="left"/>
            </w:pPr>
            <w:r>
              <w:t xml:space="preserve">HealthFirst Network</w:t>
            </w:r>
          </w:p>
        </w:tc>
        <w:tc>
          <w:tcPr/>
          <w:p>
            <w:pPr>
              <w:pStyle w:val="Compact"/>
              <w:jc w:val="left"/>
            </w:pPr>
            <w:r>
              <w:t xml:space="preserve">Private chain</w:t>
            </w:r>
          </w:p>
        </w:tc>
        <w:tc>
          <w:tcPr/>
          <w:p>
            <w:pPr>
              <w:pStyle w:val="Compact"/>
              <w:jc w:val="center"/>
            </w:pPr>
            <w:r>
              <w:t xml:space="preserve">80</w:t>
            </w:r>
          </w:p>
        </w:tc>
        <w:tc>
          <w:tcPr/>
          <w:p>
            <w:pPr>
              <w:pStyle w:val="Compact"/>
              <w:jc w:val="center"/>
            </w:pPr>
            <w:r>
              <w:rPr>
                <w:b/>
                <w:bCs/>
              </w:rPr>
              <w:t xml:space="preserve">Tier 1</w:t>
            </w:r>
          </w:p>
        </w:tc>
      </w:tr>
      <w:tr>
        <w:tc>
          <w:tcPr/>
          <w:p>
            <w:pPr>
              <w:pStyle w:val="Compact"/>
              <w:jc w:val="left"/>
            </w:pPr>
            <w:r>
              <w:t xml:space="preserve">Riverside CHC</w:t>
            </w:r>
          </w:p>
        </w:tc>
        <w:tc>
          <w:tcPr/>
          <w:p>
            <w:pPr>
              <w:pStyle w:val="Compact"/>
              <w:jc w:val="left"/>
            </w:pPr>
            <w:r>
              <w:t xml:space="preserve">Community health centre</w:t>
            </w:r>
          </w:p>
        </w:tc>
        <w:tc>
          <w:tcPr/>
          <w:p>
            <w:pPr>
              <w:pStyle w:val="Compact"/>
              <w:jc w:val="center"/>
            </w:pPr>
            <w:r>
              <w:t xml:space="preserve">20</w:t>
            </w:r>
          </w:p>
        </w:tc>
        <w:tc>
          <w:tcPr/>
          <w:p>
            <w:pPr>
              <w:pStyle w:val="Compact"/>
              <w:jc w:val="center"/>
            </w:pPr>
            <w:r>
              <w:rPr>
                <w:b/>
                <w:bCs/>
              </w:rPr>
              <w:t xml:space="preserve">Tier 3</w:t>
            </w:r>
          </w:p>
        </w:tc>
      </w:tr>
      <w:tr>
        <w:tc>
          <w:tcPr/>
          <w:p>
            <w:pPr>
              <w:pStyle w:val="Compact"/>
              <w:jc w:val="left"/>
            </w:pPr>
            <w:r>
              <w:t xml:space="preserve">Sehat Setu Telemedicine</w:t>
            </w:r>
          </w:p>
        </w:tc>
        <w:tc>
          <w:tcPr/>
          <w:p>
            <w:pPr>
              <w:pStyle w:val="Compact"/>
              <w:jc w:val="left"/>
            </w:pPr>
            <w:r>
              <w:t xml:space="preserve">Remote telemedicine hub</w:t>
            </w:r>
          </w:p>
        </w:tc>
        <w:tc>
          <w:tcPr/>
          <w:p>
            <w:pPr>
              <w:pStyle w:val="Compact"/>
              <w:jc w:val="center"/>
            </w:pPr>
            <w:r>
              <w:t xml:space="preserve">60</w:t>
            </w:r>
          </w:p>
        </w:tc>
        <w:tc>
          <w:tcPr/>
          <w:p>
            <w:pPr>
              <w:pStyle w:val="Compact"/>
              <w:jc w:val="center"/>
            </w:pPr>
            <w:r>
              <w:rPr>
                <w:b/>
                <w:bCs/>
              </w:rPr>
              <w:t xml:space="preserve">Tier 1</w:t>
            </w:r>
          </w:p>
        </w:tc>
      </w:tr>
      <w:tr>
        <w:tc>
          <w:tcPr/>
          <w:p>
            <w:pPr>
              <w:pStyle w:val="Compact"/>
              <w:jc w:val="left"/>
            </w:pPr>
            <w:r>
              <w:t xml:space="preserve">Lakshmi Devi Medical College</w:t>
            </w:r>
          </w:p>
        </w:tc>
        <w:tc>
          <w:tcPr/>
          <w:p>
            <w:pPr>
              <w:pStyle w:val="Compact"/>
              <w:jc w:val="left"/>
            </w:pPr>
            <w:r>
              <w:t xml:space="preserve">Medical college + research</w:t>
            </w:r>
          </w:p>
        </w:tc>
        <w:tc>
          <w:tcPr/>
          <w:p>
            <w:pPr>
              <w:pStyle w:val="Compact"/>
              <w:jc w:val="center"/>
            </w:pPr>
            <w:r>
              <w:t xml:space="preserve">80</w:t>
            </w:r>
          </w:p>
        </w:tc>
        <w:tc>
          <w:tcPr/>
          <w:p>
            <w:pPr>
              <w:pStyle w:val="Compact"/>
              <w:jc w:val="center"/>
            </w:pPr>
            <w:r>
              <w:rPr>
                <w:b/>
                <w:bCs/>
              </w:rPr>
              <w:t xml:space="preserve">Tier 1</w:t>
            </w:r>
          </w:p>
        </w:tc>
      </w:tr>
    </w:tbl>
    <w:bookmarkStart w:id="449" w:name="key-insights"/>
    <w:p>
      <w:pPr>
        <w:pStyle w:val="Heading3"/>
      </w:pPr>
      <w:r>
        <w:t xml:space="preserve">Key Insights</w:t>
      </w:r>
    </w:p>
    <w:p>
      <w:pPr>
        <w:pStyle w:val="Compact"/>
        <w:numPr>
          <w:ilvl w:val="0"/>
          <w:numId w:val="1318"/>
        </w:numPr>
      </w:pPr>
      <w:r>
        <w:rPr>
          <w:b/>
          <w:bCs/>
        </w:rPr>
        <w:t xml:space="preserve">Geographic factors outweigh scale</w:t>
      </w:r>
      <w:r>
        <w:t xml:space="preserve">: Sole district hospitals are Tier 1 regardless of size</w:t>
      </w:r>
    </w:p>
    <w:p>
      <w:pPr>
        <w:pStyle w:val="Compact"/>
        <w:numPr>
          <w:ilvl w:val="0"/>
          <w:numId w:val="1318"/>
        </w:numPr>
      </w:pPr>
      <w:r>
        <w:rPr>
          <w:b/>
          <w:bCs/>
        </w:rPr>
        <w:t xml:space="preserve">Private chains can be CII</w:t>
      </w:r>
      <w:r>
        <w:t xml:space="preserve">: Large networks with centralized systems warrant high classification</w:t>
      </w:r>
    </w:p>
    <w:p>
      <w:pPr>
        <w:pStyle w:val="Compact"/>
        <w:numPr>
          <w:ilvl w:val="0"/>
          <w:numId w:val="1318"/>
        </w:numPr>
      </w:pPr>
      <w:r>
        <w:rPr>
          <w:b/>
          <w:bCs/>
        </w:rPr>
        <w:t xml:space="preserve">Telemedicine criticality</w:t>
      </w:r>
      <w:r>
        <w:t xml:space="preserve">: Access-based criticality applies to underserved population hubs</w:t>
      </w:r>
    </w:p>
    <w:p>
      <w:pPr>
        <w:pStyle w:val="Compact"/>
        <w:numPr>
          <w:ilvl w:val="0"/>
          <w:numId w:val="1318"/>
        </w:numPr>
      </w:pPr>
      <w:r>
        <w:rPr>
          <w:b/>
          <w:bCs/>
        </w:rPr>
        <w:t xml:space="preserve">Medical colleges have compound criticality</w:t>
      </w:r>
      <w:r>
        <w:t xml:space="preserve">: Clinical + research + training functions multiply risk</w:t>
      </w:r>
    </w:p>
    <w:p>
      <w:pPr>
        <w:pStyle w:val="Compact"/>
        <w:numPr>
          <w:ilvl w:val="0"/>
          <w:numId w:val="1318"/>
        </w:numPr>
      </w:pPr>
      <w:r>
        <w:rPr>
          <w:b/>
          <w:bCs/>
        </w:rPr>
        <w:t xml:space="preserve">Tier 3 facilities benefit from shared services</w:t>
      </w:r>
      <w:r>
        <w:t xml:space="preserve">: Even unclassified facilities need security resources</w:t>
      </w:r>
    </w:p>
    <w:p>
      <w:pPr>
        <w:sectPr>
          <w:footerReference w:type="first" r:id="rId13"/>
          <w:footerReference w:type="default" r:id="rId11"/>
          <w:footerReference w:type="even" r:id="rId10"/>
          <w:type w:val="nextPage"/>
        </w:sectPr>
      </w:pPr>
    </w:p>
    <w:bookmarkEnd w:id="449"/>
    <w:bookmarkEnd w:id="450"/>
    <w:bookmarkEnd w:id="451"/>
    <w:bookmarkStart w:id="476" w:name="X22b087d345c4b97f552a9e2eb3b1c90df2ba018"/>
    <w:p>
      <w:pPr>
        <w:pStyle w:val="Heading1"/>
      </w:pPr>
      <w:r>
        <w:t xml:space="preserve">CII Classification Case Studies: Overview and Index</w:t>
      </w:r>
    </w:p>
    <w:p>
      <w:pPr>
        <w:pStyle w:val="FirstParagraph"/>
      </w:pPr>
      <w:r>
        <w:t xml:space="preserve">This document provides an</w:t>
      </w:r>
      <w:r>
        <w:t xml:space="preserve"> </w:t>
      </w:r>
      <w:r>
        <w:rPr>
          <w:b/>
          <w:bCs/>
        </w:rPr>
        <w:t xml:space="preserve">overview and index</w:t>
      </w:r>
      <w:r>
        <w:t xml:space="preserve"> </w:t>
      </w:r>
      <w:r>
        <w:t xml:space="preserve">for the illustrative case studies demonstrating how to apply the CII Metrics and Grading Framework to health sector entities. All names, locations, and specific details are</w:t>
      </w:r>
      <w:r>
        <w:t xml:space="preserve"> </w:t>
      </w:r>
      <w:r>
        <w:rPr>
          <w:b/>
          <w:bCs/>
        </w:rPr>
        <w:t xml:space="preserve">fictional placeholders</w:t>
      </w:r>
      <w:r>
        <w:t xml:space="preserve"> </w:t>
      </w:r>
      <w:r>
        <w:t xml:space="preserve">designed to represent realistic scenarios.</w:t>
      </w:r>
    </w:p>
    <w:p>
      <w:r>
        <w:pict>
          <v:rect style="width:0;height:1.5pt" o:hralign="center" o:hrstd="t" o:hr="t"/>
        </w:pict>
      </w:r>
    </w:p>
    <w:bookmarkStart w:id="457" w:name="case-study-chapters"/>
    <w:p>
      <w:pPr>
        <w:pStyle w:val="Heading2"/>
      </w:pPr>
      <w:r>
        <w:t xml:space="preserve">Case Study Chapters</w:t>
      </w:r>
    </w:p>
    <w:p>
      <w:pPr>
        <w:pStyle w:val="FirstParagraph"/>
      </w:pPr>
      <w:r>
        <w:t xml:space="preserve">The case studies are organized into domain-specific chapters:</w:t>
      </w:r>
    </w:p>
    <w:tbl>
      <w:tblPr>
        <w:tblStyle w:val="Table"/>
        <w:tblW w:type="pct" w:w="5000"/>
        <w:tblLayout w:type="fixed"/>
        <w:tblLook w:firstRow="1" w:lastRow="0" w:firstColumn="0" w:lastColumn="0" w:noHBand="0" w:noVBand="0" w:val="0020"/>
      </w:tblPr>
      <w:tblGrid>
        <w:gridCol w:w="1926"/>
        <w:gridCol w:w="1712"/>
        <w:gridCol w:w="2996"/>
        <w:gridCol w:w="1284"/>
      </w:tblGrid>
      <w:tr>
        <w:trPr>
          <w:tblHeader w:val="on"/>
        </w:trPr>
        <w:tc>
          <w:tcPr/>
          <w:p>
            <w:pPr>
              <w:pStyle w:val="Compact"/>
              <w:jc w:val="left"/>
            </w:pPr>
            <w:r>
              <w:t xml:space="preserve">Chapter</w:t>
            </w:r>
          </w:p>
        </w:tc>
        <w:tc>
          <w:tcPr/>
          <w:p>
            <w:pPr>
              <w:pStyle w:val="Compact"/>
              <w:jc w:val="left"/>
            </w:pPr>
            <w:r>
              <w:t xml:space="preserve">Domain</w:t>
            </w:r>
          </w:p>
        </w:tc>
        <w:tc>
          <w:tcPr/>
          <w:p>
            <w:pPr>
              <w:pStyle w:val="Compact"/>
              <w:jc w:val="center"/>
            </w:pPr>
            <w:r>
              <w:t xml:space="preserve">Case Studies</w:t>
            </w:r>
          </w:p>
        </w:tc>
        <w:tc>
          <w:tcPr/>
          <w:p>
            <w:pPr>
              <w:pStyle w:val="Compact"/>
              <w:jc w:val="left"/>
            </w:pPr>
            <w:r>
              <w:t xml:space="preserve">File</w:t>
            </w:r>
          </w:p>
        </w:tc>
      </w:tr>
      <w:tr>
        <w:tc>
          <w:tcPr/>
          <w:p>
            <w:pPr>
              <w:pStyle w:val="Compact"/>
              <w:jc w:val="left"/>
            </w:pPr>
            <w:r>
              <w:rPr>
                <w:b/>
                <w:bCs/>
              </w:rPr>
              <w:t xml:space="preserve">61</w:t>
            </w:r>
          </w:p>
        </w:tc>
        <w:tc>
          <w:tcPr/>
          <w:p>
            <w:pPr>
              <w:pStyle w:val="Compact"/>
              <w:jc w:val="left"/>
            </w:pPr>
            <w:r>
              <w:t xml:space="preserve">Healthcare Delivery Facilities</w:t>
            </w:r>
          </w:p>
        </w:tc>
        <w:tc>
          <w:tcPr/>
          <w:p>
            <w:pPr>
              <w:pStyle w:val="Compact"/>
              <w:jc w:val="center"/>
            </w:pPr>
            <w:r>
              <w:t xml:space="preserve">6</w:t>
            </w:r>
          </w:p>
        </w:tc>
        <w:tc>
          <w:tcPr/>
          <w:p>
            <w:pPr>
              <w:pStyle w:val="Compact"/>
              <w:jc w:val="left"/>
            </w:pPr>
            <w:hyperlink r:id="rId452">
              <w:r>
                <w:rPr>
                  <w:rStyle w:val="Hyperlink"/>
                </w:rPr>
                <w:t xml:space="preserve">61 - Case Studies - Healthcare Delivery.md</w:t>
              </w:r>
            </w:hyperlink>
          </w:p>
        </w:tc>
      </w:tr>
      <w:tr>
        <w:tc>
          <w:tcPr/>
          <w:p>
            <w:pPr>
              <w:pStyle w:val="Compact"/>
              <w:jc w:val="left"/>
            </w:pPr>
            <w:r>
              <w:rPr>
                <w:b/>
                <w:bCs/>
              </w:rPr>
              <w:t xml:space="preserve">62</w:t>
            </w:r>
          </w:p>
        </w:tc>
        <w:tc>
          <w:tcPr/>
          <w:p>
            <w:pPr>
              <w:pStyle w:val="Compact"/>
              <w:jc w:val="left"/>
            </w:pPr>
            <w:r>
              <w:t xml:space="preserve">Digital Health Platforms</w:t>
            </w:r>
          </w:p>
        </w:tc>
        <w:tc>
          <w:tcPr/>
          <w:p>
            <w:pPr>
              <w:pStyle w:val="Compact"/>
              <w:jc w:val="center"/>
            </w:pPr>
            <w:r>
              <w:t xml:space="preserve">4</w:t>
            </w:r>
          </w:p>
        </w:tc>
        <w:tc>
          <w:tcPr/>
          <w:p>
            <w:pPr>
              <w:pStyle w:val="Compact"/>
              <w:jc w:val="left"/>
            </w:pPr>
            <w:hyperlink r:id="rId453">
              <w:r>
                <w:rPr>
                  <w:rStyle w:val="Hyperlink"/>
                </w:rPr>
                <w:t xml:space="preserve">62 - Case Studies - Digital Health Platforms.md</w:t>
              </w:r>
            </w:hyperlink>
          </w:p>
        </w:tc>
      </w:tr>
      <w:tr>
        <w:tc>
          <w:tcPr/>
          <w:p>
            <w:pPr>
              <w:pStyle w:val="Compact"/>
              <w:jc w:val="left"/>
            </w:pPr>
            <w:r>
              <w:rPr>
                <w:b/>
                <w:bCs/>
              </w:rPr>
              <w:t xml:space="preserve">63</w:t>
            </w:r>
          </w:p>
        </w:tc>
        <w:tc>
          <w:tcPr/>
          <w:p>
            <w:pPr>
              <w:pStyle w:val="Compact"/>
              <w:jc w:val="left"/>
            </w:pPr>
            <w:r>
              <w:t xml:space="preserve">Diagnostics, Pharma &amp; Biotech</w:t>
            </w:r>
          </w:p>
        </w:tc>
        <w:tc>
          <w:tcPr/>
          <w:p>
            <w:pPr>
              <w:pStyle w:val="Compact"/>
              <w:jc w:val="center"/>
            </w:pPr>
            <w:r>
              <w:t xml:space="preserve">4</w:t>
            </w:r>
          </w:p>
        </w:tc>
        <w:tc>
          <w:tcPr/>
          <w:p>
            <w:pPr>
              <w:pStyle w:val="Compact"/>
              <w:jc w:val="left"/>
            </w:pPr>
            <w:hyperlink r:id="rId454">
              <w:r>
                <w:rPr>
                  <w:rStyle w:val="Hyperlink"/>
                </w:rPr>
                <w:t xml:space="preserve">63 - Case Studies - Diagnostics Pharma Biotech.md</w:t>
              </w:r>
            </w:hyperlink>
          </w:p>
        </w:tc>
      </w:tr>
      <w:tr>
        <w:tc>
          <w:tcPr/>
          <w:p>
            <w:pPr>
              <w:pStyle w:val="Compact"/>
              <w:jc w:val="left"/>
            </w:pPr>
            <w:r>
              <w:rPr>
                <w:b/>
                <w:bCs/>
              </w:rPr>
              <w:t xml:space="preserve">64</w:t>
            </w:r>
          </w:p>
        </w:tc>
        <w:tc>
          <w:tcPr/>
          <w:p>
            <w:pPr>
              <w:pStyle w:val="Compact"/>
              <w:jc w:val="left"/>
            </w:pPr>
            <w:r>
              <w:t xml:space="preserve">Public Health Programs &amp; Surveillance</w:t>
            </w:r>
          </w:p>
        </w:tc>
        <w:tc>
          <w:tcPr/>
          <w:p>
            <w:pPr>
              <w:pStyle w:val="Compact"/>
              <w:jc w:val="center"/>
            </w:pPr>
            <w:r>
              <w:t xml:space="preserve">5</w:t>
            </w:r>
          </w:p>
        </w:tc>
        <w:tc>
          <w:tcPr/>
          <w:p>
            <w:pPr>
              <w:pStyle w:val="Compact"/>
              <w:jc w:val="left"/>
            </w:pPr>
            <w:hyperlink r:id="rId455">
              <w:r>
                <w:rPr>
                  <w:rStyle w:val="Hyperlink"/>
                </w:rPr>
                <w:t xml:space="preserve">64 - Case Studies - Public Health Programs.md</w:t>
              </w:r>
            </w:hyperlink>
          </w:p>
        </w:tc>
      </w:tr>
      <w:tr>
        <w:tc>
          <w:tcPr/>
          <w:p>
            <w:pPr>
              <w:pStyle w:val="Compact"/>
              <w:jc w:val="left"/>
            </w:pPr>
            <w:r>
              <w:rPr>
                <w:b/>
                <w:bCs/>
              </w:rPr>
              <w:t xml:space="preserve">65</w:t>
            </w:r>
          </w:p>
        </w:tc>
        <w:tc>
          <w:tcPr/>
          <w:p>
            <w:pPr>
              <w:pStyle w:val="Compact"/>
              <w:jc w:val="left"/>
            </w:pPr>
            <w:r>
              <w:t xml:space="preserve">Registries, Biobanks &amp; Blood Services</w:t>
            </w:r>
          </w:p>
        </w:tc>
        <w:tc>
          <w:tcPr/>
          <w:p>
            <w:pPr>
              <w:pStyle w:val="Compact"/>
              <w:jc w:val="center"/>
            </w:pPr>
            <w:r>
              <w:t xml:space="preserve">3</w:t>
            </w:r>
          </w:p>
        </w:tc>
        <w:tc>
          <w:tcPr/>
          <w:p>
            <w:pPr>
              <w:pStyle w:val="Compact"/>
              <w:jc w:val="left"/>
            </w:pPr>
            <w:hyperlink r:id="rId456">
              <w:r>
                <w:rPr>
                  <w:rStyle w:val="Hyperlink"/>
                </w:rPr>
                <w:t xml:space="preserve">65 - Case Studies - Registries Biobanks Blood.md</w:t>
              </w:r>
            </w:hyperlink>
          </w:p>
        </w:tc>
      </w:tr>
      <w:tr>
        <w:tc>
          <w:tcPr/>
          <w:p>
            <w:pPr>
              <w:pStyle w:val="Compact"/>
              <w:jc w:val="left"/>
            </w:pPr>
            <w:r>
              <w:rPr>
                <w:b/>
                <w:bCs/>
              </w:rPr>
              <w:t xml:space="preserve">Total</w:t>
            </w:r>
          </w:p>
        </w:tc>
        <w:tc>
          <w:tcPr/>
          <w:p>
            <w:pPr>
              <w:pStyle w:val="Compact"/>
            </w:pPr>
          </w:p>
        </w:tc>
        <w:tc>
          <w:tcPr/>
          <w:p>
            <w:pPr>
              <w:pStyle w:val="Compact"/>
              <w:jc w:val="center"/>
            </w:pPr>
            <w:r>
              <w:rPr>
                <w:b/>
                <w:bCs/>
              </w:rPr>
              <w:t xml:space="preserve">22</w:t>
            </w:r>
          </w:p>
        </w:tc>
        <w:tc>
          <w:tcPr/>
          <w:p>
            <w:pPr>
              <w:pStyle w:val="Compact"/>
            </w:pPr>
          </w:p>
        </w:tc>
      </w:tr>
    </w:tbl>
    <w:p>
      <w:r>
        <w:pict>
          <v:rect style="width:0;height:1.5pt" o:hralign="center" o:hrstd="t" o:hr="t"/>
        </w:pict>
      </w:r>
    </w:p>
    <w:bookmarkEnd w:id="457"/>
    <w:bookmarkStart w:id="463" w:name="complete-case-study-index"/>
    <w:p>
      <w:pPr>
        <w:pStyle w:val="Heading2"/>
      </w:pPr>
      <w:r>
        <w:t xml:space="preserve">Complete Case Study Index</w:t>
      </w:r>
    </w:p>
    <w:bookmarkStart w:id="458" w:name="X48deb9e45de190ed39a7d89f5bb7b2da4768d10"/>
    <w:p>
      <w:pPr>
        <w:pStyle w:val="Heading3"/>
      </w:pPr>
      <w:r>
        <w:t xml:space="preserve">Healthcare Delivery Facilities (Chapter 61)</w:t>
      </w:r>
    </w:p>
    <w:tbl>
      <w:tblPr>
        <w:tblStyle w:val="Table"/>
        <w:tblW w:type="pct" w:w="5000"/>
        <w:tblLayout w:type="fixed"/>
        <w:tblLook w:firstRow="1" w:lastRow="0" w:firstColumn="0" w:lastColumn="0" w:noHBand="0" w:noVBand="0" w:val="0020"/>
      </w:tblPr>
      <w:tblGrid>
        <w:gridCol w:w="516"/>
        <w:gridCol w:w="2926"/>
        <w:gridCol w:w="2238"/>
        <w:gridCol w:w="1205"/>
        <w:gridCol w:w="1033"/>
      </w:tblGrid>
      <w:tr>
        <w:trPr>
          <w:tblHeader w:val="on"/>
        </w:trPr>
        <w:tc>
          <w:tcPr/>
          <w:p>
            <w:pPr>
              <w:pStyle w:val="Compact"/>
              <w:jc w:val="center"/>
            </w:pPr>
            <w:r>
              <w:t xml:space="preserve">#</w:t>
            </w:r>
          </w:p>
        </w:tc>
        <w:tc>
          <w:tcPr/>
          <w:p>
            <w:pPr>
              <w:pStyle w:val="Compact"/>
              <w:jc w:val="left"/>
            </w:pPr>
            <w:r>
              <w:t xml:space="preserve">Case Study Name</w:t>
            </w:r>
          </w:p>
        </w:tc>
        <w:tc>
          <w:tcPr/>
          <w:p>
            <w:pPr>
              <w:pStyle w:val="Compact"/>
              <w:jc w:val="left"/>
            </w:pPr>
            <w:r>
              <w:t xml:space="preserve">Entity Type</w:t>
            </w:r>
          </w:p>
        </w:tc>
        <w:tc>
          <w:tcPr/>
          <w:p>
            <w:pPr>
              <w:pStyle w:val="Compact"/>
              <w:jc w:val="center"/>
            </w:pPr>
            <w:r>
              <w:t xml:space="preserve">Score</w:t>
            </w:r>
          </w:p>
        </w:tc>
        <w:tc>
          <w:tcPr/>
          <w:p>
            <w:pPr>
              <w:pStyle w:val="Compact"/>
              <w:jc w:val="center"/>
            </w:pPr>
            <w:r>
              <w:t xml:space="preserve">Tier</w:t>
            </w:r>
          </w:p>
        </w:tc>
      </w:tr>
      <w:tr>
        <w:tc>
          <w:tcPr/>
          <w:p>
            <w:pPr>
              <w:pStyle w:val="Compact"/>
              <w:jc w:val="center"/>
            </w:pPr>
            <w:r>
              <w:t xml:space="preserve">1</w:t>
            </w:r>
          </w:p>
        </w:tc>
        <w:tc>
          <w:tcPr/>
          <w:p>
            <w:pPr>
              <w:pStyle w:val="Compact"/>
              <w:jc w:val="left"/>
            </w:pPr>
            <w:r>
              <w:t xml:space="preserve">Metro General Hospital</w:t>
            </w:r>
          </w:p>
        </w:tc>
        <w:tc>
          <w:tcPr/>
          <w:p>
            <w:pPr>
              <w:pStyle w:val="Compact"/>
              <w:jc w:val="left"/>
            </w:pPr>
            <w:r>
              <w:t xml:space="preserve">Tertiary teaching hospital</w:t>
            </w:r>
          </w:p>
        </w:tc>
        <w:tc>
          <w:tcPr/>
          <w:p>
            <w:pPr>
              <w:pStyle w:val="Compact"/>
              <w:jc w:val="center"/>
            </w:pPr>
            <w:r>
              <w:t xml:space="preserve">70</w:t>
            </w:r>
          </w:p>
        </w:tc>
        <w:tc>
          <w:tcPr/>
          <w:p>
            <w:pPr>
              <w:pStyle w:val="Compact"/>
              <w:jc w:val="center"/>
            </w:pPr>
            <w:r>
              <w:rPr>
                <w:b/>
                <w:bCs/>
              </w:rPr>
              <w:t xml:space="preserve">Tier 1</w:t>
            </w:r>
          </w:p>
        </w:tc>
      </w:tr>
      <w:tr>
        <w:tc>
          <w:tcPr/>
          <w:p>
            <w:pPr>
              <w:pStyle w:val="Compact"/>
              <w:jc w:val="center"/>
            </w:pPr>
            <w:r>
              <w:t xml:space="preserve">2</w:t>
            </w:r>
          </w:p>
        </w:tc>
        <w:tc>
          <w:tcPr/>
          <w:p>
            <w:pPr>
              <w:pStyle w:val="Compact"/>
              <w:jc w:val="left"/>
            </w:pPr>
            <w:r>
              <w:t xml:space="preserve">Greenfield District Hospital</w:t>
            </w:r>
          </w:p>
        </w:tc>
        <w:tc>
          <w:tcPr/>
          <w:p>
            <w:pPr>
              <w:pStyle w:val="Compact"/>
              <w:jc w:val="left"/>
            </w:pPr>
            <w:r>
              <w:t xml:space="preserve">District hospital (sole provider)</w:t>
            </w:r>
          </w:p>
        </w:tc>
        <w:tc>
          <w:tcPr/>
          <w:p>
            <w:pPr>
              <w:pStyle w:val="Compact"/>
              <w:jc w:val="center"/>
            </w:pPr>
            <w:r>
              <w:t xml:space="preserve">75</w:t>
            </w:r>
          </w:p>
        </w:tc>
        <w:tc>
          <w:tcPr/>
          <w:p>
            <w:pPr>
              <w:pStyle w:val="Compact"/>
              <w:jc w:val="center"/>
            </w:pPr>
            <w:r>
              <w:rPr>
                <w:b/>
                <w:bCs/>
              </w:rPr>
              <w:t xml:space="preserve">Tier 1</w:t>
            </w:r>
            <w:r>
              <w:t xml:space="preserve"> </w:t>
            </w:r>
            <w:r>
              <w:t xml:space="preserve">(auto)</w:t>
            </w:r>
          </w:p>
        </w:tc>
      </w:tr>
      <w:tr>
        <w:tc>
          <w:tcPr/>
          <w:p>
            <w:pPr>
              <w:pStyle w:val="Compact"/>
              <w:jc w:val="center"/>
            </w:pPr>
            <w:r>
              <w:t xml:space="preserve">3</w:t>
            </w:r>
          </w:p>
        </w:tc>
        <w:tc>
          <w:tcPr/>
          <w:p>
            <w:pPr>
              <w:pStyle w:val="Compact"/>
              <w:jc w:val="left"/>
            </w:pPr>
            <w:r>
              <w:t xml:space="preserve">HealthFirst Network</w:t>
            </w:r>
          </w:p>
        </w:tc>
        <w:tc>
          <w:tcPr/>
          <w:p>
            <w:pPr>
              <w:pStyle w:val="Compact"/>
              <w:jc w:val="left"/>
            </w:pPr>
            <w:r>
              <w:t xml:space="preserve">Private hospital chain (15 hospitals)</w:t>
            </w:r>
          </w:p>
        </w:tc>
        <w:tc>
          <w:tcPr/>
          <w:p>
            <w:pPr>
              <w:pStyle w:val="Compact"/>
              <w:jc w:val="center"/>
            </w:pPr>
            <w:r>
              <w:t xml:space="preserve">80</w:t>
            </w:r>
          </w:p>
        </w:tc>
        <w:tc>
          <w:tcPr/>
          <w:p>
            <w:pPr>
              <w:pStyle w:val="Compact"/>
              <w:jc w:val="center"/>
            </w:pPr>
            <w:r>
              <w:rPr>
                <w:b/>
                <w:bCs/>
              </w:rPr>
              <w:t xml:space="preserve">Tier 1</w:t>
            </w:r>
          </w:p>
        </w:tc>
      </w:tr>
      <w:tr>
        <w:tc>
          <w:tcPr/>
          <w:p>
            <w:pPr>
              <w:pStyle w:val="Compact"/>
              <w:jc w:val="center"/>
            </w:pPr>
            <w:r>
              <w:t xml:space="preserve">4</w:t>
            </w:r>
          </w:p>
        </w:tc>
        <w:tc>
          <w:tcPr/>
          <w:p>
            <w:pPr>
              <w:pStyle w:val="Compact"/>
              <w:jc w:val="left"/>
            </w:pPr>
            <w:r>
              <w:t xml:space="preserve">Riverside CHC</w:t>
            </w:r>
          </w:p>
        </w:tc>
        <w:tc>
          <w:tcPr/>
          <w:p>
            <w:pPr>
              <w:pStyle w:val="Compact"/>
              <w:jc w:val="left"/>
            </w:pPr>
            <w:r>
              <w:t xml:space="preserve">Community health centre</w:t>
            </w:r>
          </w:p>
        </w:tc>
        <w:tc>
          <w:tcPr/>
          <w:p>
            <w:pPr>
              <w:pStyle w:val="Compact"/>
              <w:jc w:val="center"/>
            </w:pPr>
            <w:r>
              <w:t xml:space="preserve">20</w:t>
            </w:r>
          </w:p>
        </w:tc>
        <w:tc>
          <w:tcPr/>
          <w:p>
            <w:pPr>
              <w:pStyle w:val="Compact"/>
              <w:jc w:val="center"/>
            </w:pPr>
            <w:r>
              <w:rPr>
                <w:b/>
                <w:bCs/>
              </w:rPr>
              <w:t xml:space="preserve">Tier 3</w:t>
            </w:r>
          </w:p>
        </w:tc>
      </w:tr>
      <w:tr>
        <w:tc>
          <w:tcPr/>
          <w:p>
            <w:pPr>
              <w:pStyle w:val="Compact"/>
              <w:jc w:val="center"/>
            </w:pPr>
            <w:r>
              <w:t xml:space="preserve">5</w:t>
            </w:r>
          </w:p>
        </w:tc>
        <w:tc>
          <w:tcPr/>
          <w:p>
            <w:pPr>
              <w:pStyle w:val="Compact"/>
              <w:jc w:val="left"/>
            </w:pPr>
            <w:r>
              <w:t xml:space="preserve">Sehat Setu</w:t>
            </w:r>
          </w:p>
        </w:tc>
        <w:tc>
          <w:tcPr/>
          <w:p>
            <w:pPr>
              <w:pStyle w:val="Compact"/>
              <w:jc w:val="left"/>
            </w:pPr>
            <w:r>
              <w:t xml:space="preserve">Telemedicine hub (remote areas)</w:t>
            </w:r>
          </w:p>
        </w:tc>
        <w:tc>
          <w:tcPr/>
          <w:p>
            <w:pPr>
              <w:pStyle w:val="Compact"/>
              <w:jc w:val="center"/>
            </w:pPr>
            <w:r>
              <w:t xml:space="preserve">60</w:t>
            </w:r>
          </w:p>
        </w:tc>
        <w:tc>
          <w:tcPr/>
          <w:p>
            <w:pPr>
              <w:pStyle w:val="Compact"/>
              <w:jc w:val="center"/>
            </w:pPr>
            <w:r>
              <w:rPr>
                <w:b/>
                <w:bCs/>
              </w:rPr>
              <w:t xml:space="preserve">Tier 1</w:t>
            </w:r>
          </w:p>
        </w:tc>
      </w:tr>
      <w:tr>
        <w:tc>
          <w:tcPr/>
          <w:p>
            <w:pPr>
              <w:pStyle w:val="Compact"/>
              <w:jc w:val="center"/>
            </w:pPr>
            <w:r>
              <w:t xml:space="preserve">6</w:t>
            </w:r>
          </w:p>
        </w:tc>
        <w:tc>
          <w:tcPr/>
          <w:p>
            <w:pPr>
              <w:pStyle w:val="Compact"/>
              <w:jc w:val="left"/>
            </w:pPr>
            <w:r>
              <w:t xml:space="preserve">Lakshmi Devi Medical College</w:t>
            </w:r>
          </w:p>
        </w:tc>
        <w:tc>
          <w:tcPr/>
          <w:p>
            <w:pPr>
              <w:pStyle w:val="Compact"/>
              <w:jc w:val="left"/>
            </w:pPr>
            <w:r>
              <w:t xml:space="preserve">Medical college + research</w:t>
            </w:r>
          </w:p>
        </w:tc>
        <w:tc>
          <w:tcPr/>
          <w:p>
            <w:pPr>
              <w:pStyle w:val="Compact"/>
              <w:jc w:val="center"/>
            </w:pPr>
            <w:r>
              <w:t xml:space="preserve">80</w:t>
            </w:r>
          </w:p>
        </w:tc>
        <w:tc>
          <w:tcPr/>
          <w:p>
            <w:pPr>
              <w:pStyle w:val="Compact"/>
              <w:jc w:val="center"/>
            </w:pPr>
            <w:r>
              <w:rPr>
                <w:b/>
                <w:bCs/>
              </w:rPr>
              <w:t xml:space="preserve">Tier 1</w:t>
            </w:r>
          </w:p>
        </w:tc>
      </w:tr>
    </w:tbl>
    <w:p>
      <w:r>
        <w:pict>
          <v:rect style="width:0;height:1.5pt" o:hralign="center" o:hrstd="t" o:hr="t"/>
        </w:pict>
      </w:r>
    </w:p>
    <w:bookmarkEnd w:id="458"/>
    <w:bookmarkStart w:id="459" w:name="digital-health-platforms-chapter-62"/>
    <w:p>
      <w:pPr>
        <w:pStyle w:val="Heading3"/>
      </w:pPr>
      <w:r>
        <w:t xml:space="preserve">Digital Health Platforms (Chapter 62)</w:t>
      </w:r>
    </w:p>
    <w:tbl>
      <w:tblPr>
        <w:tblStyle w:val="Table"/>
        <w:tblW w:type="pct" w:w="5000"/>
        <w:tblLayout w:type="fixed"/>
        <w:tblLook w:firstRow="1" w:lastRow="0" w:firstColumn="0" w:lastColumn="0" w:noHBand="0" w:noVBand="0" w:val="0020"/>
      </w:tblPr>
      <w:tblGrid>
        <w:gridCol w:w="516"/>
        <w:gridCol w:w="2926"/>
        <w:gridCol w:w="2238"/>
        <w:gridCol w:w="1205"/>
        <w:gridCol w:w="1033"/>
      </w:tblGrid>
      <w:tr>
        <w:trPr>
          <w:tblHeader w:val="on"/>
        </w:trPr>
        <w:tc>
          <w:tcPr/>
          <w:p>
            <w:pPr>
              <w:pStyle w:val="Compact"/>
              <w:jc w:val="center"/>
            </w:pPr>
            <w:r>
              <w:t xml:space="preserve">#</w:t>
            </w:r>
          </w:p>
        </w:tc>
        <w:tc>
          <w:tcPr/>
          <w:p>
            <w:pPr>
              <w:pStyle w:val="Compact"/>
              <w:jc w:val="left"/>
            </w:pPr>
            <w:r>
              <w:t xml:space="preserve">Case Study Name</w:t>
            </w:r>
          </w:p>
        </w:tc>
        <w:tc>
          <w:tcPr/>
          <w:p>
            <w:pPr>
              <w:pStyle w:val="Compact"/>
              <w:jc w:val="left"/>
            </w:pPr>
            <w:r>
              <w:t xml:space="preserve">Entity Type</w:t>
            </w:r>
          </w:p>
        </w:tc>
        <w:tc>
          <w:tcPr/>
          <w:p>
            <w:pPr>
              <w:pStyle w:val="Compact"/>
              <w:jc w:val="center"/>
            </w:pPr>
            <w:r>
              <w:t xml:space="preserve">Score</w:t>
            </w:r>
          </w:p>
        </w:tc>
        <w:tc>
          <w:tcPr/>
          <w:p>
            <w:pPr>
              <w:pStyle w:val="Compact"/>
              <w:jc w:val="center"/>
            </w:pPr>
            <w:r>
              <w:t xml:space="preserve">Tier</w:t>
            </w:r>
          </w:p>
        </w:tc>
      </w:tr>
      <w:tr>
        <w:tc>
          <w:tcPr/>
          <w:p>
            <w:pPr>
              <w:pStyle w:val="Compact"/>
              <w:jc w:val="center"/>
            </w:pPr>
            <w:r>
              <w:t xml:space="preserve">7</w:t>
            </w:r>
          </w:p>
        </w:tc>
        <w:tc>
          <w:tcPr/>
          <w:p>
            <w:pPr>
              <w:pStyle w:val="Compact"/>
              <w:jc w:val="left"/>
            </w:pPr>
            <w:r>
              <w:t xml:space="preserve">SwasthyaSetu</w:t>
            </w:r>
          </w:p>
        </w:tc>
        <w:tc>
          <w:tcPr/>
          <w:p>
            <w:pPr>
              <w:pStyle w:val="Compact"/>
              <w:jc w:val="left"/>
            </w:pPr>
            <w:r>
              <w:t xml:space="preserve">National digital health platform</w:t>
            </w:r>
          </w:p>
        </w:tc>
        <w:tc>
          <w:tcPr/>
          <w:p>
            <w:pPr>
              <w:pStyle w:val="Compact"/>
              <w:jc w:val="center"/>
            </w:pPr>
            <w:r>
              <w:t xml:space="preserve">Auto</w:t>
            </w:r>
          </w:p>
        </w:tc>
        <w:tc>
          <w:tcPr/>
          <w:p>
            <w:pPr>
              <w:pStyle w:val="Compact"/>
              <w:jc w:val="center"/>
            </w:pPr>
            <w:r>
              <w:rPr>
                <w:b/>
                <w:bCs/>
              </w:rPr>
              <w:t xml:space="preserve">Tier 1</w:t>
            </w:r>
            <w:r>
              <w:t xml:space="preserve"> </w:t>
            </w:r>
            <w:r>
              <w:t xml:space="preserve">(auto)</w:t>
            </w:r>
          </w:p>
        </w:tc>
      </w:tr>
      <w:tr>
        <w:tc>
          <w:tcPr/>
          <w:p>
            <w:pPr>
              <w:pStyle w:val="Compact"/>
              <w:jc w:val="center"/>
            </w:pPr>
            <w:r>
              <w:t xml:space="preserve">8</w:t>
            </w:r>
          </w:p>
        </w:tc>
        <w:tc>
          <w:tcPr/>
          <w:p>
            <w:pPr>
              <w:pStyle w:val="Compact"/>
              <w:jc w:val="left"/>
            </w:pPr>
            <w:r>
              <w:t xml:space="preserve">MyHealthVault</w:t>
            </w:r>
          </w:p>
        </w:tc>
        <w:tc>
          <w:tcPr/>
          <w:p>
            <w:pPr>
              <w:pStyle w:val="Compact"/>
              <w:jc w:val="left"/>
            </w:pPr>
            <w:r>
              <w:t xml:space="preserve">PHR/health data aggregator</w:t>
            </w:r>
          </w:p>
        </w:tc>
        <w:tc>
          <w:tcPr/>
          <w:p>
            <w:pPr>
              <w:pStyle w:val="Compact"/>
              <w:jc w:val="center"/>
            </w:pPr>
            <w:r>
              <w:t xml:space="preserve">70</w:t>
            </w:r>
          </w:p>
        </w:tc>
        <w:tc>
          <w:tcPr/>
          <w:p>
            <w:pPr>
              <w:pStyle w:val="Compact"/>
              <w:jc w:val="center"/>
            </w:pPr>
            <w:r>
              <w:rPr>
                <w:b/>
                <w:bCs/>
              </w:rPr>
              <w:t xml:space="preserve">Tier 1</w:t>
            </w:r>
          </w:p>
        </w:tc>
      </w:tr>
      <w:tr>
        <w:tc>
          <w:tcPr/>
          <w:p>
            <w:pPr>
              <w:pStyle w:val="Compact"/>
              <w:jc w:val="center"/>
            </w:pPr>
            <w:r>
              <w:t xml:space="preserve">9</w:t>
            </w:r>
          </w:p>
        </w:tc>
        <w:tc>
          <w:tcPr/>
          <w:p>
            <w:pPr>
              <w:pStyle w:val="Compact"/>
              <w:jc w:val="left"/>
            </w:pPr>
            <w:r>
              <w:t xml:space="preserve">SwasthyaMitra</w:t>
            </w:r>
          </w:p>
        </w:tc>
        <w:tc>
          <w:tcPr/>
          <w:p>
            <w:pPr>
              <w:pStyle w:val="Compact"/>
              <w:jc w:val="left"/>
            </w:pPr>
            <w:r>
              <w:t xml:space="preserve">State HMIS (500+ hospitals)</w:t>
            </w:r>
          </w:p>
        </w:tc>
        <w:tc>
          <w:tcPr/>
          <w:p>
            <w:pPr>
              <w:pStyle w:val="Compact"/>
              <w:jc w:val="center"/>
            </w:pPr>
            <w:r>
              <w:t xml:space="preserve">80</w:t>
            </w:r>
          </w:p>
        </w:tc>
        <w:tc>
          <w:tcPr/>
          <w:p>
            <w:pPr>
              <w:pStyle w:val="Compact"/>
              <w:jc w:val="center"/>
            </w:pPr>
            <w:r>
              <w:rPr>
                <w:b/>
                <w:bCs/>
              </w:rPr>
              <w:t xml:space="preserve">Tier 1</w:t>
            </w:r>
          </w:p>
        </w:tc>
      </w:tr>
      <w:tr>
        <w:tc>
          <w:tcPr/>
          <w:p>
            <w:pPr>
              <w:pStyle w:val="Compact"/>
              <w:jc w:val="center"/>
            </w:pPr>
            <w:r>
              <w:t xml:space="preserve">10</w:t>
            </w:r>
          </w:p>
        </w:tc>
        <w:tc>
          <w:tcPr/>
          <w:p>
            <w:pPr>
              <w:pStyle w:val="Compact"/>
              <w:jc w:val="left"/>
            </w:pPr>
            <w:r>
              <w:t xml:space="preserve">CareSync Enterprise</w:t>
            </w:r>
          </w:p>
        </w:tc>
        <w:tc>
          <w:tcPr/>
          <w:p>
            <w:pPr>
              <w:pStyle w:val="Compact"/>
              <w:jc w:val="left"/>
            </w:pPr>
            <w:r>
              <w:t xml:space="preserve">Multi-hospital HMIS (5 hospitals)</w:t>
            </w:r>
          </w:p>
        </w:tc>
        <w:tc>
          <w:tcPr/>
          <w:p>
            <w:pPr>
              <w:pStyle w:val="Compact"/>
              <w:jc w:val="center"/>
            </w:pPr>
            <w:r>
              <w:t xml:space="preserve">45</w:t>
            </w:r>
          </w:p>
        </w:tc>
        <w:tc>
          <w:tcPr/>
          <w:p>
            <w:pPr>
              <w:pStyle w:val="Compact"/>
              <w:jc w:val="center"/>
            </w:pPr>
            <w:r>
              <w:rPr>
                <w:b/>
                <w:bCs/>
              </w:rPr>
              <w:t xml:space="preserve">Tier 2</w:t>
            </w:r>
          </w:p>
        </w:tc>
      </w:tr>
    </w:tbl>
    <w:p>
      <w:r>
        <w:pict>
          <v:rect style="width:0;height:1.5pt" o:hralign="center" o:hrstd="t" o:hr="t"/>
        </w:pict>
      </w:r>
    </w:p>
    <w:bookmarkEnd w:id="459"/>
    <w:bookmarkStart w:id="460" w:name="diagnostics-pharma-biotech-chapter-63"/>
    <w:p>
      <w:pPr>
        <w:pStyle w:val="Heading3"/>
      </w:pPr>
      <w:r>
        <w:t xml:space="preserve">Diagnostics, Pharma &amp; Biotech (Chapter 63)</w:t>
      </w:r>
    </w:p>
    <w:tbl>
      <w:tblPr>
        <w:tblStyle w:val="Table"/>
        <w:tblW w:type="pct" w:w="5000"/>
        <w:tblLayout w:type="fixed"/>
        <w:tblLook w:firstRow="1" w:lastRow="0" w:firstColumn="0" w:lastColumn="0" w:noHBand="0" w:noVBand="0" w:val="0020"/>
      </w:tblPr>
      <w:tblGrid>
        <w:gridCol w:w="516"/>
        <w:gridCol w:w="2926"/>
        <w:gridCol w:w="2238"/>
        <w:gridCol w:w="1205"/>
        <w:gridCol w:w="1033"/>
      </w:tblGrid>
      <w:tr>
        <w:trPr>
          <w:tblHeader w:val="on"/>
        </w:trPr>
        <w:tc>
          <w:tcPr/>
          <w:p>
            <w:pPr>
              <w:pStyle w:val="Compact"/>
              <w:jc w:val="center"/>
            </w:pPr>
            <w:r>
              <w:t xml:space="preserve">#</w:t>
            </w:r>
          </w:p>
        </w:tc>
        <w:tc>
          <w:tcPr/>
          <w:p>
            <w:pPr>
              <w:pStyle w:val="Compact"/>
              <w:jc w:val="left"/>
            </w:pPr>
            <w:r>
              <w:t xml:space="preserve">Case Study Name</w:t>
            </w:r>
          </w:p>
        </w:tc>
        <w:tc>
          <w:tcPr/>
          <w:p>
            <w:pPr>
              <w:pStyle w:val="Compact"/>
              <w:jc w:val="left"/>
            </w:pPr>
            <w:r>
              <w:t xml:space="preserve">Entity Type</w:t>
            </w:r>
          </w:p>
        </w:tc>
        <w:tc>
          <w:tcPr/>
          <w:p>
            <w:pPr>
              <w:pStyle w:val="Compact"/>
              <w:jc w:val="center"/>
            </w:pPr>
            <w:r>
              <w:t xml:space="preserve">Score</w:t>
            </w:r>
          </w:p>
        </w:tc>
        <w:tc>
          <w:tcPr/>
          <w:p>
            <w:pPr>
              <w:pStyle w:val="Compact"/>
              <w:jc w:val="center"/>
            </w:pPr>
            <w:r>
              <w:t xml:space="preserve">Tier</w:t>
            </w:r>
          </w:p>
        </w:tc>
      </w:tr>
      <w:tr>
        <w:tc>
          <w:tcPr/>
          <w:p>
            <w:pPr>
              <w:pStyle w:val="Compact"/>
              <w:jc w:val="center"/>
            </w:pPr>
            <w:r>
              <w:t xml:space="preserve">11</w:t>
            </w:r>
          </w:p>
        </w:tc>
        <w:tc>
          <w:tcPr/>
          <w:p>
            <w:pPr>
              <w:pStyle w:val="Compact"/>
              <w:jc w:val="left"/>
            </w:pPr>
            <w:r>
              <w:t xml:space="preserve">DiagnoFirst Labs</w:t>
            </w:r>
          </w:p>
        </w:tc>
        <w:tc>
          <w:tcPr/>
          <w:p>
            <w:pPr>
              <w:pStyle w:val="Compact"/>
              <w:jc w:val="left"/>
            </w:pPr>
            <w:r>
              <w:t xml:space="preserve">Private diagnostic lab chain</w:t>
            </w:r>
          </w:p>
        </w:tc>
        <w:tc>
          <w:tcPr/>
          <w:p>
            <w:pPr>
              <w:pStyle w:val="Compact"/>
              <w:jc w:val="center"/>
            </w:pPr>
            <w:r>
              <w:t xml:space="preserve">60</w:t>
            </w:r>
          </w:p>
        </w:tc>
        <w:tc>
          <w:tcPr/>
          <w:p>
            <w:pPr>
              <w:pStyle w:val="Compact"/>
              <w:jc w:val="center"/>
            </w:pPr>
            <w:r>
              <w:rPr>
                <w:b/>
                <w:bCs/>
              </w:rPr>
              <w:t xml:space="preserve">Tier 1</w:t>
            </w:r>
          </w:p>
        </w:tc>
      </w:tr>
      <w:tr>
        <w:tc>
          <w:tcPr/>
          <w:p>
            <w:pPr>
              <w:pStyle w:val="Compact"/>
              <w:jc w:val="center"/>
            </w:pPr>
            <w:r>
              <w:t xml:space="preserve">12</w:t>
            </w:r>
          </w:p>
        </w:tc>
        <w:tc>
          <w:tcPr/>
          <w:p>
            <w:pPr>
              <w:pStyle w:val="Compact"/>
              <w:jc w:val="left"/>
            </w:pPr>
            <w:r>
              <w:t xml:space="preserve">GenomeIndia Labs</w:t>
            </w:r>
          </w:p>
        </w:tc>
        <w:tc>
          <w:tcPr/>
          <w:p>
            <w:pPr>
              <w:pStyle w:val="Compact"/>
              <w:jc w:val="left"/>
            </w:pPr>
            <w:r>
              <w:t xml:space="preserve">Genomic sequencing laboratory</w:t>
            </w:r>
          </w:p>
        </w:tc>
        <w:tc>
          <w:tcPr/>
          <w:p>
            <w:pPr>
              <w:pStyle w:val="Compact"/>
              <w:jc w:val="center"/>
            </w:pPr>
            <w:r>
              <w:t xml:space="preserve">85</w:t>
            </w:r>
          </w:p>
        </w:tc>
        <w:tc>
          <w:tcPr/>
          <w:p>
            <w:pPr>
              <w:pStyle w:val="Compact"/>
              <w:jc w:val="center"/>
            </w:pPr>
            <w:r>
              <w:rPr>
                <w:b/>
                <w:bCs/>
              </w:rPr>
              <w:t xml:space="preserve">Tier 1</w:t>
            </w:r>
          </w:p>
        </w:tc>
      </w:tr>
      <w:tr>
        <w:tc>
          <w:tcPr/>
          <w:p>
            <w:pPr>
              <w:pStyle w:val="Compact"/>
              <w:jc w:val="center"/>
            </w:pPr>
            <w:r>
              <w:t xml:space="preserve">13</w:t>
            </w:r>
          </w:p>
        </w:tc>
        <w:tc>
          <w:tcPr/>
          <w:p>
            <w:pPr>
              <w:pStyle w:val="Compact"/>
              <w:jc w:val="left"/>
            </w:pPr>
            <w:r>
              <w:t xml:space="preserve">BioShield Pharma</w:t>
            </w:r>
          </w:p>
        </w:tc>
        <w:tc>
          <w:tcPr/>
          <w:p>
            <w:pPr>
              <w:pStyle w:val="Compact"/>
              <w:jc w:val="left"/>
            </w:pPr>
            <w:r>
              <w:t xml:space="preserve">Vaccine manufacturer</w:t>
            </w:r>
          </w:p>
        </w:tc>
        <w:tc>
          <w:tcPr/>
          <w:p>
            <w:pPr>
              <w:pStyle w:val="Compact"/>
              <w:jc w:val="center"/>
            </w:pPr>
            <w:r>
              <w:t xml:space="preserve">90</w:t>
            </w:r>
          </w:p>
        </w:tc>
        <w:tc>
          <w:tcPr/>
          <w:p>
            <w:pPr>
              <w:pStyle w:val="Compact"/>
              <w:jc w:val="center"/>
            </w:pPr>
            <w:r>
              <w:rPr>
                <w:b/>
                <w:bCs/>
              </w:rPr>
              <w:t xml:space="preserve">Tier 1</w:t>
            </w:r>
            <w:r>
              <w:t xml:space="preserve"> </w:t>
            </w:r>
            <w:r>
              <w:t xml:space="preserve">(auto)</w:t>
            </w:r>
          </w:p>
        </w:tc>
      </w:tr>
      <w:tr>
        <w:tc>
          <w:tcPr/>
          <w:p>
            <w:pPr>
              <w:pStyle w:val="Compact"/>
              <w:jc w:val="center"/>
            </w:pPr>
            <w:r>
              <w:t xml:space="preserve">14</w:t>
            </w:r>
          </w:p>
        </w:tc>
        <w:tc>
          <w:tcPr/>
          <w:p>
            <w:pPr>
              <w:pStyle w:val="Compact"/>
              <w:jc w:val="left"/>
            </w:pPr>
            <w:r>
              <w:t xml:space="preserve">GeneSys BioTech</w:t>
            </w:r>
          </w:p>
        </w:tc>
        <w:tc>
          <w:tcPr/>
          <w:p>
            <w:pPr>
              <w:pStyle w:val="Compact"/>
              <w:jc w:val="left"/>
            </w:pPr>
            <w:r>
              <w:t xml:space="preserve">Biosimilar R&amp;D company</w:t>
            </w:r>
          </w:p>
        </w:tc>
        <w:tc>
          <w:tcPr/>
          <w:p>
            <w:pPr>
              <w:pStyle w:val="Compact"/>
              <w:jc w:val="center"/>
            </w:pPr>
            <w:r>
              <w:t xml:space="preserve">70</w:t>
            </w:r>
          </w:p>
        </w:tc>
        <w:tc>
          <w:tcPr/>
          <w:p>
            <w:pPr>
              <w:pStyle w:val="Compact"/>
              <w:jc w:val="center"/>
            </w:pPr>
            <w:r>
              <w:rPr>
                <w:b/>
                <w:bCs/>
              </w:rPr>
              <w:t xml:space="preserve">Tier 1</w:t>
            </w:r>
          </w:p>
        </w:tc>
      </w:tr>
    </w:tbl>
    <w:p>
      <w:r>
        <w:pict>
          <v:rect style="width:0;height:1.5pt" o:hralign="center" o:hrstd="t" o:hr="t"/>
        </w:pict>
      </w:r>
    </w:p>
    <w:bookmarkEnd w:id="460"/>
    <w:bookmarkStart w:id="461" w:name="X8719fd93c74a0d33bf0cf0cecb14dff2ef92d0e"/>
    <w:p>
      <w:pPr>
        <w:pStyle w:val="Heading3"/>
      </w:pPr>
      <w:r>
        <w:t xml:space="preserve">Public Health Programs &amp; Surveillance (Chapter 64)</w:t>
      </w:r>
    </w:p>
    <w:tbl>
      <w:tblPr>
        <w:tblStyle w:val="Table"/>
        <w:tblW w:type="pct" w:w="5000"/>
        <w:tblLayout w:type="fixed"/>
        <w:tblLook w:firstRow="1" w:lastRow="0" w:firstColumn="0" w:lastColumn="0" w:noHBand="0" w:noVBand="0" w:val="0020"/>
      </w:tblPr>
      <w:tblGrid>
        <w:gridCol w:w="516"/>
        <w:gridCol w:w="2926"/>
        <w:gridCol w:w="2238"/>
        <w:gridCol w:w="1205"/>
        <w:gridCol w:w="1033"/>
      </w:tblGrid>
      <w:tr>
        <w:trPr>
          <w:tblHeader w:val="on"/>
        </w:trPr>
        <w:tc>
          <w:tcPr/>
          <w:p>
            <w:pPr>
              <w:pStyle w:val="Compact"/>
              <w:jc w:val="center"/>
            </w:pPr>
            <w:r>
              <w:t xml:space="preserve">#</w:t>
            </w:r>
          </w:p>
        </w:tc>
        <w:tc>
          <w:tcPr/>
          <w:p>
            <w:pPr>
              <w:pStyle w:val="Compact"/>
              <w:jc w:val="left"/>
            </w:pPr>
            <w:r>
              <w:t xml:space="preserve">Case Study Name</w:t>
            </w:r>
          </w:p>
        </w:tc>
        <w:tc>
          <w:tcPr/>
          <w:p>
            <w:pPr>
              <w:pStyle w:val="Compact"/>
              <w:jc w:val="left"/>
            </w:pPr>
            <w:r>
              <w:t xml:space="preserve">Entity Type</w:t>
            </w:r>
          </w:p>
        </w:tc>
        <w:tc>
          <w:tcPr/>
          <w:p>
            <w:pPr>
              <w:pStyle w:val="Compact"/>
              <w:jc w:val="center"/>
            </w:pPr>
            <w:r>
              <w:t xml:space="preserve">Score</w:t>
            </w:r>
          </w:p>
        </w:tc>
        <w:tc>
          <w:tcPr/>
          <w:p>
            <w:pPr>
              <w:pStyle w:val="Compact"/>
              <w:jc w:val="center"/>
            </w:pPr>
            <w:r>
              <w:t xml:space="preserve">Tier</w:t>
            </w:r>
          </w:p>
        </w:tc>
      </w:tr>
      <w:tr>
        <w:tc>
          <w:tcPr/>
          <w:p>
            <w:pPr>
              <w:pStyle w:val="Compact"/>
              <w:jc w:val="center"/>
            </w:pPr>
            <w:r>
              <w:t xml:space="preserve">15</w:t>
            </w:r>
          </w:p>
        </w:tc>
        <w:tc>
          <w:tcPr/>
          <w:p>
            <w:pPr>
              <w:pStyle w:val="Compact"/>
              <w:jc w:val="left"/>
            </w:pPr>
            <w:r>
              <w:t xml:space="preserve">SurveilHealth</w:t>
            </w:r>
          </w:p>
        </w:tc>
        <w:tc>
          <w:tcPr/>
          <w:p>
            <w:pPr>
              <w:pStyle w:val="Compact"/>
              <w:jc w:val="left"/>
            </w:pPr>
            <w:r>
              <w:t xml:space="preserve">National disease surveillance</w:t>
            </w:r>
          </w:p>
        </w:tc>
        <w:tc>
          <w:tcPr/>
          <w:p>
            <w:pPr>
              <w:pStyle w:val="Compact"/>
              <w:jc w:val="center"/>
            </w:pPr>
            <w:r>
              <w:t xml:space="preserve">85</w:t>
            </w:r>
          </w:p>
        </w:tc>
        <w:tc>
          <w:tcPr/>
          <w:p>
            <w:pPr>
              <w:pStyle w:val="Compact"/>
              <w:jc w:val="center"/>
            </w:pPr>
            <w:r>
              <w:rPr>
                <w:b/>
                <w:bCs/>
              </w:rPr>
              <w:t xml:space="preserve">Tier 1</w:t>
            </w:r>
            <w:r>
              <w:t xml:space="preserve"> </w:t>
            </w:r>
            <w:r>
              <w:t xml:space="preserve">(auto)</w:t>
            </w:r>
          </w:p>
        </w:tc>
      </w:tr>
      <w:tr>
        <w:tc>
          <w:tcPr/>
          <w:p>
            <w:pPr>
              <w:pStyle w:val="Compact"/>
              <w:jc w:val="center"/>
            </w:pPr>
            <w:r>
              <w:t xml:space="preserve">16</w:t>
            </w:r>
          </w:p>
        </w:tc>
        <w:tc>
          <w:tcPr/>
          <w:p>
            <w:pPr>
              <w:pStyle w:val="Compact"/>
              <w:jc w:val="left"/>
            </w:pPr>
            <w:r>
              <w:t xml:space="preserve">TB-Mukt Bharat</w:t>
            </w:r>
          </w:p>
        </w:tc>
        <w:tc>
          <w:tcPr/>
          <w:p>
            <w:pPr>
              <w:pStyle w:val="Compact"/>
              <w:jc w:val="left"/>
            </w:pPr>
            <w:r>
              <w:t xml:space="preserve">National TB elimination program</w:t>
            </w:r>
          </w:p>
        </w:tc>
        <w:tc>
          <w:tcPr/>
          <w:p>
            <w:pPr>
              <w:pStyle w:val="Compact"/>
              <w:jc w:val="center"/>
            </w:pPr>
            <w:r>
              <w:t xml:space="preserve">80</w:t>
            </w:r>
          </w:p>
        </w:tc>
        <w:tc>
          <w:tcPr/>
          <w:p>
            <w:pPr>
              <w:pStyle w:val="Compact"/>
              <w:jc w:val="center"/>
            </w:pPr>
            <w:r>
              <w:rPr>
                <w:b/>
                <w:bCs/>
              </w:rPr>
              <w:t xml:space="preserve">Tier 1</w:t>
            </w:r>
            <w:r>
              <w:t xml:space="preserve"> </w:t>
            </w:r>
            <w:r>
              <w:t xml:space="preserve">(auto)</w:t>
            </w:r>
          </w:p>
        </w:tc>
      </w:tr>
      <w:tr>
        <w:tc>
          <w:tcPr/>
          <w:p>
            <w:pPr>
              <w:pStyle w:val="Compact"/>
              <w:jc w:val="center"/>
            </w:pPr>
            <w:r>
              <w:t xml:space="preserve">17</w:t>
            </w:r>
          </w:p>
        </w:tc>
        <w:tc>
          <w:tcPr/>
          <w:p>
            <w:pPr>
              <w:pStyle w:val="Compact"/>
              <w:jc w:val="left"/>
            </w:pPr>
            <w:r>
              <w:t xml:space="preserve">Sankalp</w:t>
            </w:r>
          </w:p>
        </w:tc>
        <w:tc>
          <w:tcPr/>
          <w:p>
            <w:pPr>
              <w:pStyle w:val="Compact"/>
              <w:jc w:val="left"/>
            </w:pPr>
            <w:r>
              <w:t xml:space="preserve">National NCD program</w:t>
            </w:r>
          </w:p>
        </w:tc>
        <w:tc>
          <w:tcPr/>
          <w:p>
            <w:pPr>
              <w:pStyle w:val="Compact"/>
              <w:jc w:val="center"/>
            </w:pPr>
            <w:r>
              <w:t xml:space="preserve">75</w:t>
            </w:r>
          </w:p>
        </w:tc>
        <w:tc>
          <w:tcPr/>
          <w:p>
            <w:pPr>
              <w:pStyle w:val="Compact"/>
              <w:jc w:val="center"/>
            </w:pPr>
            <w:r>
              <w:rPr>
                <w:b/>
                <w:bCs/>
              </w:rPr>
              <w:t xml:space="preserve">Tier 1</w:t>
            </w:r>
          </w:p>
        </w:tc>
      </w:tr>
      <w:tr>
        <w:tc>
          <w:tcPr/>
          <w:p>
            <w:pPr>
              <w:pStyle w:val="Compact"/>
              <w:jc w:val="center"/>
            </w:pPr>
            <w:r>
              <w:t xml:space="preserve">18</w:t>
            </w:r>
          </w:p>
        </w:tc>
        <w:tc>
          <w:tcPr/>
          <w:p>
            <w:pPr>
              <w:pStyle w:val="Compact"/>
              <w:jc w:val="left"/>
            </w:pPr>
            <w:r>
              <w:t xml:space="preserve">DrishtiRaksha</w:t>
            </w:r>
          </w:p>
        </w:tc>
        <w:tc>
          <w:tcPr/>
          <w:p>
            <w:pPr>
              <w:pStyle w:val="Compact"/>
              <w:jc w:val="left"/>
            </w:pPr>
            <w:r>
              <w:t xml:space="preserve">National blindness control</w:t>
            </w:r>
          </w:p>
        </w:tc>
        <w:tc>
          <w:tcPr/>
          <w:p>
            <w:pPr>
              <w:pStyle w:val="Compact"/>
              <w:jc w:val="center"/>
            </w:pPr>
            <w:r>
              <w:t xml:space="preserve">60</w:t>
            </w:r>
          </w:p>
        </w:tc>
        <w:tc>
          <w:tcPr/>
          <w:p>
            <w:pPr>
              <w:pStyle w:val="Compact"/>
              <w:jc w:val="center"/>
            </w:pPr>
            <w:r>
              <w:rPr>
                <w:b/>
                <w:bCs/>
              </w:rPr>
              <w:t xml:space="preserve">Tier 1</w:t>
            </w:r>
          </w:p>
        </w:tc>
      </w:tr>
      <w:tr>
        <w:tc>
          <w:tcPr/>
          <w:p>
            <w:pPr>
              <w:pStyle w:val="Compact"/>
              <w:jc w:val="center"/>
            </w:pPr>
            <w:r>
              <w:t xml:space="preserve">19</w:t>
            </w:r>
          </w:p>
        </w:tc>
        <w:tc>
          <w:tcPr/>
          <w:p>
            <w:pPr>
              <w:pStyle w:val="Compact"/>
              <w:jc w:val="left"/>
            </w:pPr>
            <w:r>
              <w:t xml:space="preserve">Poshan Rakshak</w:t>
            </w:r>
          </w:p>
        </w:tc>
        <w:tc>
          <w:tcPr/>
          <w:p>
            <w:pPr>
              <w:pStyle w:val="Compact"/>
              <w:jc w:val="left"/>
            </w:pPr>
            <w:r>
              <w:t xml:space="preserve">National nutrition program</w:t>
            </w:r>
          </w:p>
        </w:tc>
        <w:tc>
          <w:tcPr/>
          <w:p>
            <w:pPr>
              <w:pStyle w:val="Compact"/>
              <w:jc w:val="center"/>
            </w:pPr>
            <w:r>
              <w:t xml:space="preserve">80</w:t>
            </w:r>
          </w:p>
        </w:tc>
        <w:tc>
          <w:tcPr/>
          <w:p>
            <w:pPr>
              <w:pStyle w:val="Compact"/>
              <w:jc w:val="center"/>
            </w:pPr>
            <w:r>
              <w:rPr>
                <w:b/>
                <w:bCs/>
              </w:rPr>
              <w:t xml:space="preserve">Tier 1</w:t>
            </w:r>
            <w:r>
              <w:t xml:space="preserve"> </w:t>
            </w:r>
            <w:r>
              <w:t xml:space="preserve">(auto)</w:t>
            </w:r>
          </w:p>
        </w:tc>
      </w:tr>
    </w:tbl>
    <w:p>
      <w:r>
        <w:pict>
          <v:rect style="width:0;height:1.5pt" o:hralign="center" o:hrstd="t" o:hr="t"/>
        </w:pict>
      </w:r>
    </w:p>
    <w:bookmarkEnd w:id="461"/>
    <w:bookmarkStart w:id="462" w:name="X0cebf50ce8bf414963e2a2bdd88552015a535d1"/>
    <w:p>
      <w:pPr>
        <w:pStyle w:val="Heading3"/>
      </w:pPr>
      <w:r>
        <w:t xml:space="preserve">Registries, Biobanks &amp; Blood Services (Chapter 65)</w:t>
      </w:r>
    </w:p>
    <w:tbl>
      <w:tblPr>
        <w:tblStyle w:val="Table"/>
        <w:tblW w:type="pct" w:w="5000"/>
        <w:tblLayout w:type="fixed"/>
        <w:tblLook w:firstRow="1" w:lastRow="0" w:firstColumn="0" w:lastColumn="0" w:noHBand="0" w:noVBand="0" w:val="0020"/>
      </w:tblPr>
      <w:tblGrid>
        <w:gridCol w:w="516"/>
        <w:gridCol w:w="2926"/>
        <w:gridCol w:w="2238"/>
        <w:gridCol w:w="1205"/>
        <w:gridCol w:w="1033"/>
      </w:tblGrid>
      <w:tr>
        <w:trPr>
          <w:tblHeader w:val="on"/>
        </w:trPr>
        <w:tc>
          <w:tcPr/>
          <w:p>
            <w:pPr>
              <w:pStyle w:val="Compact"/>
              <w:jc w:val="center"/>
            </w:pPr>
            <w:r>
              <w:t xml:space="preserve">#</w:t>
            </w:r>
          </w:p>
        </w:tc>
        <w:tc>
          <w:tcPr/>
          <w:p>
            <w:pPr>
              <w:pStyle w:val="Compact"/>
              <w:jc w:val="left"/>
            </w:pPr>
            <w:r>
              <w:t xml:space="preserve">Case Study Name</w:t>
            </w:r>
          </w:p>
        </w:tc>
        <w:tc>
          <w:tcPr/>
          <w:p>
            <w:pPr>
              <w:pStyle w:val="Compact"/>
              <w:jc w:val="left"/>
            </w:pPr>
            <w:r>
              <w:t xml:space="preserve">Entity Type</w:t>
            </w:r>
          </w:p>
        </w:tc>
        <w:tc>
          <w:tcPr/>
          <w:p>
            <w:pPr>
              <w:pStyle w:val="Compact"/>
              <w:jc w:val="center"/>
            </w:pPr>
            <w:r>
              <w:t xml:space="preserve">Score</w:t>
            </w:r>
          </w:p>
        </w:tc>
        <w:tc>
          <w:tcPr/>
          <w:p>
            <w:pPr>
              <w:pStyle w:val="Compact"/>
              <w:jc w:val="center"/>
            </w:pPr>
            <w:r>
              <w:t xml:space="preserve">Tier</w:t>
            </w:r>
          </w:p>
        </w:tc>
      </w:tr>
      <w:tr>
        <w:tc>
          <w:tcPr/>
          <w:p>
            <w:pPr>
              <w:pStyle w:val="Compact"/>
              <w:jc w:val="center"/>
            </w:pPr>
            <w:r>
              <w:t xml:space="preserve">20</w:t>
            </w:r>
          </w:p>
        </w:tc>
        <w:tc>
          <w:tcPr/>
          <w:p>
            <w:pPr>
              <w:pStyle w:val="Compact"/>
              <w:jc w:val="left"/>
            </w:pPr>
            <w:r>
              <w:t xml:space="preserve">OncoWatch</w:t>
            </w:r>
          </w:p>
        </w:tc>
        <w:tc>
          <w:tcPr/>
          <w:p>
            <w:pPr>
              <w:pStyle w:val="Compact"/>
              <w:jc w:val="left"/>
            </w:pPr>
            <w:r>
              <w:t xml:space="preserve">National cancer registry</w:t>
            </w:r>
          </w:p>
        </w:tc>
        <w:tc>
          <w:tcPr/>
          <w:p>
            <w:pPr>
              <w:pStyle w:val="Compact"/>
              <w:jc w:val="center"/>
            </w:pPr>
            <w:r>
              <w:t xml:space="preserve">85</w:t>
            </w:r>
          </w:p>
        </w:tc>
        <w:tc>
          <w:tcPr/>
          <w:p>
            <w:pPr>
              <w:pStyle w:val="Compact"/>
              <w:jc w:val="center"/>
            </w:pPr>
            <w:r>
              <w:rPr>
                <w:b/>
                <w:bCs/>
              </w:rPr>
              <w:t xml:space="preserve">Tier 1</w:t>
            </w:r>
            <w:r>
              <w:t xml:space="preserve"> </w:t>
            </w:r>
            <w:r>
              <w:t xml:space="preserve">(auto)</w:t>
            </w:r>
          </w:p>
        </w:tc>
      </w:tr>
      <w:tr>
        <w:tc>
          <w:tcPr/>
          <w:p>
            <w:pPr>
              <w:pStyle w:val="Compact"/>
              <w:jc w:val="center"/>
            </w:pPr>
            <w:r>
              <w:t xml:space="preserve">21</w:t>
            </w:r>
          </w:p>
        </w:tc>
        <w:tc>
          <w:tcPr/>
          <w:p>
            <w:pPr>
              <w:pStyle w:val="Compact"/>
              <w:jc w:val="left"/>
            </w:pPr>
            <w:r>
              <w:t xml:space="preserve">JeevanKosh</w:t>
            </w:r>
          </w:p>
        </w:tc>
        <w:tc>
          <w:tcPr/>
          <w:p>
            <w:pPr>
              <w:pStyle w:val="Compact"/>
              <w:jc w:val="left"/>
            </w:pPr>
            <w:r>
              <w:t xml:space="preserve">National biobank</w:t>
            </w:r>
          </w:p>
        </w:tc>
        <w:tc>
          <w:tcPr/>
          <w:p>
            <w:pPr>
              <w:pStyle w:val="Compact"/>
              <w:jc w:val="center"/>
            </w:pPr>
            <w:r>
              <w:t xml:space="preserve">85</w:t>
            </w:r>
          </w:p>
        </w:tc>
        <w:tc>
          <w:tcPr/>
          <w:p>
            <w:pPr>
              <w:pStyle w:val="Compact"/>
              <w:jc w:val="center"/>
            </w:pPr>
            <w:r>
              <w:rPr>
                <w:b/>
                <w:bCs/>
              </w:rPr>
              <w:t xml:space="preserve">Tier 1</w:t>
            </w:r>
          </w:p>
        </w:tc>
      </w:tr>
      <w:tr>
        <w:tc>
          <w:tcPr/>
          <w:p>
            <w:pPr>
              <w:pStyle w:val="Compact"/>
              <w:jc w:val="center"/>
            </w:pPr>
            <w:r>
              <w:t xml:space="preserve">22</w:t>
            </w:r>
          </w:p>
        </w:tc>
        <w:tc>
          <w:tcPr/>
          <w:p>
            <w:pPr>
              <w:pStyle w:val="Compact"/>
              <w:jc w:val="left"/>
            </w:pPr>
            <w:r>
              <w:t xml:space="preserve">Jeevan Raksha</w:t>
            </w:r>
          </w:p>
        </w:tc>
        <w:tc>
          <w:tcPr/>
          <w:p>
            <w:pPr>
              <w:pStyle w:val="Compact"/>
              <w:jc w:val="left"/>
            </w:pPr>
            <w:r>
              <w:t xml:space="preserve">State blood transfusion council</w:t>
            </w:r>
          </w:p>
        </w:tc>
        <w:tc>
          <w:tcPr/>
          <w:p>
            <w:pPr>
              <w:pStyle w:val="Compact"/>
              <w:jc w:val="center"/>
            </w:pPr>
            <w:r>
              <w:t xml:space="preserve">70</w:t>
            </w:r>
          </w:p>
        </w:tc>
        <w:tc>
          <w:tcPr/>
          <w:p>
            <w:pPr>
              <w:pStyle w:val="Compact"/>
              <w:jc w:val="center"/>
            </w:pPr>
            <w:r>
              <w:rPr>
                <w:b/>
                <w:bCs/>
              </w:rPr>
              <w:t xml:space="preserve">Tier 1</w:t>
            </w:r>
            <w:r>
              <w:t xml:space="preserve"> </w:t>
            </w:r>
            <w:r>
              <w:t xml:space="preserve">(auto)</w:t>
            </w:r>
          </w:p>
        </w:tc>
      </w:tr>
    </w:tbl>
    <w:p>
      <w:r>
        <w:pict>
          <v:rect style="width:0;height:1.5pt" o:hralign="center" o:hrstd="t" o:hr="t"/>
        </w:pict>
      </w:r>
    </w:p>
    <w:bookmarkEnd w:id="462"/>
    <w:bookmarkEnd w:id="463"/>
    <w:bookmarkStart w:id="464" w:name="overall-tier-distribution"/>
    <w:p>
      <w:pPr>
        <w:pStyle w:val="Heading2"/>
      </w:pPr>
      <w:r>
        <w:t xml:space="preserve">Overall Tier Distribution</w:t>
      </w:r>
    </w:p>
    <w:tbl>
      <w:tblPr>
        <w:tblStyle w:val="Table"/>
        <w:tblW w:type="pct" w:w="5000"/>
        <w:tblLayout w:type="fixed"/>
        <w:tblLook w:firstRow="1" w:lastRow="0" w:firstColumn="0" w:lastColumn="0" w:noHBand="0" w:noVBand="0" w:val="0020"/>
      </w:tblPr>
      <w:tblGrid>
        <w:gridCol w:w="950"/>
        <w:gridCol w:w="1108"/>
        <w:gridCol w:w="1900"/>
        <w:gridCol w:w="3960"/>
      </w:tblGrid>
      <w:tr>
        <w:trPr>
          <w:tblHeader w:val="on"/>
        </w:trPr>
        <w:tc>
          <w:tcPr/>
          <w:p>
            <w:pPr>
              <w:pStyle w:val="Compact"/>
              <w:jc w:val="left"/>
            </w:pPr>
            <w:r>
              <w:t xml:space="preserve">Tier</w:t>
            </w:r>
          </w:p>
        </w:tc>
        <w:tc>
          <w:tcPr/>
          <w:p>
            <w:pPr>
              <w:pStyle w:val="Compact"/>
              <w:jc w:val="center"/>
            </w:pPr>
            <w:r>
              <w:t xml:space="preserve">Count</w:t>
            </w:r>
          </w:p>
        </w:tc>
        <w:tc>
          <w:tcPr/>
          <w:p>
            <w:pPr>
              <w:pStyle w:val="Compact"/>
              <w:jc w:val="center"/>
            </w:pPr>
            <w:r>
              <w:t xml:space="preserve">Percentage</w:t>
            </w:r>
          </w:p>
        </w:tc>
        <w:tc>
          <w:tcPr/>
          <w:p>
            <w:pPr>
              <w:pStyle w:val="Compact"/>
              <w:jc w:val="left"/>
            </w:pPr>
            <w:r>
              <w:t xml:space="preserve">Representative Entities</w:t>
            </w:r>
          </w:p>
        </w:tc>
      </w:tr>
      <w:tr>
        <w:tc>
          <w:tcPr/>
          <w:p>
            <w:pPr>
              <w:pStyle w:val="Compact"/>
              <w:jc w:val="left"/>
            </w:pPr>
            <w:r>
              <w:rPr>
                <w:b/>
                <w:bCs/>
              </w:rPr>
              <w:t xml:space="preserve">Tier 1</w:t>
            </w:r>
          </w:p>
        </w:tc>
        <w:tc>
          <w:tcPr/>
          <w:p>
            <w:pPr>
              <w:pStyle w:val="Compact"/>
              <w:jc w:val="center"/>
            </w:pPr>
            <w:r>
              <w:t xml:space="preserve">20</w:t>
            </w:r>
          </w:p>
        </w:tc>
        <w:tc>
          <w:tcPr/>
          <w:p>
            <w:pPr>
              <w:pStyle w:val="Compact"/>
              <w:jc w:val="center"/>
            </w:pPr>
            <w:r>
              <w:t xml:space="preserve">91%</w:t>
            </w:r>
          </w:p>
        </w:tc>
        <w:tc>
          <w:tcPr/>
          <w:p>
            <w:pPr>
              <w:pStyle w:val="Compact"/>
              <w:jc w:val="left"/>
            </w:pPr>
            <w:r>
              <w:t xml:space="preserve">National platforms, major hospitals, surveillance systems, manufacturers</w:t>
            </w:r>
          </w:p>
        </w:tc>
      </w:tr>
      <w:tr>
        <w:tc>
          <w:tcPr/>
          <w:p>
            <w:pPr>
              <w:pStyle w:val="Compact"/>
              <w:jc w:val="left"/>
            </w:pPr>
            <w:r>
              <w:rPr>
                <w:b/>
                <w:bCs/>
              </w:rPr>
              <w:t xml:space="preserve">Tier 2</w:t>
            </w:r>
          </w:p>
        </w:tc>
        <w:tc>
          <w:tcPr/>
          <w:p>
            <w:pPr>
              <w:pStyle w:val="Compact"/>
              <w:jc w:val="center"/>
            </w:pPr>
            <w:r>
              <w:t xml:space="preserve">1</w:t>
            </w:r>
          </w:p>
        </w:tc>
        <w:tc>
          <w:tcPr/>
          <w:p>
            <w:pPr>
              <w:pStyle w:val="Compact"/>
              <w:jc w:val="center"/>
            </w:pPr>
            <w:r>
              <w:t xml:space="preserve">4.5%</w:t>
            </w:r>
          </w:p>
        </w:tc>
        <w:tc>
          <w:tcPr/>
          <w:p>
            <w:pPr>
              <w:pStyle w:val="Compact"/>
              <w:jc w:val="left"/>
            </w:pPr>
            <w:r>
              <w:t xml:space="preserve">Regional HMIS (5 hospitals)</w:t>
            </w:r>
          </w:p>
        </w:tc>
      </w:tr>
      <w:tr>
        <w:tc>
          <w:tcPr/>
          <w:p>
            <w:pPr>
              <w:pStyle w:val="Compact"/>
              <w:jc w:val="left"/>
            </w:pPr>
            <w:r>
              <w:rPr>
                <w:b/>
                <w:bCs/>
              </w:rPr>
              <w:t xml:space="preserve">Tier 3</w:t>
            </w:r>
          </w:p>
        </w:tc>
        <w:tc>
          <w:tcPr/>
          <w:p>
            <w:pPr>
              <w:pStyle w:val="Compact"/>
              <w:jc w:val="center"/>
            </w:pPr>
            <w:r>
              <w:t xml:space="preserve">1</w:t>
            </w:r>
          </w:p>
        </w:tc>
        <w:tc>
          <w:tcPr/>
          <w:p>
            <w:pPr>
              <w:pStyle w:val="Compact"/>
              <w:jc w:val="center"/>
            </w:pPr>
            <w:r>
              <w:t xml:space="preserve">4.5%</w:t>
            </w:r>
          </w:p>
        </w:tc>
        <w:tc>
          <w:tcPr/>
          <w:p>
            <w:pPr>
              <w:pStyle w:val="Compact"/>
              <w:jc w:val="left"/>
            </w:pPr>
            <w:r>
              <w:t xml:space="preserve">Small CHC</w:t>
            </w:r>
          </w:p>
        </w:tc>
      </w:tr>
    </w:tbl>
    <w:p>
      <w:pPr>
        <w:pStyle w:val="BlockText"/>
      </w:pPr>
      <w:r>
        <w:t xml:space="preserve">[!NOTE]</w:t>
      </w:r>
      <w:r>
        <w:t xml:space="preserve"> </w:t>
      </w:r>
      <w:r>
        <w:t xml:space="preserve">The high proportion of Tier 1 classifications reflects the</w:t>
      </w:r>
      <w:r>
        <w:t xml:space="preserve"> </w:t>
      </w:r>
      <w:r>
        <w:rPr>
          <w:b/>
          <w:bCs/>
        </w:rPr>
        <w:t xml:space="preserve">intentional selection of diverse critical entities</w:t>
      </w:r>
      <w:r>
        <w:t xml:space="preserve"> </w:t>
      </w:r>
      <w:r>
        <w:t xml:space="preserve">for illustration. In practice, most health sector entities (small clinics, standalone pharmacies, individual practitioners) would be Tier 3 or unclassified.</w:t>
      </w:r>
    </w:p>
    <w:p>
      <w:r>
        <w:pict>
          <v:rect style="width:0;height:1.5pt" o:hralign="center" o:hrstd="t" o:hr="t"/>
        </w:pict>
      </w:r>
    </w:p>
    <w:bookmarkEnd w:id="464"/>
    <w:bookmarkStart w:id="470" w:name="key-insights-across-all-case-studies"/>
    <w:p>
      <w:pPr>
        <w:pStyle w:val="Heading2"/>
      </w:pPr>
      <w:r>
        <w:t xml:space="preserve">Key Insights Across All Case Studies</w:t>
      </w:r>
    </w:p>
    <w:bookmarkStart w:id="465" w:name="healthcare-delivery"/>
    <w:p>
      <w:pPr>
        <w:pStyle w:val="Heading3"/>
      </w:pPr>
      <w:r>
        <w:t xml:space="preserve">Healthcare Delivery</w:t>
      </w:r>
    </w:p>
    <w:p>
      <w:pPr>
        <w:pStyle w:val="Compact"/>
        <w:numPr>
          <w:ilvl w:val="0"/>
          <w:numId w:val="1319"/>
        </w:numPr>
      </w:pPr>
      <w:r>
        <w:rPr>
          <w:b/>
          <w:bCs/>
        </w:rPr>
        <w:t xml:space="preserve">Geographic factors outweigh scale in developing countries</w:t>
      </w:r>
      <w:r>
        <w:t xml:space="preserve">: Sole district hospitals qualify for Tier 1 regardless of size</w:t>
      </w:r>
    </w:p>
    <w:p>
      <w:pPr>
        <w:pStyle w:val="Compact"/>
        <w:numPr>
          <w:ilvl w:val="0"/>
          <w:numId w:val="1319"/>
        </w:numPr>
      </w:pPr>
      <w:r>
        <w:rPr>
          <w:b/>
          <w:bCs/>
        </w:rPr>
        <w:t xml:space="preserve">Private chains can be CII</w:t>
      </w:r>
      <w:r>
        <w:t xml:space="preserve">: Large networks with centralized systems warrant high classification</w:t>
      </w:r>
    </w:p>
    <w:p>
      <w:pPr>
        <w:pStyle w:val="Compact"/>
        <w:numPr>
          <w:ilvl w:val="0"/>
          <w:numId w:val="1319"/>
        </w:numPr>
      </w:pPr>
      <w:r>
        <w:rPr>
          <w:b/>
          <w:bCs/>
        </w:rPr>
        <w:t xml:space="preserve">Telemedicine hubs have access-based criticality</w:t>
      </w:r>
      <w:r>
        <w:t xml:space="preserve">: Remote populations depend on these as sole specialist access points</w:t>
      </w:r>
    </w:p>
    <w:p>
      <w:pPr>
        <w:pStyle w:val="Compact"/>
        <w:numPr>
          <w:ilvl w:val="0"/>
          <w:numId w:val="1319"/>
        </w:numPr>
      </w:pPr>
      <w:r>
        <w:rPr>
          <w:b/>
          <w:bCs/>
        </w:rPr>
        <w:t xml:space="preserve">Medical colleges have triple criticality</w:t>
      </w:r>
      <w:r>
        <w:t xml:space="preserve">: Clinical care + research + workforce training compound the risk</w:t>
      </w:r>
    </w:p>
    <w:bookmarkEnd w:id="465"/>
    <w:bookmarkStart w:id="466" w:name="digital-health-platforms"/>
    <w:p>
      <w:pPr>
        <w:pStyle w:val="Heading3"/>
      </w:pPr>
      <w:r>
        <w:t xml:space="preserve">Digital Health Platforms</w:t>
      </w:r>
    </w:p>
    <w:p>
      <w:pPr>
        <w:pStyle w:val="Compact"/>
        <w:numPr>
          <w:ilvl w:val="0"/>
          <w:numId w:val="1320"/>
        </w:numPr>
      </w:pPr>
      <w:r>
        <w:rPr>
          <w:b/>
          <w:bCs/>
        </w:rPr>
        <w:t xml:space="preserve">National platforms are automatic Tier 1</w:t>
      </w:r>
      <w:r>
        <w:t xml:space="preserve">: Any national-level health information system triggers automatic classification</w:t>
      </w:r>
    </w:p>
    <w:p>
      <w:pPr>
        <w:pStyle w:val="Compact"/>
        <w:numPr>
          <w:ilvl w:val="0"/>
          <w:numId w:val="1320"/>
        </w:numPr>
      </w:pPr>
      <w:r>
        <w:rPr>
          <w:b/>
          <w:bCs/>
        </w:rPr>
        <w:t xml:space="preserve">Data aggregation creates concentrated risk</w:t>
      </w:r>
      <w:r>
        <w:t xml:space="preserve">: PHR platforms aggregating from thousands of sources have unique criticality</w:t>
      </w:r>
    </w:p>
    <w:p>
      <w:pPr>
        <w:pStyle w:val="Compact"/>
        <w:numPr>
          <w:ilvl w:val="0"/>
          <w:numId w:val="1320"/>
        </w:numPr>
      </w:pPr>
      <w:r>
        <w:rPr>
          <w:b/>
          <w:bCs/>
        </w:rPr>
        <w:t xml:space="preserve">HMIS scale determines tier</w:t>
      </w:r>
      <w:r>
        <w:t xml:space="preserve">: 500+ facilities = Tier 1; 5 facilities = Tier 2</w:t>
      </w:r>
    </w:p>
    <w:bookmarkEnd w:id="466"/>
    <w:bookmarkStart w:id="467" w:name="diagnostics-pharma-biotech"/>
    <w:p>
      <w:pPr>
        <w:pStyle w:val="Heading3"/>
      </w:pPr>
      <w:r>
        <w:t xml:space="preserve">Diagnostics, Pharma &amp; Biotech</w:t>
      </w:r>
    </w:p>
    <w:p>
      <w:pPr>
        <w:pStyle w:val="Compact"/>
        <w:numPr>
          <w:ilvl w:val="0"/>
          <w:numId w:val="1321"/>
        </w:numPr>
      </w:pPr>
      <w:r>
        <w:rPr>
          <w:b/>
          <w:bCs/>
        </w:rPr>
        <w:t xml:space="preserve">Major diagnostic chains are CII</w:t>
      </w:r>
      <w:r>
        <w:t xml:space="preserve">: Laboratories with significant market share and surveillance roles qualify for Tier 1</w:t>
      </w:r>
    </w:p>
    <w:p>
      <w:pPr>
        <w:pStyle w:val="Compact"/>
        <w:numPr>
          <w:ilvl w:val="0"/>
          <w:numId w:val="1321"/>
        </w:numPr>
      </w:pPr>
      <w:r>
        <w:rPr>
          <w:b/>
          <w:bCs/>
        </w:rPr>
        <w:t xml:space="preserve">Genomic data has unique sovereignty implications</w:t>
      </w:r>
      <w:r>
        <w:t xml:space="preserve">: Population genomics is a national asset requiring special protection</w:t>
      </w:r>
    </w:p>
    <w:p>
      <w:pPr>
        <w:pStyle w:val="Compact"/>
        <w:numPr>
          <w:ilvl w:val="0"/>
          <w:numId w:val="1321"/>
        </w:numPr>
      </w:pPr>
      <w:r>
        <w:rPr>
          <w:b/>
          <w:bCs/>
        </w:rPr>
        <w:t xml:space="preserve">Supply chain entities are CII</w:t>
      </w:r>
      <w:r>
        <w:t xml:space="preserve">: Vaccine/pharma manufacturers with significant market share are Critical Infrastructure</w:t>
      </w:r>
    </w:p>
    <w:p>
      <w:pPr>
        <w:pStyle w:val="Compact"/>
        <w:numPr>
          <w:ilvl w:val="0"/>
          <w:numId w:val="1321"/>
        </w:numPr>
      </w:pPr>
      <w:r>
        <w:rPr>
          <w:b/>
          <w:bCs/>
        </w:rPr>
        <w:t xml:space="preserve">IP-based criticality is valid</w:t>
      </w:r>
      <w:r>
        <w:t xml:space="preserve">: High-value biotech research IP warrants CII consideration for economic security</w:t>
      </w:r>
    </w:p>
    <w:bookmarkEnd w:id="467"/>
    <w:bookmarkStart w:id="468" w:name="public-health-programs-surveillance"/>
    <w:p>
      <w:pPr>
        <w:pStyle w:val="Heading3"/>
      </w:pPr>
      <w:r>
        <w:t xml:space="preserve">Public Health Programs &amp; Surveillance</w:t>
      </w:r>
    </w:p>
    <w:p>
      <w:pPr>
        <w:pStyle w:val="Compact"/>
        <w:numPr>
          <w:ilvl w:val="0"/>
          <w:numId w:val="1322"/>
        </w:numPr>
      </w:pPr>
      <w:r>
        <w:rPr>
          <w:b/>
          <w:bCs/>
        </w:rPr>
        <w:t xml:space="preserve">National surveillance is foundational CII</w:t>
      </w:r>
      <w:r>
        <w:t xml:space="preserve">: Pandemic preparedness depends on surveillance system integrity</w:t>
      </w:r>
    </w:p>
    <w:p>
      <w:pPr>
        <w:pStyle w:val="Compact"/>
        <w:numPr>
          <w:ilvl w:val="0"/>
          <w:numId w:val="1322"/>
        </w:numPr>
      </w:pPr>
      <w:r>
        <w:rPr>
          <w:b/>
          <w:bCs/>
        </w:rPr>
        <w:t xml:space="preserve">Disease control programs have supply chain dependencies</w:t>
      </w:r>
      <w:r>
        <w:t xml:space="preserve">: TB drugs, IOL distribution, nutrition supplements are attack vectors</w:t>
      </w:r>
    </w:p>
    <w:p>
      <w:pPr>
        <w:pStyle w:val="Compact"/>
        <w:numPr>
          <w:ilvl w:val="0"/>
          <w:numId w:val="1322"/>
        </w:numPr>
      </w:pPr>
      <w:r>
        <w:rPr>
          <w:b/>
          <w:bCs/>
        </w:rPr>
        <w:t xml:space="preserve">NCD programs need longitudinal integrity</w:t>
      </w:r>
      <w:r>
        <w:t xml:space="preserve">: Chronic disease tracking requires decade-long data protection</w:t>
      </w:r>
    </w:p>
    <w:p>
      <w:pPr>
        <w:pStyle w:val="Compact"/>
        <w:numPr>
          <w:ilvl w:val="0"/>
          <w:numId w:val="1322"/>
        </w:numPr>
      </w:pPr>
      <w:r>
        <w:rPr>
          <w:b/>
          <w:bCs/>
        </w:rPr>
        <w:t xml:space="preserve">Child health programs are life-critical</w:t>
      </w:r>
      <w:r>
        <w:t xml:space="preserve">: Nutrition monitoring directly affects child mortality</w:t>
      </w:r>
    </w:p>
    <w:bookmarkEnd w:id="468"/>
    <w:bookmarkStart w:id="469" w:name="registries-biobanks-blood-services"/>
    <w:p>
      <w:pPr>
        <w:pStyle w:val="Heading3"/>
      </w:pPr>
      <w:r>
        <w:t xml:space="preserve">Registries, Biobanks &amp; Blood Services</w:t>
      </w:r>
    </w:p>
    <w:p>
      <w:pPr>
        <w:pStyle w:val="Compact"/>
        <w:numPr>
          <w:ilvl w:val="0"/>
          <w:numId w:val="1323"/>
        </w:numPr>
      </w:pPr>
      <w:r>
        <w:rPr>
          <w:b/>
          <w:bCs/>
        </w:rPr>
        <w:t xml:space="preserve">Disease registries support public health planning</w:t>
      </w:r>
      <w:r>
        <w:t xml:space="preserve">: National registry data is irreplaceable</w:t>
      </w:r>
    </w:p>
    <w:p>
      <w:pPr>
        <w:pStyle w:val="Compact"/>
        <w:numPr>
          <w:ilvl w:val="0"/>
          <w:numId w:val="1323"/>
        </w:numPr>
      </w:pPr>
      <w:r>
        <w:rPr>
          <w:b/>
          <w:bCs/>
        </w:rPr>
        <w:t xml:space="preserve">Biobanks need hybrid security</w:t>
      </w:r>
      <w:r>
        <w:t xml:space="preserve">: Physical sample integrity + cyber data protection are equally critical</w:t>
      </w:r>
    </w:p>
    <w:p>
      <w:pPr>
        <w:pStyle w:val="Compact"/>
        <w:numPr>
          <w:ilvl w:val="0"/>
          <w:numId w:val="1323"/>
        </w:numPr>
      </w:pPr>
      <w:r>
        <w:rPr>
          <w:b/>
          <w:bCs/>
        </w:rPr>
        <w:t xml:space="preserve">Blood services are life-critical</w:t>
      </w:r>
      <w:r>
        <w:t xml:space="preserve">: Real-time coordination for emergency transfusions has immediate mortality implications</w:t>
      </w:r>
    </w:p>
    <w:p>
      <w:r>
        <w:pict>
          <v:rect style="width:0;height:1.5pt" o:hralign="center" o:hrstd="t" o:hr="t"/>
        </w:pict>
      </w:r>
    </w:p>
    <w:bookmarkEnd w:id="469"/>
    <w:bookmarkEnd w:id="470"/>
    <w:bookmarkStart w:id="475" w:name="using-these-case-studies"/>
    <w:p>
      <w:pPr>
        <w:pStyle w:val="Heading2"/>
      </w:pPr>
      <w:r>
        <w:t xml:space="preserve">Using These Case Studies</w:t>
      </w:r>
    </w:p>
    <w:bookmarkStart w:id="471" w:name="for-policymakers"/>
    <w:p>
      <w:pPr>
        <w:pStyle w:val="Heading3"/>
      </w:pPr>
      <w:r>
        <w:t xml:space="preserve">For Policymakers</w:t>
      </w:r>
    </w:p>
    <w:p>
      <w:pPr>
        <w:pStyle w:val="Compact"/>
        <w:numPr>
          <w:ilvl w:val="0"/>
          <w:numId w:val="1324"/>
        </w:numPr>
      </w:pPr>
      <w:r>
        <w:t xml:space="preserve">Use case studies to</w:t>
      </w:r>
      <w:r>
        <w:t xml:space="preserve"> </w:t>
      </w:r>
      <w:r>
        <w:rPr>
          <w:b/>
          <w:bCs/>
        </w:rPr>
        <w:t xml:space="preserve">illustrate framework application</w:t>
      </w:r>
      <w:r>
        <w:t xml:space="preserve"> </w:t>
      </w:r>
      <w:r>
        <w:t xml:space="preserve">to stakeholders</w:t>
      </w:r>
    </w:p>
    <w:p>
      <w:pPr>
        <w:pStyle w:val="Compact"/>
        <w:numPr>
          <w:ilvl w:val="0"/>
          <w:numId w:val="1324"/>
        </w:numPr>
      </w:pPr>
      <w:r>
        <w:t xml:space="preserve">Adapt scoring criteria based on</w:t>
      </w:r>
      <w:r>
        <w:t xml:space="preserve"> </w:t>
      </w:r>
      <w:r>
        <w:rPr>
          <w:b/>
          <w:bCs/>
        </w:rPr>
        <w:t xml:space="preserve">local context and thresholds</w:t>
      </w:r>
    </w:p>
    <w:p>
      <w:pPr>
        <w:pStyle w:val="Compact"/>
        <w:numPr>
          <w:ilvl w:val="0"/>
          <w:numId w:val="1324"/>
        </w:numPr>
      </w:pPr>
      <w:r>
        <w:t xml:space="preserve">Reference developing country adaptations for</w:t>
      </w:r>
      <w:r>
        <w:t xml:space="preserve"> </w:t>
      </w:r>
      <w:r>
        <w:rPr>
          <w:b/>
          <w:bCs/>
        </w:rPr>
        <w:t xml:space="preserve">proportionate implementation</w:t>
      </w:r>
    </w:p>
    <w:bookmarkEnd w:id="471"/>
    <w:bookmarkStart w:id="472" w:name="for-regulators"/>
    <w:p>
      <w:pPr>
        <w:pStyle w:val="Heading3"/>
      </w:pPr>
      <w:r>
        <w:t xml:space="preserve">For Regulators</w:t>
      </w:r>
    </w:p>
    <w:p>
      <w:pPr>
        <w:pStyle w:val="Compact"/>
        <w:numPr>
          <w:ilvl w:val="0"/>
          <w:numId w:val="1325"/>
        </w:numPr>
      </w:pPr>
      <w:r>
        <w:t xml:space="preserve">Use as</w:t>
      </w:r>
      <w:r>
        <w:t xml:space="preserve"> </w:t>
      </w:r>
      <w:r>
        <w:rPr>
          <w:b/>
          <w:bCs/>
        </w:rPr>
        <w:t xml:space="preserve">templates for self-assessment questionnaires</w:t>
      </w:r>
    </w:p>
    <w:p>
      <w:pPr>
        <w:pStyle w:val="Compact"/>
        <w:numPr>
          <w:ilvl w:val="0"/>
          <w:numId w:val="1325"/>
        </w:numPr>
      </w:pPr>
      <w:r>
        <w:t xml:space="preserve">Apply scoring methodology consistently across entities</w:t>
      </w:r>
    </w:p>
    <w:p>
      <w:pPr>
        <w:pStyle w:val="Compact"/>
        <w:numPr>
          <w:ilvl w:val="0"/>
          <w:numId w:val="1325"/>
        </w:numPr>
      </w:pPr>
      <w:r>
        <w:t xml:space="preserve">Consider</w:t>
      </w:r>
      <w:r>
        <w:t xml:space="preserve"> </w:t>
      </w:r>
      <w:r>
        <w:rPr>
          <w:b/>
          <w:bCs/>
        </w:rPr>
        <w:t xml:space="preserve">system-level</w:t>
      </w:r>
      <w:r>
        <w:t xml:space="preserve"> </w:t>
      </w:r>
      <w:r>
        <w:t xml:space="preserve">as well as entity-level classification</w:t>
      </w:r>
    </w:p>
    <w:bookmarkEnd w:id="472"/>
    <w:bookmarkStart w:id="473" w:name="for-covered-entities"/>
    <w:p>
      <w:pPr>
        <w:pStyle w:val="Heading3"/>
      </w:pPr>
      <w:r>
        <w:t xml:space="preserve">For Covered Entities</w:t>
      </w:r>
    </w:p>
    <w:p>
      <w:pPr>
        <w:pStyle w:val="Compact"/>
        <w:numPr>
          <w:ilvl w:val="0"/>
          <w:numId w:val="1326"/>
        </w:numPr>
      </w:pPr>
      <w:r>
        <w:rPr>
          <w:b/>
          <w:bCs/>
        </w:rPr>
        <w:t xml:space="preserve">Self-assess</w:t>
      </w:r>
      <w:r>
        <w:t xml:space="preserve"> </w:t>
      </w:r>
      <w:r>
        <w:t xml:space="preserve">using the scoring methodology</w:t>
      </w:r>
    </w:p>
    <w:p>
      <w:pPr>
        <w:pStyle w:val="Compact"/>
        <w:numPr>
          <w:ilvl w:val="0"/>
          <w:numId w:val="1326"/>
        </w:numPr>
      </w:pPr>
      <w:r>
        <w:t xml:space="preserve">Identify applicable</w:t>
      </w:r>
      <w:r>
        <w:t xml:space="preserve"> </w:t>
      </w:r>
      <w:r>
        <w:rPr>
          <w:b/>
          <w:bCs/>
        </w:rPr>
        <w:t xml:space="preserve">obligations by tier</w:t>
      </w:r>
    </w:p>
    <w:p>
      <w:pPr>
        <w:pStyle w:val="Compact"/>
        <w:numPr>
          <w:ilvl w:val="0"/>
          <w:numId w:val="1326"/>
        </w:numPr>
      </w:pPr>
      <w:r>
        <w:t xml:space="preserve">Plan for</w:t>
      </w:r>
      <w:r>
        <w:t xml:space="preserve"> </w:t>
      </w:r>
      <w:r>
        <w:rPr>
          <w:b/>
          <w:bCs/>
        </w:rPr>
        <w:t xml:space="preserve">phased compliance</w:t>
      </w:r>
      <w:r>
        <w:t xml:space="preserve"> </w:t>
      </w:r>
      <w:r>
        <w:t xml:space="preserve">based on tier assignment</w:t>
      </w:r>
    </w:p>
    <w:bookmarkEnd w:id="473"/>
    <w:bookmarkStart w:id="474" w:name="for-technical-implementers"/>
    <w:p>
      <w:pPr>
        <w:pStyle w:val="Heading3"/>
      </w:pPr>
      <w:r>
        <w:t xml:space="preserve">For Technical Implementers</w:t>
      </w:r>
    </w:p>
    <w:p>
      <w:pPr>
        <w:pStyle w:val="Compact"/>
        <w:numPr>
          <w:ilvl w:val="0"/>
          <w:numId w:val="1327"/>
        </w:numPr>
      </w:pPr>
      <w:r>
        <w:t xml:space="preserve">Use obligation lists to</w:t>
      </w:r>
      <w:r>
        <w:t xml:space="preserve"> </w:t>
      </w:r>
      <w:r>
        <w:rPr>
          <w:b/>
          <w:bCs/>
        </w:rPr>
        <w:t xml:space="preserve">scope security programs</w:t>
      </w:r>
    </w:p>
    <w:p>
      <w:pPr>
        <w:pStyle w:val="Compact"/>
        <w:numPr>
          <w:ilvl w:val="0"/>
          <w:numId w:val="1327"/>
        </w:numPr>
      </w:pPr>
      <w:r>
        <w:t xml:space="preserve">Design</w:t>
      </w:r>
      <w:r>
        <w:t xml:space="preserve"> </w:t>
      </w:r>
      <w:r>
        <w:rPr>
          <w:b/>
          <w:bCs/>
        </w:rPr>
        <w:t xml:space="preserve">shared services</w:t>
      </w:r>
      <w:r>
        <w:t xml:space="preserve"> </w:t>
      </w:r>
      <w:r>
        <w:t xml:space="preserve">(SOCs, audits) for Tier 2/3 entities</w:t>
      </w:r>
    </w:p>
    <w:p>
      <w:pPr>
        <w:pStyle w:val="Compact"/>
        <w:numPr>
          <w:ilvl w:val="0"/>
          <w:numId w:val="1327"/>
        </w:numPr>
      </w:pPr>
      <w:r>
        <w:t xml:space="preserve">Plan</w:t>
      </w:r>
      <w:r>
        <w:t xml:space="preserve"> </w:t>
      </w:r>
      <w:r>
        <w:rPr>
          <w:b/>
          <w:bCs/>
        </w:rPr>
        <w:t xml:space="preserve">incident reporting workflows</w:t>
      </w:r>
      <w:r>
        <w:t xml:space="preserve"> </w:t>
      </w:r>
      <w:r>
        <w:t xml:space="preserve">based on tier timelines</w:t>
      </w:r>
    </w:p>
    <w:p>
      <w:pPr>
        <w:sectPr>
          <w:footerReference w:type="first" r:id="rId13"/>
          <w:footerReference w:type="default" r:id="rId11"/>
          <w:footerReference w:type="even" r:id="rId10"/>
          <w:type w:val="nextPage"/>
        </w:sectPr>
      </w:pPr>
    </w:p>
    <w:bookmarkEnd w:id="474"/>
    <w:bookmarkEnd w:id="475"/>
    <w:bookmarkEnd w:id="476"/>
    <w:bookmarkStart w:id="507" w:name="X64ae5b09614c2e3f6d27b7da3c7a1843abf8921"/>
    <w:p>
      <w:pPr>
        <w:pStyle w:val="Heading1"/>
      </w:pPr>
      <w:r>
        <w:t xml:space="preserve">CII Case Studies: Digital Health Platforms</w:t>
      </w:r>
    </w:p>
    <w:p>
      <w:pPr>
        <w:pStyle w:val="FirstParagraph"/>
      </w:pPr>
      <w:r>
        <w:t xml:space="preserve">This chapter presents case studies for</w:t>
      </w:r>
      <w:r>
        <w:t xml:space="preserve"> </w:t>
      </w:r>
      <w:r>
        <w:rPr>
          <w:b/>
          <w:bCs/>
        </w:rPr>
        <w:t xml:space="preserve">digital health platforms</w:t>
      </w:r>
      <w:r>
        <w:t xml:space="preserve"> </w:t>
      </w:r>
      <w:r>
        <w:t xml:space="preserve">including national health information systems, personal health records, and hospital management information systems (HMIS).</w:t>
      </w:r>
    </w:p>
    <w:p>
      <w:r>
        <w:pict>
          <v:rect style="width:0;height:1.5pt" o:hralign="center" o:hrstd="t" o:hr="t"/>
        </w:pict>
      </w:r>
    </w:p>
    <w:bookmarkStart w:id="482" w:name="Xe9e5ecba959e3b2ece91f14609351e717e7609f"/>
    <w:p>
      <w:pPr>
        <w:pStyle w:val="Heading2"/>
      </w:pPr>
      <w:r>
        <w:t xml:space="preserve">Case Study 1: National Digital Health Platform -</w:t>
      </w:r>
      <w:r>
        <w:t xml:space="preserve"> </w:t>
      </w:r>
      <w:r>
        <w:t xml:space="preserve">“SwasthyaSetu”</w:t>
      </w:r>
    </w:p>
    <w:bookmarkStart w:id="477" w:name="entity-profile-6"/>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SwasthyaSetu (fictional national health ID platform)</w:t>
            </w:r>
          </w:p>
        </w:tc>
      </w:tr>
      <w:tr>
        <w:tc>
          <w:tcPr/>
          <w:p>
            <w:pPr>
              <w:pStyle w:val="Compact"/>
              <w:jc w:val="left"/>
            </w:pPr>
            <w:r>
              <w:rPr>
                <w:b/>
                <w:bCs/>
              </w:rPr>
              <w:t xml:space="preserve">Type</w:t>
            </w:r>
          </w:p>
        </w:tc>
        <w:tc>
          <w:tcPr/>
          <w:p>
            <w:pPr>
              <w:pStyle w:val="Compact"/>
              <w:jc w:val="left"/>
            </w:pPr>
            <w:r>
              <w:t xml:space="preserve">National digital health infrastructure</w:t>
            </w:r>
          </w:p>
        </w:tc>
      </w:tr>
      <w:tr>
        <w:tc>
          <w:tcPr/>
          <w:p>
            <w:pPr>
              <w:pStyle w:val="Compact"/>
              <w:jc w:val="left"/>
            </w:pPr>
            <w:r>
              <w:rPr>
                <w:b/>
                <w:bCs/>
              </w:rPr>
              <w:t xml:space="preserve">Operator</w:t>
            </w:r>
          </w:p>
        </w:tc>
        <w:tc>
          <w:tcPr/>
          <w:p>
            <w:pPr>
              <w:pStyle w:val="Compact"/>
              <w:jc w:val="left"/>
            </w:pPr>
            <w:r>
              <w:t xml:space="preserve">National Health Authority (government agency)</w:t>
            </w:r>
          </w:p>
        </w:tc>
      </w:tr>
      <w:tr>
        <w:tc>
          <w:tcPr/>
          <w:p>
            <w:pPr>
              <w:pStyle w:val="Compact"/>
              <w:jc w:val="left"/>
            </w:pPr>
            <w:r>
              <w:rPr>
                <w:b/>
                <w:bCs/>
              </w:rPr>
              <w:t xml:space="preserve">Coverage</w:t>
            </w:r>
          </w:p>
        </w:tc>
        <w:tc>
          <w:tcPr/>
          <w:p>
            <w:pPr>
              <w:pStyle w:val="Compact"/>
              <w:jc w:val="left"/>
            </w:pPr>
            <w:r>
              <w:t xml:space="preserve">800 million registered beneficiaries</w:t>
            </w:r>
          </w:p>
        </w:tc>
      </w:tr>
      <w:tr>
        <w:tc>
          <w:tcPr/>
          <w:p>
            <w:pPr>
              <w:pStyle w:val="Compact"/>
              <w:jc w:val="left"/>
            </w:pPr>
            <w:r>
              <w:rPr>
                <w:b/>
                <w:bCs/>
              </w:rPr>
              <w:t xml:space="preserve">Functions</w:t>
            </w:r>
          </w:p>
        </w:tc>
        <w:tc>
          <w:tcPr/>
          <w:p>
            <w:pPr>
              <w:pStyle w:val="Compact"/>
              <w:jc w:val="left"/>
            </w:pPr>
            <w:r>
              <w:t xml:space="preserve">Health ID issuance, consent management, health record linking, facility registry</w:t>
            </w:r>
          </w:p>
        </w:tc>
      </w:tr>
      <w:tr>
        <w:tc>
          <w:tcPr/>
          <w:p>
            <w:pPr>
              <w:pStyle w:val="Compact"/>
              <w:jc w:val="left"/>
            </w:pPr>
            <w:r>
              <w:rPr>
                <w:b/>
                <w:bCs/>
              </w:rPr>
              <w:t xml:space="preserve">Integrations</w:t>
            </w:r>
          </w:p>
        </w:tc>
        <w:tc>
          <w:tcPr/>
          <w:p>
            <w:pPr>
              <w:pStyle w:val="Compact"/>
              <w:jc w:val="left"/>
            </w:pPr>
            <w:r>
              <w:t xml:space="preserve">Connected to 50,000+ health facilities; insurance platforms; pharmacies</w:t>
            </w:r>
          </w:p>
        </w:tc>
      </w:tr>
      <w:tr>
        <w:tc>
          <w:tcPr/>
          <w:p>
            <w:pPr>
              <w:pStyle w:val="Compact"/>
              <w:jc w:val="left"/>
            </w:pPr>
            <w:r>
              <w:rPr>
                <w:b/>
                <w:bCs/>
              </w:rPr>
              <w:t xml:space="preserve">Employees</w:t>
            </w:r>
          </w:p>
        </w:tc>
        <w:tc>
          <w:tcPr/>
          <w:p>
            <w:pPr>
              <w:pStyle w:val="Compact"/>
              <w:jc w:val="left"/>
            </w:pPr>
            <w:r>
              <w:t xml:space="preserve">450 (central team)</w:t>
            </w:r>
          </w:p>
        </w:tc>
      </w:tr>
      <w:tr>
        <w:tc>
          <w:tcPr/>
          <w:p>
            <w:pPr>
              <w:pStyle w:val="Compact"/>
              <w:jc w:val="left"/>
            </w:pPr>
            <w:r>
              <w:rPr>
                <w:b/>
                <w:bCs/>
              </w:rPr>
              <w:t xml:space="preserve">Infrastructure</w:t>
            </w:r>
          </w:p>
        </w:tc>
        <w:tc>
          <w:tcPr/>
          <w:p>
            <w:pPr>
              <w:pStyle w:val="Compact"/>
              <w:jc w:val="left"/>
            </w:pPr>
            <w:r>
              <w:t xml:space="preserve">Multi-cloud; government data centers</w:t>
            </w:r>
          </w:p>
        </w:tc>
      </w:tr>
    </w:tbl>
    <w:bookmarkEnd w:id="477"/>
    <w:bookmarkStart w:id="479" w:name="cii-classification-assessment-6"/>
    <w:p>
      <w:pPr>
        <w:pStyle w:val="Heading3"/>
      </w:pPr>
      <w:r>
        <w:t xml:space="preserve">CII Classification Assessment</w:t>
      </w:r>
    </w:p>
    <w:bookmarkStart w:id="478" w:name="automatic-tier-1-trigger-analysis"/>
    <w:p>
      <w:pPr>
        <w:pStyle w:val="Heading4"/>
      </w:pPr>
      <w:r>
        <w:t xml:space="preserve">Automatic Tier 1 Trigger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“Regardless of Size”</w:t>
            </w:r>
            <w:r>
              <w:t xml:space="preserve"> </w:t>
            </w:r>
            <w:r>
              <w:t xml:space="preserve">Criterion</w:t>
            </w:r>
          </w:p>
        </w:tc>
        <w:tc>
          <w:tcPr/>
          <w:p>
            <w:pPr>
              <w:pStyle w:val="Compact"/>
              <w:jc w:val="center"/>
            </w:pPr>
            <w:r>
              <w:t xml:space="preserve">Applies?</w:t>
            </w:r>
          </w:p>
        </w:tc>
      </w:tr>
      <w:tr>
        <w:tc>
          <w:tcPr/>
          <w:p>
            <w:pPr>
              <w:pStyle w:val="Compact"/>
              <w:jc w:val="left"/>
            </w:pPr>
            <w:r>
              <w:t xml:space="preserve">Operates national-level health information system</w:t>
            </w:r>
          </w:p>
        </w:tc>
        <w:tc>
          <w:tcPr/>
          <w:p>
            <w:pPr>
              <w:pStyle w:val="Compact"/>
              <w:jc w:val="center"/>
            </w:pPr>
            <w:r>
              <w:t xml:space="preserve">✓</w:t>
            </w:r>
          </w:p>
        </w:tc>
      </w:tr>
      <w:tr>
        <w:tc>
          <w:tcPr/>
          <w:p>
            <w:pPr>
              <w:pStyle w:val="Compact"/>
              <w:jc w:val="left"/>
            </w:pPr>
            <w:r>
              <w:t xml:space="preserve">National health ID infrastructure</w:t>
            </w:r>
          </w:p>
        </w:tc>
        <w:tc>
          <w:tcPr/>
          <w:p>
            <w:pPr>
              <w:pStyle w:val="Compact"/>
              <w:jc w:val="center"/>
            </w:pPr>
            <w:r>
              <w:t xml:space="preserve">✓</w:t>
            </w:r>
          </w:p>
        </w:tc>
      </w:tr>
      <w:tr>
        <w:tc>
          <w:tcPr/>
          <w:p>
            <w:pPr>
              <w:pStyle w:val="Compact"/>
              <w:jc w:val="left"/>
            </w:pPr>
            <w:r>
              <w:t xml:space="preserve">Connected to national insurance platform</w:t>
            </w:r>
          </w:p>
        </w:tc>
        <w:tc>
          <w:tcPr/>
          <w:p>
            <w:pPr>
              <w:pStyle w:val="Compact"/>
              <w:jc w:val="center"/>
            </w:pPr>
            <w:r>
              <w:t xml:space="preserve">✓</w:t>
            </w:r>
          </w:p>
        </w:tc>
      </w:tr>
      <w:tr>
        <w:tc>
          <w:tcPr/>
          <w:p>
            <w:pPr>
              <w:pStyle w:val="Compact"/>
              <w:jc w:val="left"/>
            </w:pPr>
            <w:r>
              <w:t xml:space="preserve">Cross-sector dependencies (links to multiple sectors)</w:t>
            </w:r>
          </w:p>
        </w:tc>
        <w:tc>
          <w:tcPr/>
          <w:p>
            <w:pPr>
              <w:pStyle w:val="Compact"/>
              <w:jc w:val="center"/>
            </w:pPr>
            <w:r>
              <w:t xml:space="preserve">✓</w:t>
            </w:r>
          </w:p>
        </w:tc>
      </w:tr>
    </w:tbl>
    <w:bookmarkEnd w:id="478"/>
    <w:bookmarkEnd w:id="479"/>
    <w:bookmarkStart w:id="480" w:name="classification-result-6"/>
    <w:p>
      <w:pPr>
        <w:pStyle w:val="Heading3"/>
      </w:pPr>
      <w:r>
        <w:t xml:space="preserve">Classification Result</w:t>
      </w:r>
    </w:p>
    <w:tbl>
      <w:tblPr>
        <w:tblStyle w:val="Table"/>
        <w:tblW w:type="pct" w:w="5000"/>
        <w:tblLayout w:type="fixed"/>
        <w:tblLook w:firstRow="1" w:lastRow="0" w:firstColumn="0" w:lastColumn="0" w:noHBand="0" w:noVBand="0" w:val="0020"/>
      </w:tblPr>
      <w:tblGrid>
        <w:gridCol w:w="3065"/>
        <w:gridCol w:w="2043"/>
        <w:gridCol w:w="2810"/>
      </w:tblGrid>
      <w:tr>
        <w:trPr>
          <w:tblHeader w:val="on"/>
        </w:trPr>
        <w:tc>
          <w:tcPr/>
          <w:p>
            <w:pPr>
              <w:pStyle w:val="Compact"/>
              <w:jc w:val="left"/>
            </w:pPr>
            <w:r>
              <w:t xml:space="preserve">Assessment</w:t>
            </w:r>
          </w:p>
        </w:tc>
        <w:tc>
          <w:tcPr/>
          <w:p>
            <w:pPr>
              <w:pStyle w:val="Compact"/>
              <w:jc w:val="left"/>
            </w:pPr>
            <w:r>
              <w:t xml:space="preserve">Result</w:t>
            </w:r>
          </w:p>
        </w:tc>
        <w:tc>
          <w:tcPr/>
          <w:p>
            <w:pPr>
              <w:pStyle w:val="Compact"/>
              <w:jc w:val="left"/>
            </w:pPr>
            <w:r>
              <w:t xml:space="preserve">Rationale</w:t>
            </w:r>
          </w:p>
        </w:tc>
      </w:tr>
      <w:tr>
        <w:tc>
          <w:tcPr/>
          <w:p>
            <w:pPr>
              <w:pStyle w:val="Compact"/>
              <w:jc w:val="left"/>
            </w:pPr>
            <w:r>
              <w:rPr>
                <w:b/>
                <w:bCs/>
              </w:rPr>
              <w:t xml:space="preserve">Automatic Tier 1</w:t>
            </w:r>
          </w:p>
        </w:tc>
        <w:tc>
          <w:tcPr/>
          <w:p>
            <w:pPr>
              <w:pStyle w:val="Compact"/>
              <w:jc w:val="left"/>
            </w:pPr>
            <w:r>
              <w:t xml:space="preserve">Yes</w:t>
            </w:r>
          </w:p>
        </w:tc>
        <w:tc>
          <w:tcPr/>
          <w:p>
            <w:pPr>
              <w:pStyle w:val="Compact"/>
              <w:jc w:val="left"/>
            </w:pPr>
            <w:r>
              <w:t xml:space="preserve">Meets multiple</w:t>
            </w:r>
            <w:r>
              <w:t xml:space="preserve"> </w:t>
            </w:r>
            <w:r>
              <w:t xml:space="preserve">“regardless of size”</w:t>
            </w:r>
            <w:r>
              <w:t xml:space="preserve"> </w:t>
            </w:r>
            <w:r>
              <w:t xml:space="preserve">triggers</w:t>
            </w:r>
          </w:p>
        </w:tc>
      </w:tr>
      <w:tr>
        <w:tc>
          <w:tcPr/>
          <w:p>
            <w:pPr>
              <w:pStyle w:val="Compact"/>
              <w:jc w:val="left"/>
            </w:pPr>
            <w:r>
              <w:rPr>
                <w:b/>
                <w:bCs/>
              </w:rPr>
              <w:t xml:space="preserve">Comparable to</w:t>
            </w:r>
          </w:p>
        </w:tc>
        <w:tc>
          <w:tcPr/>
          <w:p>
            <w:pPr>
              <w:pStyle w:val="Compact"/>
              <w:jc w:val="left"/>
            </w:pPr>
            <w:r>
              <w:t xml:space="preserve">National EHR/HIE systems globally</w:t>
            </w:r>
          </w:p>
        </w:tc>
        <w:tc>
          <w:tcPr/>
          <w:p>
            <w:pPr>
              <w:pStyle w:val="Compact"/>
              <w:jc w:val="left"/>
            </w:pPr>
            <w:r>
              <w:t xml:space="preserve">Similar to Singapore NEHR, UK NHS Spine</w:t>
            </w:r>
          </w:p>
        </w:tc>
      </w:tr>
    </w:tbl>
    <w:bookmarkEnd w:id="480"/>
    <w:bookmarkStart w:id="481" w:name="X9f254a65ffd8189d8028fadc5e4237aa8fc81c8"/>
    <w:p>
      <w:pPr>
        <w:pStyle w:val="Heading3"/>
      </w:pPr>
      <w:r>
        <w:t xml:space="preserve">Applicable Obligations (Tier 1 - National System)</w:t>
      </w:r>
    </w:p>
    <w:p>
      <w:pPr>
        <w:pStyle w:val="Compact"/>
        <w:numPr>
          <w:ilvl w:val="0"/>
          <w:numId w:val="1328"/>
        </w:numPr>
      </w:pPr>
      <w:r>
        <w:rPr>
          <w:b/>
          <w:bCs/>
        </w:rPr>
        <w:t xml:space="preserve">Governance</w:t>
      </w:r>
      <w:r>
        <w:t xml:space="preserve">: Dedicated CISO + Security Operations Centre</w:t>
      </w:r>
    </w:p>
    <w:p>
      <w:pPr>
        <w:pStyle w:val="Compact"/>
        <w:numPr>
          <w:ilvl w:val="0"/>
          <w:numId w:val="1328"/>
        </w:numPr>
      </w:pPr>
      <w:r>
        <w:rPr>
          <w:b/>
          <w:bCs/>
        </w:rPr>
        <w:t xml:space="preserve">Audit</w:t>
      </w:r>
      <w:r>
        <w:t xml:space="preserve">: Continuous security monitoring; annual third-party audit; penetration testing</w:t>
      </w:r>
    </w:p>
    <w:p>
      <w:pPr>
        <w:pStyle w:val="Compact"/>
        <w:numPr>
          <w:ilvl w:val="0"/>
          <w:numId w:val="1328"/>
        </w:numPr>
      </w:pPr>
      <w:r>
        <w:rPr>
          <w:b/>
          <w:bCs/>
        </w:rPr>
        <w:t xml:space="preserve">Incident reporting</w:t>
      </w:r>
      <w:r>
        <w:t xml:space="preserve">: 12-hour early warning; 48-hour detailed notification</w:t>
      </w:r>
    </w:p>
    <w:p>
      <w:pPr>
        <w:pStyle w:val="Compact"/>
        <w:numPr>
          <w:ilvl w:val="0"/>
          <w:numId w:val="1328"/>
        </w:numPr>
      </w:pPr>
      <w:r>
        <w:rPr>
          <w:b/>
          <w:bCs/>
        </w:rPr>
        <w:t xml:space="preserve">Business continuity</w:t>
      </w:r>
      <w:r>
        <w:t xml:space="preserve">: Real-time disaster recovery; multi-region failover</w:t>
      </w:r>
    </w:p>
    <w:p>
      <w:pPr>
        <w:pStyle w:val="Compact"/>
        <w:numPr>
          <w:ilvl w:val="0"/>
          <w:numId w:val="1328"/>
        </w:numPr>
      </w:pPr>
      <w:r>
        <w:rPr>
          <w:b/>
          <w:bCs/>
        </w:rPr>
        <w:t xml:space="preserve">Supply chain</w:t>
      </w:r>
      <w:r>
        <w:t xml:space="preserve">: Rigorous vendor security assessment; cloud security requirements</w:t>
      </w:r>
    </w:p>
    <w:p>
      <w:pPr>
        <w:pStyle w:val="Compact"/>
        <w:numPr>
          <w:ilvl w:val="0"/>
          <w:numId w:val="1328"/>
        </w:numPr>
      </w:pPr>
      <w:r>
        <w:rPr>
          <w:b/>
          <w:bCs/>
        </w:rPr>
        <w:t xml:space="preserve">Regulatory</w:t>
      </w:r>
      <w:r>
        <w:t xml:space="preserve">: Direct reporting to national cyber authority</w:t>
      </w:r>
    </w:p>
    <w:p>
      <w:pPr>
        <w:pStyle w:val="Compact"/>
        <w:numPr>
          <w:ilvl w:val="0"/>
          <w:numId w:val="1328"/>
        </w:numPr>
      </w:pPr>
      <w:r>
        <w:rPr>
          <w:b/>
          <w:bCs/>
        </w:rPr>
        <w:t xml:space="preserve">Exercises</w:t>
      </w:r>
      <w:r>
        <w:t xml:space="preserve">: Mandatory participation in national/sectoral cyber drills</w:t>
      </w:r>
    </w:p>
    <w:p>
      <w:r>
        <w:pict>
          <v:rect style="width:0;height:1.5pt" o:hralign="center" o:hrstd="t" o:hr="t"/>
        </w:pict>
      </w:r>
    </w:p>
    <w:bookmarkEnd w:id="481"/>
    <w:bookmarkEnd w:id="482"/>
    <w:bookmarkStart w:id="489" w:name="Xb1d8e588502bce83b57be39ee9b635cfa4affb2"/>
    <w:p>
      <w:pPr>
        <w:pStyle w:val="Heading2"/>
      </w:pPr>
      <w:r>
        <w:t xml:space="preserve">Case Study 2: Personal Health Record Platform -</w:t>
      </w:r>
      <w:r>
        <w:t xml:space="preserve"> </w:t>
      </w:r>
      <w:r>
        <w:t xml:space="preserve">“MyHealthVault”</w:t>
      </w:r>
    </w:p>
    <w:bookmarkStart w:id="483" w:name="entity-profile-7"/>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MyHealthVault</w:t>
            </w:r>
          </w:p>
        </w:tc>
      </w:tr>
      <w:tr>
        <w:tc>
          <w:tcPr/>
          <w:p>
            <w:pPr>
              <w:pStyle w:val="Compact"/>
              <w:jc w:val="left"/>
            </w:pPr>
            <w:r>
              <w:rPr>
                <w:b/>
                <w:bCs/>
              </w:rPr>
              <w:t xml:space="preserve">Type</w:t>
            </w:r>
          </w:p>
        </w:tc>
        <w:tc>
          <w:tcPr/>
          <w:p>
            <w:pPr>
              <w:pStyle w:val="Compact"/>
              <w:jc w:val="left"/>
            </w:pPr>
            <w:r>
              <w:t xml:space="preserve">Private consumer PHR/health data aggregation platform</w:t>
            </w:r>
          </w:p>
        </w:tc>
      </w:tr>
      <w:tr>
        <w:tc>
          <w:tcPr/>
          <w:p>
            <w:pPr>
              <w:pStyle w:val="Compact"/>
              <w:jc w:val="left"/>
            </w:pPr>
            <w:r>
              <w:rPr>
                <w:b/>
                <w:bCs/>
              </w:rPr>
              <w:t xml:space="preserve">Users</w:t>
            </w:r>
          </w:p>
        </w:tc>
        <w:tc>
          <w:tcPr/>
          <w:p>
            <w:pPr>
              <w:pStyle w:val="Compact"/>
              <w:jc w:val="left"/>
            </w:pPr>
            <w:r>
              <w:t xml:space="preserve">25 million registered users</w:t>
            </w:r>
          </w:p>
        </w:tc>
      </w:tr>
      <w:tr>
        <w:tc>
          <w:tcPr/>
          <w:p>
            <w:pPr>
              <w:pStyle w:val="Compact"/>
              <w:jc w:val="left"/>
            </w:pPr>
            <w:r>
              <w:rPr>
                <w:b/>
                <w:bCs/>
              </w:rPr>
              <w:t xml:space="preserve">Data aggregated</w:t>
            </w:r>
          </w:p>
        </w:tc>
        <w:tc>
          <w:tcPr/>
          <w:p>
            <w:pPr>
              <w:pStyle w:val="Compact"/>
              <w:jc w:val="left"/>
            </w:pPr>
            <w:r>
              <w:t xml:space="preserve">Lab reports, prescriptions, hospital records, wearable data</w:t>
            </w:r>
          </w:p>
        </w:tc>
      </w:tr>
      <w:tr>
        <w:tc>
          <w:tcPr/>
          <w:p>
            <w:pPr>
              <w:pStyle w:val="Compact"/>
              <w:jc w:val="left"/>
            </w:pPr>
            <w:r>
              <w:rPr>
                <w:b/>
                <w:bCs/>
              </w:rPr>
              <w:t xml:space="preserve">Integrations</w:t>
            </w:r>
          </w:p>
        </w:tc>
        <w:tc>
          <w:tcPr/>
          <w:p>
            <w:pPr>
              <w:pStyle w:val="Compact"/>
              <w:jc w:val="left"/>
            </w:pPr>
            <w:r>
              <w:t xml:space="preserve">Connected to 5,000+ labs, 2,000+ hospitals, 15 insurance companies</w:t>
            </w:r>
          </w:p>
        </w:tc>
      </w:tr>
      <w:tr>
        <w:tc>
          <w:tcPr/>
          <w:p>
            <w:pPr>
              <w:pStyle w:val="Compact"/>
              <w:jc w:val="left"/>
            </w:pPr>
            <w:r>
              <w:rPr>
                <w:b/>
                <w:bCs/>
              </w:rPr>
              <w:t xml:space="preserve">Employees</w:t>
            </w:r>
          </w:p>
        </w:tc>
        <w:tc>
          <w:tcPr/>
          <w:p>
            <w:pPr>
              <w:pStyle w:val="Compact"/>
              <w:jc w:val="left"/>
            </w:pPr>
            <w:r>
              <w:t xml:space="preserve">350</w:t>
            </w:r>
          </w:p>
        </w:tc>
      </w:tr>
      <w:tr>
        <w:tc>
          <w:tcPr/>
          <w:p>
            <w:pPr>
              <w:pStyle w:val="Compact"/>
              <w:jc w:val="left"/>
            </w:pPr>
            <w:r>
              <w:rPr>
                <w:b/>
                <w:bCs/>
              </w:rPr>
              <w:t xml:space="preserve">Revenue model</w:t>
            </w:r>
          </w:p>
        </w:tc>
        <w:tc>
          <w:tcPr/>
          <w:p>
            <w:pPr>
              <w:pStyle w:val="Compact"/>
              <w:jc w:val="left"/>
            </w:pPr>
            <w:r>
              <w:t xml:space="preserve">Freemium + B2B data analytics (anonymized)</w:t>
            </w:r>
          </w:p>
        </w:tc>
      </w:tr>
      <w:tr>
        <w:tc>
          <w:tcPr/>
          <w:p>
            <w:pPr>
              <w:pStyle w:val="Compact"/>
              <w:jc w:val="left"/>
            </w:pPr>
            <w:r>
              <w:rPr>
                <w:b/>
                <w:bCs/>
              </w:rPr>
              <w:t xml:space="preserve">Infrastructure</w:t>
            </w:r>
          </w:p>
        </w:tc>
        <w:tc>
          <w:tcPr/>
          <w:p>
            <w:pPr>
              <w:pStyle w:val="Compact"/>
              <w:jc w:val="left"/>
            </w:pPr>
            <w:r>
              <w:t xml:space="preserve">Multi-cloud (public cloud providers)</w:t>
            </w:r>
          </w:p>
        </w:tc>
      </w:tr>
      <w:tr>
        <w:tc>
          <w:tcPr/>
          <w:p>
            <w:pPr>
              <w:pStyle w:val="Compact"/>
              <w:jc w:val="left"/>
            </w:pPr>
            <w:r>
              <w:rPr>
                <w:b/>
                <w:bCs/>
              </w:rPr>
              <w:t xml:space="preserve">Special consideration</w:t>
            </w:r>
          </w:p>
        </w:tc>
        <w:tc>
          <w:tcPr/>
          <w:p>
            <w:pPr>
              <w:pStyle w:val="Compact"/>
              <w:jc w:val="left"/>
            </w:pPr>
            <w:r>
              <w:t xml:space="preserve">Aggregates data from multiple sources; consent-based sharing</w:t>
            </w:r>
          </w:p>
        </w:tc>
      </w:tr>
    </w:tbl>
    <w:bookmarkEnd w:id="483"/>
    <w:bookmarkStart w:id="486" w:name="cii-classification-assessment-7"/>
    <w:p>
      <w:pPr>
        <w:pStyle w:val="Heading3"/>
      </w:pPr>
      <w:r>
        <w:t xml:space="preserve">CII Classification Assessment</w:t>
      </w:r>
    </w:p>
    <w:bookmarkStart w:id="484" w:name="key-risk-factors"/>
    <w:p>
      <w:pPr>
        <w:pStyle w:val="Heading4"/>
      </w:pPr>
      <w:r>
        <w:t xml:space="preserve">Key Risk Factors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Data volume</w:t>
            </w:r>
          </w:p>
        </w:tc>
        <w:tc>
          <w:tcPr/>
          <w:p>
            <w:pPr>
              <w:pStyle w:val="Compact"/>
              <w:jc w:val="left"/>
            </w:pPr>
            <w:r>
              <w:t xml:space="preserve">25M users × multiple records = billions of health data points</w:t>
            </w:r>
          </w:p>
        </w:tc>
      </w:tr>
      <w:tr>
        <w:tc>
          <w:tcPr/>
          <w:p>
            <w:pPr>
              <w:pStyle w:val="Compact"/>
              <w:jc w:val="left"/>
            </w:pPr>
            <w:r>
              <w:rPr>
                <w:b/>
                <w:bCs/>
              </w:rPr>
              <w:t xml:space="preserve">Data sensitivity</w:t>
            </w:r>
          </w:p>
        </w:tc>
        <w:tc>
          <w:tcPr/>
          <w:p>
            <w:pPr>
              <w:pStyle w:val="Compact"/>
              <w:jc w:val="left"/>
            </w:pPr>
            <w:r>
              <w:t xml:space="preserve">Complete longitudinal health records; genetic data for some users</w:t>
            </w:r>
          </w:p>
        </w:tc>
      </w:tr>
      <w:tr>
        <w:tc>
          <w:tcPr/>
          <w:p>
            <w:pPr>
              <w:pStyle w:val="Compact"/>
              <w:jc w:val="left"/>
            </w:pPr>
            <w:r>
              <w:rPr>
                <w:b/>
                <w:bCs/>
              </w:rPr>
              <w:t xml:space="preserve">Aggregation risk</w:t>
            </w:r>
          </w:p>
        </w:tc>
        <w:tc>
          <w:tcPr/>
          <w:p>
            <w:pPr>
              <w:pStyle w:val="Compact"/>
              <w:jc w:val="left"/>
            </w:pPr>
            <w:r>
              <w:t xml:space="preserve">Single breach exposes data from multiple source institutions</w:t>
            </w:r>
          </w:p>
        </w:tc>
      </w:tr>
      <w:tr>
        <w:tc>
          <w:tcPr/>
          <w:p>
            <w:pPr>
              <w:pStyle w:val="Compact"/>
              <w:jc w:val="left"/>
            </w:pPr>
            <w:r>
              <w:rPr>
                <w:b/>
                <w:bCs/>
              </w:rPr>
              <w:t xml:space="preserve">Third-party dependencies</w:t>
            </w:r>
          </w:p>
        </w:tc>
        <w:tc>
          <w:tcPr/>
          <w:p>
            <w:pPr>
              <w:pStyle w:val="Compact"/>
              <w:jc w:val="left"/>
            </w:pPr>
            <w:r>
              <w:t xml:space="preserve">Uses third-party APIs, cloud infrastructure, AI/ML partners</w:t>
            </w:r>
          </w:p>
        </w:tc>
      </w:tr>
      <w:tr>
        <w:tc>
          <w:tcPr/>
          <w:p>
            <w:pPr>
              <w:pStyle w:val="Compact"/>
              <w:jc w:val="left"/>
            </w:pPr>
            <w:r>
              <w:rPr>
                <w:b/>
                <w:bCs/>
              </w:rPr>
              <w:t xml:space="preserve">Cross-border considerations</w:t>
            </w:r>
          </w:p>
        </w:tc>
        <w:tc>
          <w:tcPr/>
          <w:p>
            <w:pPr>
              <w:pStyle w:val="Compact"/>
              <w:jc w:val="left"/>
            </w:pPr>
            <w:r>
              <w:t xml:space="preserve">Some data processing in foreign jurisdictions</w:t>
            </w:r>
          </w:p>
        </w:tc>
      </w:tr>
    </w:tbl>
    <w:bookmarkEnd w:id="484"/>
    <w:bookmarkStart w:id="485" w:name="scoring-developing-country-framework-3"/>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25M users (not case-based, but data scale)</w:t>
            </w:r>
          </w:p>
        </w:tc>
        <w:tc>
          <w:tcPr/>
          <w:p>
            <w:pPr>
              <w:pStyle w:val="Compact"/>
              <w:jc w:val="center"/>
            </w:pPr>
            <w:r>
              <w:t xml:space="preserve">25</w:t>
            </w:r>
          </w:p>
        </w:tc>
      </w:tr>
      <w:tr>
        <w:tc>
          <w:tcPr/>
          <w:p>
            <w:pPr>
              <w:pStyle w:val="Compact"/>
              <w:jc w:val="left"/>
            </w:pPr>
            <w:r>
              <w:rPr>
                <w:b/>
                <w:bCs/>
              </w:rPr>
              <w:t xml:space="preserve">B. Data Aggregation Risk</w:t>
            </w:r>
          </w:p>
        </w:tc>
        <w:tc>
          <w:tcPr/>
          <w:p>
            <w:pPr>
              <w:pStyle w:val="Compact"/>
              <w:jc w:val="left"/>
            </w:pPr>
            <w:r>
              <w:t xml:space="preserve">Centralized aggregation of distributed health data</w:t>
            </w:r>
          </w:p>
        </w:tc>
        <w:tc>
          <w:tcPr/>
          <w:p>
            <w:pPr>
              <w:pStyle w:val="Compact"/>
              <w:jc w:val="center"/>
            </w:pPr>
            <w:r>
              <w:t xml:space="preserve">20</w:t>
            </w:r>
          </w:p>
        </w:tc>
      </w:tr>
      <w:tr>
        <w:tc>
          <w:tcPr/>
          <w:p>
            <w:pPr>
              <w:pStyle w:val="Compact"/>
              <w:jc w:val="left"/>
            </w:pPr>
            <w:r>
              <w:rPr>
                <w:b/>
                <w:bCs/>
              </w:rPr>
              <w:t xml:space="preserve">C. Health System Integration</w:t>
            </w:r>
          </w:p>
        </w:tc>
        <w:tc>
          <w:tcPr/>
          <w:p>
            <w:pPr>
              <w:pStyle w:val="Compact"/>
              <w:jc w:val="left"/>
            </w:pPr>
            <w:r>
              <w:t xml:space="preserve">Connected to hospitals, labs, insurance</w:t>
            </w:r>
          </w:p>
        </w:tc>
        <w:tc>
          <w:tcPr/>
          <w:p>
            <w:pPr>
              <w:pStyle w:val="Compact"/>
              <w:jc w:val="center"/>
            </w:pPr>
            <w:r>
              <w:t xml:space="preserve">15</w:t>
            </w:r>
          </w:p>
        </w:tc>
      </w:tr>
      <w:tr>
        <w:tc>
          <w:tcPr/>
          <w:p>
            <w:pPr>
              <w:pStyle w:val="Compact"/>
              <w:jc w:val="left"/>
            </w:pPr>
            <w:r>
              <w:rPr>
                <w:b/>
                <w:bCs/>
              </w:rPr>
              <w:t xml:space="preserve">D. Consumer Dependency</w:t>
            </w:r>
          </w:p>
        </w:tc>
        <w:tc>
          <w:tcPr/>
          <w:p>
            <w:pPr>
              <w:pStyle w:val="Compact"/>
              <w:jc w:val="left"/>
            </w:pPr>
            <w:r>
              <w:t xml:space="preserve">Users rely on platform for health record access</w:t>
            </w:r>
          </w:p>
        </w:tc>
        <w:tc>
          <w:tcPr/>
          <w:p>
            <w:pPr>
              <w:pStyle w:val="Compact"/>
              <w:jc w:val="center"/>
            </w:pPr>
            <w:r>
              <w:t xml:space="preserve">10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70</w:t>
            </w:r>
          </w:p>
        </w:tc>
      </w:tr>
    </w:tbl>
    <w:bookmarkEnd w:id="485"/>
    <w:bookmarkEnd w:id="486"/>
    <w:bookmarkStart w:id="487" w:name="classification-result-7"/>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70</w:t>
            </w:r>
          </w:p>
        </w:tc>
        <w:tc>
          <w:tcPr/>
          <w:p>
            <w:pPr>
              <w:pStyle w:val="Compact"/>
              <w:jc w:val="left"/>
            </w:pPr>
            <w:r>
              <w:rPr>
                <w:b/>
                <w:bCs/>
              </w:rPr>
              <w:t xml:space="preserve">Tier 1 (Essential)</w:t>
            </w:r>
          </w:p>
        </w:tc>
        <w:tc>
          <w:tcPr/>
          <w:p>
            <w:pPr>
              <w:pStyle w:val="Compact"/>
              <w:jc w:val="left"/>
            </w:pPr>
            <w:r>
              <w:t xml:space="preserve">Scale of data aggregation; integration with health ecosystem</w:t>
            </w:r>
          </w:p>
        </w:tc>
      </w:tr>
    </w:tbl>
    <w:p>
      <w:pPr>
        <w:pStyle w:val="BlockText"/>
      </w:pPr>
      <w:r>
        <w:t xml:space="preserve">[!WARNING]</w:t>
      </w:r>
      <w:r>
        <w:t xml:space="preserve"> </w:t>
      </w:r>
      <w:r>
        <w:t xml:space="preserve">PHR platforms present</w:t>
      </w:r>
      <w:r>
        <w:t xml:space="preserve"> </w:t>
      </w:r>
      <w:r>
        <w:rPr>
          <w:b/>
          <w:bCs/>
        </w:rPr>
        <w:t xml:space="preserve">unique aggregation risks</w:t>
      </w:r>
      <w:r>
        <w:t xml:space="preserve"> </w:t>
      </w:r>
      <w:r>
        <w:t xml:space="preserve">not captured by traditional facility-based metrics. A breach affects data originally held by thousands of source institutions. This case demonstrates why</w:t>
      </w:r>
      <w:r>
        <w:t xml:space="preserve"> </w:t>
      </w:r>
      <w:r>
        <w:rPr>
          <w:b/>
          <w:bCs/>
        </w:rPr>
        <w:t xml:space="preserve">data volume and aggregation</w:t>
      </w:r>
      <w:r>
        <w:t xml:space="preserve"> </w:t>
      </w:r>
      <w:r>
        <w:t xml:space="preserve">should be explicit scoring factors.</w:t>
      </w:r>
    </w:p>
    <w:bookmarkEnd w:id="487"/>
    <w:bookmarkStart w:id="488" w:name="applicable-obligations-4"/>
    <w:p>
      <w:pPr>
        <w:pStyle w:val="Heading3"/>
      </w:pPr>
      <w:r>
        <w:t xml:space="preserve">Applicable Obligations</w:t>
      </w:r>
    </w:p>
    <w:p>
      <w:pPr>
        <w:pStyle w:val="Compact"/>
        <w:numPr>
          <w:ilvl w:val="0"/>
          <w:numId w:val="1329"/>
        </w:numPr>
      </w:pPr>
      <w:r>
        <w:t xml:space="preserve">Dedicated CISO and DPO (Data Protection Officer)</w:t>
      </w:r>
    </w:p>
    <w:p>
      <w:pPr>
        <w:pStyle w:val="Compact"/>
        <w:numPr>
          <w:ilvl w:val="0"/>
          <w:numId w:val="1329"/>
        </w:numPr>
      </w:pPr>
      <w:r>
        <w:t xml:space="preserve">Annual third-party security audit + penetration testing</w:t>
      </w:r>
    </w:p>
    <w:p>
      <w:pPr>
        <w:pStyle w:val="Compact"/>
        <w:numPr>
          <w:ilvl w:val="0"/>
          <w:numId w:val="1329"/>
        </w:numPr>
      </w:pPr>
      <w:r>
        <w:t xml:space="preserve">24-hour incident reporting for data breaches</w:t>
      </w:r>
    </w:p>
    <w:p>
      <w:pPr>
        <w:pStyle w:val="Compact"/>
        <w:numPr>
          <w:ilvl w:val="0"/>
          <w:numId w:val="1329"/>
        </w:numPr>
      </w:pPr>
      <w:r>
        <w:t xml:space="preserve">Consent management system audit</w:t>
      </w:r>
    </w:p>
    <w:p>
      <w:pPr>
        <w:pStyle w:val="Compact"/>
        <w:numPr>
          <w:ilvl w:val="0"/>
          <w:numId w:val="1329"/>
        </w:numPr>
      </w:pPr>
      <w:r>
        <w:t xml:space="preserve">Cloud vendor security assessment</w:t>
      </w:r>
    </w:p>
    <w:p>
      <w:pPr>
        <w:pStyle w:val="Compact"/>
        <w:numPr>
          <w:ilvl w:val="0"/>
          <w:numId w:val="1329"/>
        </w:numPr>
      </w:pPr>
      <w:r>
        <w:t xml:space="preserve">Cross-border data transfer compliance</w:t>
      </w:r>
    </w:p>
    <w:p>
      <w:pPr>
        <w:pStyle w:val="Compact"/>
        <w:numPr>
          <w:ilvl w:val="0"/>
          <w:numId w:val="1329"/>
        </w:numPr>
      </w:pPr>
      <w:r>
        <w:t xml:space="preserve">User notification protocols for breaches</w:t>
      </w:r>
    </w:p>
    <w:p>
      <w:r>
        <w:pict>
          <v:rect style="width:0;height:1.5pt" o:hralign="center" o:hrstd="t" o:hr="t"/>
        </w:pict>
      </w:r>
    </w:p>
    <w:bookmarkEnd w:id="488"/>
    <w:bookmarkEnd w:id="489"/>
    <w:bookmarkStart w:id="496" w:name="X1544b65c97f534ef7199da9f6cd378132e917c3"/>
    <w:p>
      <w:pPr>
        <w:pStyle w:val="Heading2"/>
      </w:pPr>
      <w:r>
        <w:t xml:space="preserve">Case Study 3: State HMIS Platform -</w:t>
      </w:r>
      <w:r>
        <w:t xml:space="preserve"> </w:t>
      </w:r>
      <w:r>
        <w:t xml:space="preserve">“SwasthyaMitra”</w:t>
      </w:r>
    </w:p>
    <w:bookmarkStart w:id="490" w:name="entity-profile-8"/>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SwasthyaMitra State HMIS Platform</w:t>
            </w:r>
          </w:p>
        </w:tc>
      </w:tr>
      <w:tr>
        <w:tc>
          <w:tcPr/>
          <w:p>
            <w:pPr>
              <w:pStyle w:val="Compact"/>
              <w:jc w:val="left"/>
            </w:pPr>
            <w:r>
              <w:rPr>
                <w:b/>
                <w:bCs/>
              </w:rPr>
              <w:t xml:space="preserve">Type</w:t>
            </w:r>
          </w:p>
        </w:tc>
        <w:tc>
          <w:tcPr/>
          <w:p>
            <w:pPr>
              <w:pStyle w:val="Compact"/>
              <w:jc w:val="left"/>
            </w:pPr>
            <w:r>
              <w:t xml:space="preserve">Hospital Management Information System serving state government hospitals</w:t>
            </w:r>
          </w:p>
        </w:tc>
      </w:tr>
      <w:tr>
        <w:tc>
          <w:tcPr/>
          <w:p>
            <w:pPr>
              <w:pStyle w:val="Compact"/>
              <w:jc w:val="left"/>
            </w:pPr>
            <w:r>
              <w:rPr>
                <w:b/>
                <w:bCs/>
              </w:rPr>
              <w:t xml:space="preserve">Operator</w:t>
            </w:r>
          </w:p>
        </w:tc>
        <w:tc>
          <w:tcPr/>
          <w:p>
            <w:pPr>
              <w:pStyle w:val="Compact"/>
              <w:jc w:val="left"/>
            </w:pPr>
            <w:r>
              <w:t xml:space="preserve">State Health Department (via NIC/state IT agency)</w:t>
            </w:r>
          </w:p>
        </w:tc>
      </w:tr>
      <w:tr>
        <w:tc>
          <w:tcPr/>
          <w:p>
            <w:pPr>
              <w:pStyle w:val="Compact"/>
              <w:jc w:val="left"/>
            </w:pPr>
            <w:r>
              <w:rPr>
                <w:b/>
                <w:bCs/>
              </w:rPr>
              <w:t xml:space="preserve">Coverage</w:t>
            </w:r>
          </w:p>
        </w:tc>
        <w:tc>
          <w:tcPr/>
          <w:p>
            <w:pPr>
              <w:pStyle w:val="Compact"/>
              <w:jc w:val="left"/>
            </w:pPr>
            <w:r>
              <w:t xml:space="preserve">500+ district hospitals, sub-district hospitals, and CHCs across the state</w:t>
            </w:r>
          </w:p>
        </w:tc>
      </w:tr>
      <w:tr>
        <w:tc>
          <w:tcPr/>
          <w:p>
            <w:pPr>
              <w:pStyle w:val="Compact"/>
              <w:jc w:val="left"/>
            </w:pPr>
            <w:r>
              <w:rPr>
                <w:b/>
                <w:bCs/>
              </w:rPr>
              <w:t xml:space="preserve">Users</w:t>
            </w:r>
          </w:p>
        </w:tc>
        <w:tc>
          <w:tcPr/>
          <w:p>
            <w:pPr>
              <w:pStyle w:val="Compact"/>
              <w:jc w:val="left"/>
            </w:pPr>
            <w:r>
              <w:t xml:space="preserve">45,000 healthcare workers; 800 facility administrators</w:t>
            </w:r>
          </w:p>
        </w:tc>
      </w:tr>
      <w:tr>
        <w:tc>
          <w:tcPr/>
          <w:p>
            <w:pPr>
              <w:pStyle w:val="Compact"/>
              <w:jc w:val="left"/>
            </w:pPr>
            <w:r>
              <w:rPr>
                <w:b/>
                <w:bCs/>
              </w:rPr>
              <w:t xml:space="preserve">Functions</w:t>
            </w:r>
          </w:p>
        </w:tc>
        <w:tc>
          <w:tcPr/>
          <w:p>
            <w:pPr>
              <w:pStyle w:val="Compact"/>
              <w:jc w:val="left"/>
            </w:pPr>
            <w:r>
              <w:t xml:space="preserve">Patient registration, OPD/IPD management, lab, pharmacy, billing, HMIS reporting</w:t>
            </w:r>
          </w:p>
        </w:tc>
      </w:tr>
      <w:tr>
        <w:tc>
          <w:tcPr/>
          <w:p>
            <w:pPr>
              <w:pStyle w:val="Compact"/>
              <w:jc w:val="left"/>
            </w:pPr>
            <w:r>
              <w:rPr>
                <w:b/>
                <w:bCs/>
              </w:rPr>
              <w:t xml:space="preserve">Data volume</w:t>
            </w:r>
          </w:p>
        </w:tc>
        <w:tc>
          <w:tcPr/>
          <w:p>
            <w:pPr>
              <w:pStyle w:val="Compact"/>
              <w:jc w:val="left"/>
            </w:pPr>
            <w:r>
              <w:t xml:space="preserve">15 million patient records; 50 million annual transactions</w:t>
            </w:r>
          </w:p>
        </w:tc>
      </w:tr>
      <w:tr>
        <w:tc>
          <w:tcPr/>
          <w:p>
            <w:pPr>
              <w:pStyle w:val="Compact"/>
              <w:jc w:val="left"/>
            </w:pPr>
            <w:r>
              <w:rPr>
                <w:b/>
                <w:bCs/>
              </w:rPr>
              <w:t xml:space="preserve">Infrastructure</w:t>
            </w:r>
          </w:p>
        </w:tc>
        <w:tc>
          <w:tcPr/>
          <w:p>
            <w:pPr>
              <w:pStyle w:val="Compact"/>
              <w:jc w:val="left"/>
            </w:pPr>
            <w:r>
              <w:t xml:space="preserve">State Data Center; hybrid cloud backup</w:t>
            </w:r>
          </w:p>
        </w:tc>
      </w:tr>
      <w:tr>
        <w:tc>
          <w:tcPr/>
          <w:p>
            <w:pPr>
              <w:pStyle w:val="Compact"/>
              <w:jc w:val="left"/>
            </w:pPr>
            <w:r>
              <w:rPr>
                <w:b/>
                <w:bCs/>
              </w:rPr>
              <w:t xml:space="preserve">Integrations</w:t>
            </w:r>
          </w:p>
        </w:tc>
        <w:tc>
          <w:tcPr/>
          <w:p>
            <w:pPr>
              <w:pStyle w:val="Compact"/>
              <w:jc w:val="left"/>
            </w:pPr>
            <w:r>
              <w:t xml:space="preserve">Connected to national ABDM, state insurance, disease surveillance, referral network</w:t>
            </w:r>
          </w:p>
        </w:tc>
      </w:tr>
      <w:tr>
        <w:tc>
          <w:tcPr/>
          <w:p>
            <w:pPr>
              <w:pStyle w:val="Compact"/>
              <w:jc w:val="left"/>
            </w:pPr>
            <w:r>
              <w:rPr>
                <w:b/>
                <w:bCs/>
              </w:rPr>
              <w:t xml:space="preserve">Special consideration</w:t>
            </w:r>
          </w:p>
        </w:tc>
        <w:tc>
          <w:tcPr/>
          <w:p>
            <w:pPr>
              <w:pStyle w:val="Compact"/>
              <w:jc w:val="left"/>
            </w:pPr>
            <w:r>
              <w:rPr>
                <w:b/>
                <w:bCs/>
              </w:rPr>
              <w:t xml:space="preserve">Single platform for entire state public health system</w:t>
            </w:r>
          </w:p>
        </w:tc>
      </w:tr>
    </w:tbl>
    <w:bookmarkEnd w:id="490"/>
    <w:bookmarkStart w:id="493" w:name="cii-classification-assessment-8"/>
    <w:p>
      <w:pPr>
        <w:pStyle w:val="Heading3"/>
      </w:pPr>
      <w:r>
        <w:t xml:space="preserve">CII Classification Assessment</w:t>
      </w:r>
    </w:p>
    <w:bookmarkStart w:id="491" w:name="key-risk-factors-1"/>
    <w:p>
      <w:pPr>
        <w:pStyle w:val="Heading4"/>
      </w:pPr>
      <w:r>
        <w:t xml:space="preserve">Key Risk Factors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Scale</w:t>
            </w:r>
          </w:p>
        </w:tc>
        <w:tc>
          <w:tcPr/>
          <w:p>
            <w:pPr>
              <w:pStyle w:val="Compact"/>
              <w:jc w:val="left"/>
            </w:pPr>
            <w:r>
              <w:t xml:space="preserve">500+ facilities; single point of failure for state healthcare</w:t>
            </w:r>
          </w:p>
        </w:tc>
      </w:tr>
      <w:tr>
        <w:tc>
          <w:tcPr/>
          <w:p>
            <w:pPr>
              <w:pStyle w:val="Compact"/>
              <w:jc w:val="left"/>
            </w:pPr>
            <w:r>
              <w:rPr>
                <w:b/>
                <w:bCs/>
              </w:rPr>
              <w:t xml:space="preserve">Dependency</w:t>
            </w:r>
          </w:p>
        </w:tc>
        <w:tc>
          <w:tcPr/>
          <w:p>
            <w:pPr>
              <w:pStyle w:val="Compact"/>
              <w:jc w:val="left"/>
            </w:pPr>
            <w:r>
              <w:t xml:space="preserve">All state government hospitals depend on this platform</w:t>
            </w:r>
          </w:p>
        </w:tc>
      </w:tr>
      <w:tr>
        <w:tc>
          <w:tcPr/>
          <w:p>
            <w:pPr>
              <w:pStyle w:val="Compact"/>
              <w:jc w:val="left"/>
            </w:pPr>
            <w:r>
              <w:rPr>
                <w:b/>
                <w:bCs/>
              </w:rPr>
              <w:t xml:space="preserve">Data concentration</w:t>
            </w:r>
          </w:p>
        </w:tc>
        <w:tc>
          <w:tcPr/>
          <w:p>
            <w:pPr>
              <w:pStyle w:val="Compact"/>
              <w:jc w:val="left"/>
            </w:pPr>
            <w:r>
              <w:t xml:space="preserve">15M patient records in single system</w:t>
            </w:r>
          </w:p>
        </w:tc>
      </w:tr>
      <w:tr>
        <w:tc>
          <w:tcPr/>
          <w:p>
            <w:pPr>
              <w:pStyle w:val="Compact"/>
              <w:jc w:val="left"/>
            </w:pPr>
            <w:r>
              <w:rPr>
                <w:b/>
                <w:bCs/>
              </w:rPr>
              <w:t xml:space="preserve">Operational impact</w:t>
            </w:r>
          </w:p>
        </w:tc>
        <w:tc>
          <w:tcPr/>
          <w:p>
            <w:pPr>
              <w:pStyle w:val="Compact"/>
              <w:jc w:val="left"/>
            </w:pPr>
            <w:r>
              <w:t xml:space="preserve">Outage affects patient care statewide</w:t>
            </w:r>
          </w:p>
        </w:tc>
      </w:tr>
      <w:tr>
        <w:tc>
          <w:tcPr/>
          <w:p>
            <w:pPr>
              <w:pStyle w:val="Compact"/>
              <w:jc w:val="left"/>
            </w:pPr>
            <w:r>
              <w:rPr>
                <w:b/>
                <w:bCs/>
              </w:rPr>
              <w:t xml:space="preserve">Integration hub</w:t>
            </w:r>
          </w:p>
        </w:tc>
        <w:tc>
          <w:tcPr/>
          <w:p>
            <w:pPr>
              <w:pStyle w:val="Compact"/>
              <w:jc w:val="left"/>
            </w:pPr>
            <w:r>
              <w:t xml:space="preserve">Gateway to national systems (ABDM, insurance)</w:t>
            </w:r>
          </w:p>
        </w:tc>
      </w:tr>
    </w:tbl>
    <w:bookmarkEnd w:id="491"/>
    <w:bookmarkStart w:id="492" w:name="scoring-developing-country-framework-4"/>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500+ facilities; 15M patient records</w:t>
            </w:r>
          </w:p>
        </w:tc>
        <w:tc>
          <w:tcPr/>
          <w:p>
            <w:pPr>
              <w:pStyle w:val="Compact"/>
              <w:jc w:val="center"/>
            </w:pPr>
            <w:r>
              <w:t xml:space="preserve">30</w:t>
            </w:r>
          </w:p>
        </w:tc>
      </w:tr>
      <w:tr>
        <w:tc>
          <w:tcPr/>
          <w:p>
            <w:pPr>
              <w:pStyle w:val="Compact"/>
              <w:jc w:val="left"/>
            </w:pPr>
            <w:r>
              <w:rPr>
                <w:b/>
                <w:bCs/>
              </w:rPr>
              <w:t xml:space="preserve">B. System Dependency</w:t>
            </w:r>
          </w:p>
        </w:tc>
        <w:tc>
          <w:tcPr/>
          <w:p>
            <w:pPr>
              <w:pStyle w:val="Compact"/>
              <w:jc w:val="left"/>
            </w:pPr>
            <w:r>
              <w:t xml:space="preserve">Single platform for all state public hospitals</w:t>
            </w:r>
          </w:p>
        </w:tc>
        <w:tc>
          <w:tcPr/>
          <w:p>
            <w:pPr>
              <w:pStyle w:val="Compact"/>
              <w:jc w:val="center"/>
            </w:pPr>
            <w:r>
              <w:t xml:space="preserve">25</w:t>
            </w:r>
          </w:p>
        </w:tc>
      </w:tr>
      <w:tr>
        <w:tc>
          <w:tcPr/>
          <w:p>
            <w:pPr>
              <w:pStyle w:val="Compact"/>
              <w:jc w:val="left"/>
            </w:pPr>
            <w:r>
              <w:rPr>
                <w:b/>
                <w:bCs/>
              </w:rPr>
              <w:t xml:space="preserve">C. Integration Role</w:t>
            </w:r>
          </w:p>
        </w:tc>
        <w:tc>
          <w:tcPr/>
          <w:p>
            <w:pPr>
              <w:pStyle w:val="Compact"/>
              <w:jc w:val="left"/>
            </w:pPr>
            <w:r>
              <w:t xml:space="preserve">Hub connecting facilities to national systems</w:t>
            </w:r>
          </w:p>
        </w:tc>
        <w:tc>
          <w:tcPr/>
          <w:p>
            <w:pPr>
              <w:pStyle w:val="Compact"/>
              <w:jc w:val="center"/>
            </w:pPr>
            <w:r>
              <w:t xml:space="preserve">15</w:t>
            </w:r>
          </w:p>
        </w:tc>
      </w:tr>
      <w:tr>
        <w:tc>
          <w:tcPr/>
          <w:p>
            <w:pPr>
              <w:pStyle w:val="Compact"/>
              <w:jc w:val="left"/>
            </w:pPr>
            <w:r>
              <w:rPr>
                <w:b/>
                <w:bCs/>
              </w:rPr>
              <w:t xml:space="preserve">D. User Base</w:t>
            </w:r>
          </w:p>
        </w:tc>
        <w:tc>
          <w:tcPr/>
          <w:p>
            <w:pPr>
              <w:pStyle w:val="Compact"/>
              <w:jc w:val="left"/>
            </w:pPr>
            <w:r>
              <w:t xml:space="preserve">45,000 healthcare workers depend on system</w:t>
            </w:r>
          </w:p>
        </w:tc>
        <w:tc>
          <w:tcPr/>
          <w:p>
            <w:pPr>
              <w:pStyle w:val="Compact"/>
              <w:jc w:val="center"/>
            </w:pPr>
            <w:r>
              <w:t xml:space="preserve">10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80</w:t>
            </w:r>
          </w:p>
        </w:tc>
      </w:tr>
    </w:tbl>
    <w:bookmarkEnd w:id="492"/>
    <w:bookmarkEnd w:id="493"/>
    <w:bookmarkStart w:id="494" w:name="classification-result-8"/>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80</w:t>
            </w:r>
          </w:p>
        </w:tc>
        <w:tc>
          <w:tcPr/>
          <w:p>
            <w:pPr>
              <w:pStyle w:val="Compact"/>
              <w:jc w:val="left"/>
            </w:pPr>
            <w:r>
              <w:rPr>
                <w:b/>
                <w:bCs/>
              </w:rPr>
              <w:t xml:space="preserve">Tier 1 (Essential)</w:t>
            </w:r>
          </w:p>
        </w:tc>
        <w:tc>
          <w:tcPr/>
          <w:p>
            <w:pPr>
              <w:pStyle w:val="Compact"/>
              <w:jc w:val="left"/>
            </w:pPr>
            <w:r>
              <w:t xml:space="preserve">State-wide system; single point of failure for 500+ facilities</w:t>
            </w:r>
          </w:p>
        </w:tc>
      </w:tr>
    </w:tbl>
    <w:p>
      <w:pPr>
        <w:pStyle w:val="BlockText"/>
      </w:pPr>
      <w:r>
        <w:t xml:space="preserve">[!IMPORTANT]</w:t>
      </w:r>
      <w:r>
        <w:t xml:space="preserve"> </w:t>
      </w:r>
      <w:r>
        <w:t xml:space="preserve">Large-scale HMIS platforms serving hundreds of facilities are</w:t>
      </w:r>
      <w:r>
        <w:t xml:space="preserve"> </w:t>
      </w:r>
      <w:r>
        <w:rPr>
          <w:b/>
          <w:bCs/>
        </w:rPr>
        <w:t xml:space="preserve">system-level CII</w:t>
      </w:r>
      <w:r>
        <w:t xml:space="preserve"> </w:t>
      </w:r>
      <w:r>
        <w:t xml:space="preserve">regardless of whether individual facilities would independently qualify. The</w:t>
      </w:r>
      <w:r>
        <w:t xml:space="preserve"> </w:t>
      </w:r>
      <w:r>
        <w:rPr>
          <w:b/>
          <w:bCs/>
        </w:rPr>
        <w:t xml:space="preserve">concentration risk</w:t>
      </w:r>
      <w:r>
        <w:t xml:space="preserve"> </w:t>
      </w:r>
      <w:r>
        <w:t xml:space="preserve">of a shared platform elevates criticality significantly.</w:t>
      </w:r>
    </w:p>
    <w:bookmarkEnd w:id="494"/>
    <w:bookmarkStart w:id="495" w:name="applicable-obligations-5"/>
    <w:p>
      <w:pPr>
        <w:pStyle w:val="Heading3"/>
      </w:pPr>
      <w:r>
        <w:t xml:space="preserve">Applicable Obligations</w:t>
      </w:r>
    </w:p>
    <w:p>
      <w:pPr>
        <w:pStyle w:val="Compact"/>
        <w:numPr>
          <w:ilvl w:val="0"/>
          <w:numId w:val="1330"/>
        </w:numPr>
      </w:pPr>
      <w:r>
        <w:t xml:space="preserve">Dedicated security team (not just focal point)</w:t>
      </w:r>
    </w:p>
    <w:p>
      <w:pPr>
        <w:pStyle w:val="Compact"/>
        <w:numPr>
          <w:ilvl w:val="0"/>
          <w:numId w:val="1330"/>
        </w:numPr>
      </w:pPr>
      <w:r>
        <w:t xml:space="preserve">Continuous security monitoring (24/7 SOC)</w:t>
      </w:r>
    </w:p>
    <w:p>
      <w:pPr>
        <w:pStyle w:val="Compact"/>
        <w:numPr>
          <w:ilvl w:val="0"/>
          <w:numId w:val="1330"/>
        </w:numPr>
      </w:pPr>
      <w:r>
        <w:t xml:space="preserve">12-24 hour incident reporting</w:t>
      </w:r>
    </w:p>
    <w:p>
      <w:pPr>
        <w:pStyle w:val="Compact"/>
        <w:numPr>
          <w:ilvl w:val="0"/>
          <w:numId w:val="1330"/>
        </w:numPr>
      </w:pPr>
      <w:r>
        <w:t xml:space="preserve">Disaster recovery with state-level failover</w:t>
      </w:r>
    </w:p>
    <w:p>
      <w:pPr>
        <w:pStyle w:val="Compact"/>
        <w:numPr>
          <w:ilvl w:val="0"/>
          <w:numId w:val="1330"/>
        </w:numPr>
      </w:pPr>
      <w:r>
        <w:t xml:space="preserve">Annual third-party penetration testing</w:t>
      </w:r>
    </w:p>
    <w:p>
      <w:pPr>
        <w:pStyle w:val="Compact"/>
        <w:numPr>
          <w:ilvl w:val="0"/>
          <w:numId w:val="1330"/>
        </w:numPr>
      </w:pPr>
      <w:r>
        <w:t xml:space="preserve">Change management security controls</w:t>
      </w:r>
    </w:p>
    <w:p>
      <w:pPr>
        <w:pStyle w:val="Compact"/>
        <w:numPr>
          <w:ilvl w:val="0"/>
          <w:numId w:val="1330"/>
        </w:numPr>
      </w:pPr>
      <w:r>
        <w:t xml:space="preserve">User access audit (45,000 users)</w:t>
      </w:r>
    </w:p>
    <w:p>
      <w:pPr>
        <w:pStyle w:val="Compact"/>
        <w:numPr>
          <w:ilvl w:val="0"/>
          <w:numId w:val="1330"/>
        </w:numPr>
      </w:pPr>
      <w:r>
        <w:t xml:space="preserve">API security for national integrations</w:t>
      </w:r>
    </w:p>
    <w:p>
      <w:pPr>
        <w:pStyle w:val="Compact"/>
        <w:numPr>
          <w:ilvl w:val="0"/>
          <w:numId w:val="1330"/>
        </w:numPr>
      </w:pPr>
      <w:r>
        <w:t xml:space="preserve">Backup and recovery testing (quarterly)</w:t>
      </w:r>
    </w:p>
    <w:p>
      <w:pPr>
        <w:pStyle w:val="Compact"/>
        <w:numPr>
          <w:ilvl w:val="0"/>
          <w:numId w:val="1330"/>
        </w:numPr>
      </w:pPr>
      <w:r>
        <w:t xml:space="preserve">Vendor security assessment (NIC/SI partners)</w:t>
      </w:r>
    </w:p>
    <w:p>
      <w:r>
        <w:pict>
          <v:rect style="width:0;height:1.5pt" o:hralign="center" o:hrstd="t" o:hr="t"/>
        </w:pict>
      </w:r>
    </w:p>
    <w:bookmarkEnd w:id="495"/>
    <w:bookmarkEnd w:id="496"/>
    <w:bookmarkStart w:id="503" w:name="X3476d7bfacaa3d014508eba2dca1925b343edbb"/>
    <w:p>
      <w:pPr>
        <w:pStyle w:val="Heading2"/>
      </w:pPr>
      <w:r>
        <w:t xml:space="preserve">Case Study 4: Multi-Hospital HMIS -</w:t>
      </w:r>
      <w:r>
        <w:t xml:space="preserve"> </w:t>
      </w:r>
      <w:r>
        <w:t xml:space="preserve">“CareSync Enterprise”</w:t>
      </w:r>
    </w:p>
    <w:bookmarkStart w:id="497" w:name="entity-profile-9"/>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CareSync Enterprise HMIS</w:t>
            </w:r>
          </w:p>
        </w:tc>
      </w:tr>
      <w:tr>
        <w:tc>
          <w:tcPr/>
          <w:p>
            <w:pPr>
              <w:pStyle w:val="Compact"/>
              <w:jc w:val="left"/>
            </w:pPr>
            <w:r>
              <w:rPr>
                <w:b/>
                <w:bCs/>
              </w:rPr>
              <w:t xml:space="preserve">Type</w:t>
            </w:r>
          </w:p>
        </w:tc>
        <w:tc>
          <w:tcPr/>
          <w:p>
            <w:pPr>
              <w:pStyle w:val="Compact"/>
              <w:jc w:val="left"/>
            </w:pPr>
            <w:r>
              <w:t xml:space="preserve">Hospital Management Information System for private hospital group</w:t>
            </w:r>
          </w:p>
        </w:tc>
      </w:tr>
      <w:tr>
        <w:tc>
          <w:tcPr/>
          <w:p>
            <w:pPr>
              <w:pStyle w:val="Compact"/>
              <w:jc w:val="left"/>
            </w:pPr>
            <w:r>
              <w:rPr>
                <w:b/>
                <w:bCs/>
              </w:rPr>
              <w:t xml:space="preserve">Operator</w:t>
            </w:r>
          </w:p>
        </w:tc>
        <w:tc>
          <w:tcPr/>
          <w:p>
            <w:pPr>
              <w:pStyle w:val="Compact"/>
              <w:jc w:val="left"/>
            </w:pPr>
            <w:r>
              <w:t xml:space="preserve">CareSync Hospitals Private Limited</w:t>
            </w:r>
          </w:p>
        </w:tc>
      </w:tr>
      <w:tr>
        <w:tc>
          <w:tcPr/>
          <w:p>
            <w:pPr>
              <w:pStyle w:val="Compact"/>
              <w:jc w:val="left"/>
            </w:pPr>
            <w:r>
              <w:rPr>
                <w:b/>
                <w:bCs/>
              </w:rPr>
              <w:t xml:space="preserve">Coverage</w:t>
            </w:r>
          </w:p>
        </w:tc>
        <w:tc>
          <w:tcPr/>
          <w:p>
            <w:pPr>
              <w:pStyle w:val="Compact"/>
              <w:jc w:val="left"/>
            </w:pPr>
            <w:r>
              <w:t xml:space="preserve">5 large hospitals (average 400 beds each; 2,000 total beds)</w:t>
            </w:r>
          </w:p>
        </w:tc>
      </w:tr>
      <w:tr>
        <w:tc>
          <w:tcPr/>
          <w:p>
            <w:pPr>
              <w:pStyle w:val="Compact"/>
              <w:jc w:val="left"/>
            </w:pPr>
            <w:r>
              <w:rPr>
                <w:b/>
                <w:bCs/>
              </w:rPr>
              <w:t xml:space="preserve">Users</w:t>
            </w:r>
          </w:p>
        </w:tc>
        <w:tc>
          <w:tcPr/>
          <w:p>
            <w:pPr>
              <w:pStyle w:val="Compact"/>
              <w:jc w:val="left"/>
            </w:pPr>
            <w:r>
              <w:t xml:space="preserve">4,000 healthcare workers; 150 administrators</w:t>
            </w:r>
          </w:p>
        </w:tc>
      </w:tr>
      <w:tr>
        <w:tc>
          <w:tcPr/>
          <w:p>
            <w:pPr>
              <w:pStyle w:val="Compact"/>
              <w:jc w:val="left"/>
            </w:pPr>
            <w:r>
              <w:rPr>
                <w:b/>
                <w:bCs/>
              </w:rPr>
              <w:t xml:space="preserve">Functions</w:t>
            </w:r>
          </w:p>
        </w:tc>
        <w:tc>
          <w:tcPr/>
          <w:p>
            <w:pPr>
              <w:pStyle w:val="Compact"/>
              <w:jc w:val="left"/>
            </w:pPr>
            <w:r>
              <w:t xml:space="preserve">EMR, OPD/IPD, lab, radiology, pharmacy, billing, HR, analytics</w:t>
            </w:r>
          </w:p>
        </w:tc>
      </w:tr>
      <w:tr>
        <w:tc>
          <w:tcPr/>
          <w:p>
            <w:pPr>
              <w:pStyle w:val="Compact"/>
              <w:jc w:val="left"/>
            </w:pPr>
            <w:r>
              <w:rPr>
                <w:b/>
                <w:bCs/>
              </w:rPr>
              <w:t xml:space="preserve">Data volume</w:t>
            </w:r>
          </w:p>
        </w:tc>
        <w:tc>
          <w:tcPr/>
          <w:p>
            <w:pPr>
              <w:pStyle w:val="Compact"/>
              <w:jc w:val="left"/>
            </w:pPr>
            <w:r>
              <w:t xml:space="preserve">2 million patient records; 8 million annual transactions</w:t>
            </w:r>
          </w:p>
        </w:tc>
      </w:tr>
      <w:tr>
        <w:tc>
          <w:tcPr/>
          <w:p>
            <w:pPr>
              <w:pStyle w:val="Compact"/>
              <w:jc w:val="left"/>
            </w:pPr>
            <w:r>
              <w:rPr>
                <w:b/>
                <w:bCs/>
              </w:rPr>
              <w:t xml:space="preserve">Infrastructure</w:t>
            </w:r>
          </w:p>
        </w:tc>
        <w:tc>
          <w:tcPr/>
          <w:p>
            <w:pPr>
              <w:pStyle w:val="Compact"/>
              <w:jc w:val="left"/>
            </w:pPr>
            <w:r>
              <w:t xml:space="preserve">Private cloud; DR site</w:t>
            </w:r>
          </w:p>
        </w:tc>
      </w:tr>
      <w:tr>
        <w:tc>
          <w:tcPr/>
          <w:p>
            <w:pPr>
              <w:pStyle w:val="Compact"/>
              <w:jc w:val="left"/>
            </w:pPr>
            <w:r>
              <w:rPr>
                <w:b/>
                <w:bCs/>
              </w:rPr>
              <w:t xml:space="preserve">Integrations</w:t>
            </w:r>
          </w:p>
        </w:tc>
        <w:tc>
          <w:tcPr/>
          <w:p>
            <w:pPr>
              <w:pStyle w:val="Compact"/>
              <w:jc w:val="left"/>
            </w:pPr>
            <w:r>
              <w:t xml:space="preserve">Insurance TPA, ABDM, lab aggregators</w:t>
            </w:r>
          </w:p>
        </w:tc>
      </w:tr>
      <w:tr>
        <w:tc>
          <w:tcPr/>
          <w:p>
            <w:pPr>
              <w:pStyle w:val="Compact"/>
              <w:jc w:val="left"/>
            </w:pPr>
            <w:r>
              <w:rPr>
                <w:b/>
                <w:bCs/>
              </w:rPr>
              <w:t xml:space="preserve">Special consideration</w:t>
            </w:r>
          </w:p>
        </w:tc>
        <w:tc>
          <w:tcPr/>
          <w:p>
            <w:pPr>
              <w:pStyle w:val="Compact"/>
              <w:jc w:val="left"/>
            </w:pPr>
            <w:r>
              <w:rPr>
                <w:b/>
                <w:bCs/>
              </w:rPr>
              <w:t xml:space="preserve">Centralized system for mid-size hospital chain</w:t>
            </w:r>
          </w:p>
        </w:tc>
      </w:tr>
    </w:tbl>
    <w:bookmarkEnd w:id="497"/>
    <w:bookmarkStart w:id="500" w:name="cii-classification-assessment-9"/>
    <w:p>
      <w:pPr>
        <w:pStyle w:val="Heading3"/>
      </w:pPr>
      <w:r>
        <w:t xml:space="preserve">CII Classification Assessment</w:t>
      </w:r>
    </w:p>
    <w:bookmarkStart w:id="498" w:name="key-risk-factors-2"/>
    <w:p>
      <w:pPr>
        <w:pStyle w:val="Heading4"/>
      </w:pPr>
      <w:r>
        <w:t xml:space="preserve">Key Risk Factors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Scale</w:t>
            </w:r>
          </w:p>
        </w:tc>
        <w:tc>
          <w:tcPr/>
          <w:p>
            <w:pPr>
              <w:pStyle w:val="Compact"/>
              <w:jc w:val="left"/>
            </w:pPr>
            <w:r>
              <w:t xml:space="preserve">5 hospitals; 2,000 beds total</w:t>
            </w:r>
          </w:p>
        </w:tc>
      </w:tr>
      <w:tr>
        <w:tc>
          <w:tcPr/>
          <w:p>
            <w:pPr>
              <w:pStyle w:val="Compact"/>
              <w:jc w:val="left"/>
            </w:pPr>
            <w:r>
              <w:rPr>
                <w:b/>
                <w:bCs/>
              </w:rPr>
              <w:t xml:space="preserve">Dependency</w:t>
            </w:r>
          </w:p>
        </w:tc>
        <w:tc>
          <w:tcPr/>
          <w:p>
            <w:pPr>
              <w:pStyle w:val="Compact"/>
              <w:jc w:val="left"/>
            </w:pPr>
            <w:r>
              <w:t xml:space="preserve">All 5 hospitals share single platform</w:t>
            </w:r>
          </w:p>
        </w:tc>
      </w:tr>
      <w:tr>
        <w:tc>
          <w:tcPr/>
          <w:p>
            <w:pPr>
              <w:pStyle w:val="Compact"/>
              <w:jc w:val="left"/>
            </w:pPr>
            <w:r>
              <w:rPr>
                <w:b/>
                <w:bCs/>
              </w:rPr>
              <w:t xml:space="preserve">Data concentration</w:t>
            </w:r>
          </w:p>
        </w:tc>
        <w:tc>
          <w:tcPr/>
          <w:p>
            <w:pPr>
              <w:pStyle w:val="Compact"/>
              <w:jc w:val="left"/>
            </w:pPr>
            <w:r>
              <w:t xml:space="preserve">2M patient records</w:t>
            </w:r>
          </w:p>
        </w:tc>
      </w:tr>
      <w:tr>
        <w:tc>
          <w:tcPr/>
          <w:p>
            <w:pPr>
              <w:pStyle w:val="Compact"/>
              <w:jc w:val="left"/>
            </w:pPr>
            <w:r>
              <w:rPr>
                <w:b/>
                <w:bCs/>
              </w:rPr>
              <w:t xml:space="preserve">Operational impact</w:t>
            </w:r>
          </w:p>
        </w:tc>
        <w:tc>
          <w:tcPr/>
          <w:p>
            <w:pPr>
              <w:pStyle w:val="Compact"/>
              <w:jc w:val="left"/>
            </w:pPr>
            <w:r>
              <w:t xml:space="preserve">Outage affects 5 facilities simultaneously</w:t>
            </w:r>
          </w:p>
        </w:tc>
      </w:tr>
      <w:tr>
        <w:tc>
          <w:tcPr/>
          <w:p>
            <w:pPr>
              <w:pStyle w:val="Compact"/>
              <w:jc w:val="left"/>
            </w:pPr>
            <w:r>
              <w:rPr>
                <w:b/>
                <w:bCs/>
              </w:rPr>
              <w:t xml:space="preserve">Market position</w:t>
            </w:r>
          </w:p>
        </w:tc>
        <w:tc>
          <w:tcPr/>
          <w:p>
            <w:pPr>
              <w:pStyle w:val="Compact"/>
              <w:jc w:val="left"/>
            </w:pPr>
            <w:r>
              <w:t xml:space="preserve">Regional player; not nationally critical</w:t>
            </w:r>
          </w:p>
        </w:tc>
      </w:tr>
    </w:tbl>
    <w:bookmarkEnd w:id="498"/>
    <w:bookmarkStart w:id="499" w:name="scoring-developing-country-framework-5"/>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5 facilities; 2M patient records</w:t>
            </w:r>
          </w:p>
        </w:tc>
        <w:tc>
          <w:tcPr/>
          <w:p>
            <w:pPr>
              <w:pStyle w:val="Compact"/>
              <w:jc w:val="center"/>
            </w:pPr>
            <w:r>
              <w:t xml:space="preserve">20</w:t>
            </w:r>
          </w:p>
        </w:tc>
      </w:tr>
      <w:tr>
        <w:tc>
          <w:tcPr/>
          <w:p>
            <w:pPr>
              <w:pStyle w:val="Compact"/>
              <w:jc w:val="left"/>
            </w:pPr>
            <w:r>
              <w:rPr>
                <w:b/>
                <w:bCs/>
              </w:rPr>
              <w:t xml:space="preserve">B. System Dependency</w:t>
            </w:r>
          </w:p>
        </w:tc>
        <w:tc>
          <w:tcPr/>
          <w:p>
            <w:pPr>
              <w:pStyle w:val="Compact"/>
              <w:jc w:val="left"/>
            </w:pPr>
            <w:r>
              <w:t xml:space="preserve">Centralized platform for hospital chain</w:t>
            </w:r>
          </w:p>
        </w:tc>
        <w:tc>
          <w:tcPr/>
          <w:p>
            <w:pPr>
              <w:pStyle w:val="Compact"/>
              <w:jc w:val="center"/>
            </w:pPr>
            <w:r>
              <w:t xml:space="preserve">15</w:t>
            </w:r>
          </w:p>
        </w:tc>
      </w:tr>
      <w:tr>
        <w:tc>
          <w:tcPr/>
          <w:p>
            <w:pPr>
              <w:pStyle w:val="Compact"/>
              <w:jc w:val="left"/>
            </w:pPr>
            <w:r>
              <w:rPr>
                <w:b/>
                <w:bCs/>
              </w:rPr>
              <w:t xml:space="preserve">C. Geographic Criticality</w:t>
            </w:r>
          </w:p>
        </w:tc>
        <w:tc>
          <w:tcPr/>
          <w:p>
            <w:pPr>
              <w:pStyle w:val="Compact"/>
              <w:jc w:val="left"/>
            </w:pPr>
            <w:r>
              <w:t xml:space="preserve">Regional presence; alternative providers exist</w:t>
            </w:r>
          </w:p>
        </w:tc>
        <w:tc>
          <w:tcPr/>
          <w:p>
            <w:pPr>
              <w:pStyle w:val="Compact"/>
              <w:jc w:val="center"/>
            </w:pPr>
            <w:r>
              <w:t xml:space="preserve">5</w:t>
            </w:r>
          </w:p>
        </w:tc>
      </w:tr>
      <w:tr>
        <w:tc>
          <w:tcPr/>
          <w:p>
            <w:pPr>
              <w:pStyle w:val="Compact"/>
              <w:jc w:val="left"/>
            </w:pPr>
            <w:r>
              <w:rPr>
                <w:b/>
                <w:bCs/>
              </w:rPr>
              <w:t xml:space="preserve">D. National Integration</w:t>
            </w:r>
          </w:p>
        </w:tc>
        <w:tc>
          <w:tcPr/>
          <w:p>
            <w:pPr>
              <w:pStyle w:val="Compact"/>
              <w:jc w:val="left"/>
            </w:pPr>
            <w:r>
              <w:t xml:space="preserve">ABDM connected but not sole gateway</w:t>
            </w:r>
          </w:p>
        </w:tc>
        <w:tc>
          <w:tcPr/>
          <w:p>
            <w:pPr>
              <w:pStyle w:val="Compact"/>
              <w:jc w:val="center"/>
            </w:pPr>
            <w:r>
              <w:t xml:space="preserve">5</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45</w:t>
            </w:r>
          </w:p>
        </w:tc>
      </w:tr>
    </w:tbl>
    <w:bookmarkEnd w:id="499"/>
    <w:bookmarkEnd w:id="500"/>
    <w:bookmarkStart w:id="501" w:name="classification-result-9"/>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45</w:t>
            </w:r>
          </w:p>
        </w:tc>
        <w:tc>
          <w:tcPr/>
          <w:p>
            <w:pPr>
              <w:pStyle w:val="Compact"/>
              <w:jc w:val="left"/>
            </w:pPr>
            <w:r>
              <w:rPr>
                <w:b/>
                <w:bCs/>
              </w:rPr>
              <w:t xml:space="preserve">Tier 2 (Important)</w:t>
            </w:r>
          </w:p>
        </w:tc>
        <w:tc>
          <w:tcPr/>
          <w:p>
            <w:pPr>
              <w:pStyle w:val="Compact"/>
              <w:jc w:val="left"/>
            </w:pPr>
            <w:r>
              <w:t xml:space="preserve">Mid-scale platform; regional not national impact</w:t>
            </w:r>
          </w:p>
        </w:tc>
      </w:tr>
    </w:tbl>
    <w:p>
      <w:pPr>
        <w:pStyle w:val="BlockText"/>
      </w:pPr>
      <w:r>
        <w:t xml:space="preserve">[!NOTE]</w:t>
      </w:r>
      <w:r>
        <w:t xml:space="preserve"> </w:t>
      </w:r>
      <w:r>
        <w:t xml:space="preserve">Smaller multi-hospital HMIS platforms like CareSync are</w:t>
      </w:r>
      <w:r>
        <w:t xml:space="preserve"> </w:t>
      </w:r>
      <w:r>
        <w:rPr>
          <w:b/>
          <w:bCs/>
        </w:rPr>
        <w:t xml:space="preserve">Tier 2</w:t>
      </w:r>
      <w:r>
        <w:t xml:space="preserve"> </w:t>
      </w:r>
      <w:r>
        <w:t xml:space="preserve">rather than Tier 1. The key differentiator from SwasthyaMitra is</w:t>
      </w:r>
      <w:r>
        <w:t xml:space="preserve"> </w:t>
      </w:r>
      <w:r>
        <w:rPr>
          <w:b/>
          <w:bCs/>
        </w:rPr>
        <w:t xml:space="preserve">scale and concentration</w:t>
      </w:r>
      <w:r>
        <w:t xml:space="preserve">: 5 hospitals vs 500+, regional vs statewide impact, and presence of alternative providers.</w:t>
      </w:r>
    </w:p>
    <w:bookmarkEnd w:id="501"/>
    <w:bookmarkStart w:id="502" w:name="applicable-obligations-6"/>
    <w:p>
      <w:pPr>
        <w:pStyle w:val="Heading3"/>
      </w:pPr>
      <w:r>
        <w:t xml:space="preserve">Applicable Obligations</w:t>
      </w:r>
    </w:p>
    <w:p>
      <w:pPr>
        <w:pStyle w:val="Compact"/>
        <w:numPr>
          <w:ilvl w:val="0"/>
          <w:numId w:val="1331"/>
        </w:numPr>
      </w:pPr>
      <w:r>
        <w:t xml:space="preserve">Security focal point (may be shared CISO for group)</w:t>
      </w:r>
    </w:p>
    <w:p>
      <w:pPr>
        <w:pStyle w:val="Compact"/>
        <w:numPr>
          <w:ilvl w:val="0"/>
          <w:numId w:val="1331"/>
        </w:numPr>
      </w:pPr>
      <w:r>
        <w:t xml:space="preserve">Biennial third-party audit</w:t>
      </w:r>
    </w:p>
    <w:p>
      <w:pPr>
        <w:pStyle w:val="Compact"/>
        <w:numPr>
          <w:ilvl w:val="0"/>
          <w:numId w:val="1331"/>
        </w:numPr>
      </w:pPr>
      <w:r>
        <w:t xml:space="preserve">72-96 hour incident reporting</w:t>
      </w:r>
    </w:p>
    <w:p>
      <w:pPr>
        <w:pStyle w:val="Compact"/>
        <w:numPr>
          <w:ilvl w:val="0"/>
          <w:numId w:val="1331"/>
        </w:numPr>
      </w:pPr>
      <w:r>
        <w:t xml:space="preserve">Business continuity plan with tested failover</w:t>
      </w:r>
    </w:p>
    <w:p>
      <w:pPr>
        <w:pStyle w:val="Compact"/>
        <w:numPr>
          <w:ilvl w:val="0"/>
          <w:numId w:val="1331"/>
        </w:numPr>
      </w:pPr>
      <w:r>
        <w:t xml:space="preserve">User access management</w:t>
      </w:r>
    </w:p>
    <w:p>
      <w:pPr>
        <w:pStyle w:val="Compact"/>
        <w:numPr>
          <w:ilvl w:val="0"/>
          <w:numId w:val="1331"/>
        </w:numPr>
      </w:pPr>
      <w:r>
        <w:t xml:space="preserve">Vendor security requirements</w:t>
      </w:r>
    </w:p>
    <w:p>
      <w:pPr>
        <w:pStyle w:val="Compact"/>
        <w:numPr>
          <w:ilvl w:val="0"/>
          <w:numId w:val="1331"/>
        </w:numPr>
      </w:pPr>
      <w:r>
        <w:t xml:space="preserve">ABDM integration security</w:t>
      </w:r>
    </w:p>
    <w:p>
      <w:r>
        <w:pict>
          <v:rect style="width:0;height:1.5pt" o:hralign="center" o:hrstd="t" o:hr="t"/>
        </w:pict>
      </w:r>
    </w:p>
    <w:bookmarkEnd w:id="502"/>
    <w:bookmarkEnd w:id="503"/>
    <w:bookmarkStart w:id="504" w:name="comparison-large-vs-small-hmis"/>
    <w:p>
      <w:pPr>
        <w:pStyle w:val="Heading2"/>
      </w:pPr>
      <w:r>
        <w:t xml:space="preserve">Comparison: Large vs Small HMIS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SwasthyaMitra (Large)</w:t>
            </w:r>
          </w:p>
        </w:tc>
        <w:tc>
          <w:tcPr/>
          <w:p>
            <w:pPr>
              <w:pStyle w:val="Compact"/>
              <w:jc w:val="left"/>
            </w:pPr>
            <w:r>
              <w:t xml:space="preserve">CareSync (Small)</w:t>
            </w:r>
          </w:p>
        </w:tc>
      </w:tr>
      <w:tr>
        <w:tc>
          <w:tcPr/>
          <w:p>
            <w:pPr>
              <w:pStyle w:val="Compact"/>
              <w:jc w:val="left"/>
            </w:pPr>
            <w:r>
              <w:rPr>
                <w:b/>
                <w:bCs/>
              </w:rPr>
              <w:t xml:space="preserve">Facilities</w:t>
            </w:r>
          </w:p>
        </w:tc>
        <w:tc>
          <w:tcPr/>
          <w:p>
            <w:pPr>
              <w:pStyle w:val="Compact"/>
              <w:jc w:val="left"/>
            </w:pPr>
            <w:r>
              <w:t xml:space="preserve">500+</w:t>
            </w:r>
          </w:p>
        </w:tc>
        <w:tc>
          <w:tcPr/>
          <w:p>
            <w:pPr>
              <w:pStyle w:val="Compact"/>
              <w:jc w:val="left"/>
            </w:pPr>
            <w:r>
              <w:t xml:space="preserve">5</w:t>
            </w:r>
          </w:p>
        </w:tc>
      </w:tr>
      <w:tr>
        <w:tc>
          <w:tcPr/>
          <w:p>
            <w:pPr>
              <w:pStyle w:val="Compact"/>
              <w:jc w:val="left"/>
            </w:pPr>
            <w:r>
              <w:rPr>
                <w:b/>
                <w:bCs/>
              </w:rPr>
              <w:t xml:space="preserve">Patient records</w:t>
            </w:r>
          </w:p>
        </w:tc>
        <w:tc>
          <w:tcPr/>
          <w:p>
            <w:pPr>
              <w:pStyle w:val="Compact"/>
              <w:jc w:val="left"/>
            </w:pPr>
            <w:r>
              <w:t xml:space="preserve">15M</w:t>
            </w:r>
          </w:p>
        </w:tc>
        <w:tc>
          <w:tcPr/>
          <w:p>
            <w:pPr>
              <w:pStyle w:val="Compact"/>
              <w:jc w:val="left"/>
            </w:pPr>
            <w:r>
              <w:t xml:space="preserve">2M</w:t>
            </w:r>
          </w:p>
        </w:tc>
      </w:tr>
      <w:tr>
        <w:tc>
          <w:tcPr/>
          <w:p>
            <w:pPr>
              <w:pStyle w:val="Compact"/>
              <w:jc w:val="left"/>
            </w:pPr>
            <w:r>
              <w:rPr>
                <w:b/>
                <w:bCs/>
              </w:rPr>
              <w:t xml:space="preserve">Users</w:t>
            </w:r>
          </w:p>
        </w:tc>
        <w:tc>
          <w:tcPr/>
          <w:p>
            <w:pPr>
              <w:pStyle w:val="Compact"/>
              <w:jc w:val="left"/>
            </w:pPr>
            <w:r>
              <w:t xml:space="preserve">45,000</w:t>
            </w:r>
          </w:p>
        </w:tc>
        <w:tc>
          <w:tcPr/>
          <w:p>
            <w:pPr>
              <w:pStyle w:val="Compact"/>
              <w:jc w:val="left"/>
            </w:pPr>
            <w:r>
              <w:t xml:space="preserve">4,000</w:t>
            </w:r>
          </w:p>
        </w:tc>
      </w:tr>
      <w:tr>
        <w:tc>
          <w:tcPr/>
          <w:p>
            <w:pPr>
              <w:pStyle w:val="Compact"/>
              <w:jc w:val="left"/>
            </w:pPr>
            <w:r>
              <w:rPr>
                <w:b/>
                <w:bCs/>
              </w:rPr>
              <w:t xml:space="preserve">Geographic scope</w:t>
            </w:r>
          </w:p>
        </w:tc>
        <w:tc>
          <w:tcPr/>
          <w:p>
            <w:pPr>
              <w:pStyle w:val="Compact"/>
              <w:jc w:val="left"/>
            </w:pPr>
            <w:r>
              <w:t xml:space="preserve">State-wide</w:t>
            </w:r>
          </w:p>
        </w:tc>
        <w:tc>
          <w:tcPr/>
          <w:p>
            <w:pPr>
              <w:pStyle w:val="Compact"/>
              <w:jc w:val="left"/>
            </w:pPr>
            <w:r>
              <w:t xml:space="preserve">Regional</w:t>
            </w:r>
          </w:p>
        </w:tc>
      </w:tr>
      <w:tr>
        <w:tc>
          <w:tcPr/>
          <w:p>
            <w:pPr>
              <w:pStyle w:val="Compact"/>
              <w:jc w:val="left"/>
            </w:pPr>
            <w:r>
              <w:rPr>
                <w:b/>
                <w:bCs/>
              </w:rPr>
              <w:t xml:space="preserve">Alternative providers</w:t>
            </w:r>
          </w:p>
        </w:tc>
        <w:tc>
          <w:tcPr/>
          <w:p>
            <w:pPr>
              <w:pStyle w:val="Compact"/>
              <w:jc w:val="left"/>
            </w:pPr>
            <w:r>
              <w:t xml:space="preserve">No (sole state system)</w:t>
            </w:r>
          </w:p>
        </w:tc>
        <w:tc>
          <w:tcPr/>
          <w:p>
            <w:pPr>
              <w:pStyle w:val="Compact"/>
              <w:jc w:val="left"/>
            </w:pPr>
            <w:r>
              <w:t xml:space="preserve">Yes</w:t>
            </w:r>
          </w:p>
        </w:tc>
      </w:tr>
      <w:tr>
        <w:tc>
          <w:tcPr/>
          <w:p>
            <w:pPr>
              <w:pStyle w:val="Compact"/>
              <w:jc w:val="left"/>
            </w:pPr>
            <w:r>
              <w:rPr>
                <w:b/>
                <w:bCs/>
              </w:rPr>
              <w:t xml:space="preserve">Tier</w:t>
            </w:r>
          </w:p>
        </w:tc>
        <w:tc>
          <w:tcPr/>
          <w:p>
            <w:pPr>
              <w:pStyle w:val="Compact"/>
              <w:jc w:val="left"/>
            </w:pPr>
            <w:r>
              <w:rPr>
                <w:b/>
                <w:bCs/>
              </w:rPr>
              <w:t xml:space="preserve">Tier 1</w:t>
            </w:r>
          </w:p>
        </w:tc>
        <w:tc>
          <w:tcPr/>
          <w:p>
            <w:pPr>
              <w:pStyle w:val="Compact"/>
              <w:jc w:val="left"/>
            </w:pPr>
            <w:r>
              <w:rPr>
                <w:b/>
                <w:bCs/>
              </w:rPr>
              <w:t xml:space="preserve">Tier 2</w:t>
            </w:r>
          </w:p>
        </w:tc>
      </w:tr>
      <w:tr>
        <w:tc>
          <w:tcPr/>
          <w:p>
            <w:pPr>
              <w:pStyle w:val="Compact"/>
              <w:jc w:val="left"/>
            </w:pPr>
            <w:r>
              <w:rPr>
                <w:b/>
                <w:bCs/>
              </w:rPr>
              <w:t xml:space="preserve">Audit frequency</w:t>
            </w:r>
          </w:p>
        </w:tc>
        <w:tc>
          <w:tcPr/>
          <w:p>
            <w:pPr>
              <w:pStyle w:val="Compact"/>
              <w:jc w:val="left"/>
            </w:pPr>
            <w:r>
              <w:t xml:space="preserve">Annual</w:t>
            </w:r>
          </w:p>
        </w:tc>
        <w:tc>
          <w:tcPr/>
          <w:p>
            <w:pPr>
              <w:pStyle w:val="Compact"/>
              <w:jc w:val="left"/>
            </w:pPr>
            <w:r>
              <w:t xml:space="preserve">Biennial</w:t>
            </w:r>
          </w:p>
        </w:tc>
      </w:tr>
      <w:tr>
        <w:tc>
          <w:tcPr/>
          <w:p>
            <w:pPr>
              <w:pStyle w:val="Compact"/>
              <w:jc w:val="left"/>
            </w:pPr>
            <w:r>
              <w:rPr>
                <w:b/>
                <w:bCs/>
              </w:rPr>
              <w:t xml:space="preserve">Reporting timeline</w:t>
            </w:r>
          </w:p>
        </w:tc>
        <w:tc>
          <w:tcPr/>
          <w:p>
            <w:pPr>
              <w:pStyle w:val="Compact"/>
              <w:jc w:val="left"/>
            </w:pPr>
            <w:r>
              <w:t xml:space="preserve">12-24 hours</w:t>
            </w:r>
          </w:p>
        </w:tc>
        <w:tc>
          <w:tcPr/>
          <w:p>
            <w:pPr>
              <w:pStyle w:val="Compact"/>
              <w:jc w:val="left"/>
            </w:pPr>
            <w:r>
              <w:t xml:space="preserve">72-96 hours</w:t>
            </w:r>
          </w:p>
        </w:tc>
      </w:tr>
      <w:tr>
        <w:tc>
          <w:tcPr/>
          <w:p>
            <w:pPr>
              <w:pStyle w:val="Compact"/>
              <w:jc w:val="left"/>
            </w:pPr>
            <w:r>
              <w:rPr>
                <w:b/>
                <w:bCs/>
              </w:rPr>
              <w:t xml:space="preserve">SOC requirement</w:t>
            </w:r>
          </w:p>
        </w:tc>
        <w:tc>
          <w:tcPr/>
          <w:p>
            <w:pPr>
              <w:pStyle w:val="Compact"/>
              <w:jc w:val="left"/>
            </w:pPr>
            <w:r>
              <w:t xml:space="preserve">24/7 dedicated</w:t>
            </w:r>
          </w:p>
        </w:tc>
        <w:tc>
          <w:tcPr/>
          <w:p>
            <w:pPr>
              <w:pStyle w:val="Compact"/>
              <w:jc w:val="left"/>
            </w:pPr>
            <w:r>
              <w:t xml:space="preserve">Shared/outsourced</w:t>
            </w:r>
          </w:p>
        </w:tc>
      </w:tr>
    </w:tbl>
    <w:p>
      <w:r>
        <w:pict>
          <v:rect style="width:0;height:1.5pt" o:hralign="center" o:hrstd="t" o:hr="t"/>
        </w:pict>
      </w:r>
    </w:p>
    <w:bookmarkEnd w:id="504"/>
    <w:bookmarkStart w:id="506" w:name="X4294193ee404eb3c5b0810578dedd48d19e8664"/>
    <w:p>
      <w:pPr>
        <w:pStyle w:val="Heading2"/>
      </w:pPr>
      <w:r>
        <w:t xml:space="preserve">Summary: Digital Health Platform Classification</w:t>
      </w:r>
    </w:p>
    <w:tbl>
      <w:tblPr>
        <w:tblStyle w:val="Table"/>
        <w:tblW w:type="pct" w:w="5000"/>
        <w:tblLayout w:type="fixed"/>
        <w:tblLook w:firstRow="1" w:lastRow="0" w:firstColumn="0" w:lastColumn="0" w:noHBand="0" w:noVBand="0" w:val="0020"/>
      </w:tblPr>
      <w:tblGrid>
        <w:gridCol w:w="2376"/>
        <w:gridCol w:w="2970"/>
        <w:gridCol w:w="1386"/>
        <w:gridCol w:w="1188"/>
      </w:tblGrid>
      <w:tr>
        <w:trPr>
          <w:tblHeader w:val="on"/>
        </w:trPr>
        <w:tc>
          <w:tcPr/>
          <w:p>
            <w:pPr>
              <w:pStyle w:val="Compact"/>
              <w:jc w:val="left"/>
            </w:pPr>
            <w:r>
              <w:t xml:space="preserve">Case Study</w:t>
            </w:r>
          </w:p>
        </w:tc>
        <w:tc>
          <w:tcPr/>
          <w:p>
            <w:pPr>
              <w:pStyle w:val="Compact"/>
              <w:jc w:val="left"/>
            </w:pPr>
            <w:r>
              <w:t xml:space="preserve">Platform Type</w:t>
            </w:r>
          </w:p>
        </w:tc>
        <w:tc>
          <w:tcPr/>
          <w:p>
            <w:pPr>
              <w:pStyle w:val="Compact"/>
              <w:jc w:val="center"/>
            </w:pPr>
            <w:r>
              <w:t xml:space="preserve">Score</w:t>
            </w:r>
          </w:p>
        </w:tc>
        <w:tc>
          <w:tcPr/>
          <w:p>
            <w:pPr>
              <w:pStyle w:val="Compact"/>
              <w:jc w:val="center"/>
            </w:pPr>
            <w:r>
              <w:t xml:space="preserve">Tier</w:t>
            </w:r>
          </w:p>
        </w:tc>
      </w:tr>
      <w:tr>
        <w:tc>
          <w:tcPr/>
          <w:p>
            <w:pPr>
              <w:pStyle w:val="Compact"/>
              <w:jc w:val="left"/>
            </w:pPr>
            <w:r>
              <w:t xml:space="preserve">SwasthyaSetu</w:t>
            </w:r>
          </w:p>
        </w:tc>
        <w:tc>
          <w:tcPr/>
          <w:p>
            <w:pPr>
              <w:pStyle w:val="Compact"/>
              <w:jc w:val="left"/>
            </w:pPr>
            <w:r>
              <w:t xml:space="preserve">National digital health</w:t>
            </w:r>
          </w:p>
        </w:tc>
        <w:tc>
          <w:tcPr/>
          <w:p>
            <w:pPr>
              <w:pStyle w:val="Compact"/>
              <w:jc w:val="center"/>
            </w:pPr>
            <w:r>
              <w:t xml:space="preserve">Auto</w:t>
            </w:r>
          </w:p>
        </w:tc>
        <w:tc>
          <w:tcPr/>
          <w:p>
            <w:pPr>
              <w:pStyle w:val="Compact"/>
              <w:jc w:val="center"/>
            </w:pPr>
            <w:r>
              <w:rPr>
                <w:b/>
                <w:bCs/>
              </w:rPr>
              <w:t xml:space="preserve">Tier 1</w:t>
            </w:r>
            <w:r>
              <w:t xml:space="preserve"> </w:t>
            </w:r>
            <w:r>
              <w:t xml:space="preserve">(auto)</w:t>
            </w:r>
          </w:p>
        </w:tc>
      </w:tr>
      <w:tr>
        <w:tc>
          <w:tcPr/>
          <w:p>
            <w:pPr>
              <w:pStyle w:val="Compact"/>
              <w:jc w:val="left"/>
            </w:pPr>
            <w:r>
              <w:t xml:space="preserve">MyHealthVault</w:t>
            </w:r>
          </w:p>
        </w:tc>
        <w:tc>
          <w:tcPr/>
          <w:p>
            <w:pPr>
              <w:pStyle w:val="Compact"/>
              <w:jc w:val="left"/>
            </w:pPr>
            <w:r>
              <w:t xml:space="preserve">PHR/health data aggregator</w:t>
            </w:r>
          </w:p>
        </w:tc>
        <w:tc>
          <w:tcPr/>
          <w:p>
            <w:pPr>
              <w:pStyle w:val="Compact"/>
              <w:jc w:val="center"/>
            </w:pPr>
            <w:r>
              <w:t xml:space="preserve">70</w:t>
            </w:r>
          </w:p>
        </w:tc>
        <w:tc>
          <w:tcPr/>
          <w:p>
            <w:pPr>
              <w:pStyle w:val="Compact"/>
              <w:jc w:val="center"/>
            </w:pPr>
            <w:r>
              <w:rPr>
                <w:b/>
                <w:bCs/>
              </w:rPr>
              <w:t xml:space="preserve">Tier 1</w:t>
            </w:r>
          </w:p>
        </w:tc>
      </w:tr>
      <w:tr>
        <w:tc>
          <w:tcPr/>
          <w:p>
            <w:pPr>
              <w:pStyle w:val="Compact"/>
              <w:jc w:val="left"/>
            </w:pPr>
            <w:r>
              <w:t xml:space="preserve">SwasthyaMitra</w:t>
            </w:r>
          </w:p>
        </w:tc>
        <w:tc>
          <w:tcPr/>
          <w:p>
            <w:pPr>
              <w:pStyle w:val="Compact"/>
              <w:jc w:val="left"/>
            </w:pPr>
            <w:r>
              <w:t xml:space="preserve">State HMIS (500+ hospitals)</w:t>
            </w:r>
          </w:p>
        </w:tc>
        <w:tc>
          <w:tcPr/>
          <w:p>
            <w:pPr>
              <w:pStyle w:val="Compact"/>
              <w:jc w:val="center"/>
            </w:pPr>
            <w:r>
              <w:t xml:space="preserve">80</w:t>
            </w:r>
          </w:p>
        </w:tc>
        <w:tc>
          <w:tcPr/>
          <w:p>
            <w:pPr>
              <w:pStyle w:val="Compact"/>
              <w:jc w:val="center"/>
            </w:pPr>
            <w:r>
              <w:rPr>
                <w:b/>
                <w:bCs/>
              </w:rPr>
              <w:t xml:space="preserve">Tier 1</w:t>
            </w:r>
          </w:p>
        </w:tc>
      </w:tr>
      <w:tr>
        <w:tc>
          <w:tcPr/>
          <w:p>
            <w:pPr>
              <w:pStyle w:val="Compact"/>
              <w:jc w:val="left"/>
            </w:pPr>
            <w:r>
              <w:t xml:space="preserve">CareSync Enterprise</w:t>
            </w:r>
          </w:p>
        </w:tc>
        <w:tc>
          <w:tcPr/>
          <w:p>
            <w:pPr>
              <w:pStyle w:val="Compact"/>
              <w:jc w:val="left"/>
            </w:pPr>
            <w:r>
              <w:t xml:space="preserve">Multi-hospital HMIS (5 hospitals)</w:t>
            </w:r>
          </w:p>
        </w:tc>
        <w:tc>
          <w:tcPr/>
          <w:p>
            <w:pPr>
              <w:pStyle w:val="Compact"/>
              <w:jc w:val="center"/>
            </w:pPr>
            <w:r>
              <w:t xml:space="preserve">45</w:t>
            </w:r>
          </w:p>
        </w:tc>
        <w:tc>
          <w:tcPr/>
          <w:p>
            <w:pPr>
              <w:pStyle w:val="Compact"/>
              <w:jc w:val="center"/>
            </w:pPr>
            <w:r>
              <w:rPr>
                <w:b/>
                <w:bCs/>
              </w:rPr>
              <w:t xml:space="preserve">Tier 2</w:t>
            </w:r>
          </w:p>
        </w:tc>
      </w:tr>
    </w:tbl>
    <w:bookmarkStart w:id="505" w:name="key-insights-1"/>
    <w:p>
      <w:pPr>
        <w:pStyle w:val="Heading3"/>
      </w:pPr>
      <w:r>
        <w:t xml:space="preserve">Key Insights</w:t>
      </w:r>
    </w:p>
    <w:p>
      <w:pPr>
        <w:pStyle w:val="Compact"/>
        <w:numPr>
          <w:ilvl w:val="0"/>
          <w:numId w:val="1332"/>
        </w:numPr>
      </w:pPr>
      <w:r>
        <w:rPr>
          <w:b/>
          <w:bCs/>
        </w:rPr>
        <w:t xml:space="preserve">National platforms are automatic Tier 1</w:t>
      </w:r>
      <w:r>
        <w:t xml:space="preserve">: Any national-level health information system triggers automatic classification</w:t>
      </w:r>
    </w:p>
    <w:p>
      <w:pPr>
        <w:pStyle w:val="Compact"/>
        <w:numPr>
          <w:ilvl w:val="0"/>
          <w:numId w:val="1332"/>
        </w:numPr>
      </w:pPr>
      <w:r>
        <w:rPr>
          <w:b/>
          <w:bCs/>
        </w:rPr>
        <w:t xml:space="preserve">Data aggregation creates concentrated risk</w:t>
      </w:r>
      <w:r>
        <w:t xml:space="preserve">: PHR platforms aggregating from thousands of sources have unique criticality</w:t>
      </w:r>
    </w:p>
    <w:p>
      <w:pPr>
        <w:pStyle w:val="Compact"/>
        <w:numPr>
          <w:ilvl w:val="0"/>
          <w:numId w:val="1332"/>
        </w:numPr>
      </w:pPr>
      <w:r>
        <w:rPr>
          <w:b/>
          <w:bCs/>
        </w:rPr>
        <w:t xml:space="preserve">HMIS scale determines tier</w:t>
      </w:r>
      <w:r>
        <w:t xml:space="preserve">: 500+ facilities is Tier 1; 5 facilities is Tier 2—a 100x difference justifies different classification</w:t>
      </w:r>
    </w:p>
    <w:p>
      <w:pPr>
        <w:pStyle w:val="Compact"/>
        <w:numPr>
          <w:ilvl w:val="0"/>
          <w:numId w:val="1332"/>
        </w:numPr>
      </w:pPr>
      <w:r>
        <w:rPr>
          <w:b/>
          <w:bCs/>
        </w:rPr>
        <w:t xml:space="preserve">System-level assessment matters</w:t>
      </w:r>
      <w:r>
        <w:t xml:space="preserve">: A platform’s criticality exceeds the sum of its connected facilities</w:t>
      </w:r>
    </w:p>
    <w:p>
      <w:pPr>
        <w:sectPr>
          <w:footerReference w:type="first" r:id="rId13"/>
          <w:footerReference w:type="default" r:id="rId11"/>
          <w:footerReference w:type="even" r:id="rId10"/>
          <w:type w:val="nextPage"/>
        </w:sectPr>
      </w:pPr>
    </w:p>
    <w:bookmarkEnd w:id="505"/>
    <w:bookmarkEnd w:id="506"/>
    <w:bookmarkEnd w:id="507"/>
    <w:bookmarkStart w:id="537" w:name="X35f9207c733a724070b8f6e444fe25b32f2fb75"/>
    <w:p>
      <w:pPr>
        <w:pStyle w:val="Heading1"/>
      </w:pPr>
      <w:r>
        <w:t xml:space="preserve">CII Case Studies: Diagnostics, Pharma, and Biotech</w:t>
      </w:r>
    </w:p>
    <w:p>
      <w:pPr>
        <w:pStyle w:val="FirstParagraph"/>
      </w:pPr>
      <w:r>
        <w:t xml:space="preserve">This chapter presents case studies for</w:t>
      </w:r>
      <w:r>
        <w:t xml:space="preserve"> </w:t>
      </w:r>
      <w:r>
        <w:rPr>
          <w:b/>
          <w:bCs/>
        </w:rPr>
        <w:t xml:space="preserve">diagnostic services, pharmaceutical manufacturing, and biotechnology research</w:t>
      </w:r>
      <w:r>
        <w:t xml:space="preserve"> </w:t>
      </w:r>
      <w:r>
        <w:t xml:space="preserve">entities.</w:t>
      </w:r>
    </w:p>
    <w:p>
      <w:r>
        <w:pict>
          <v:rect style="width:0;height:1.5pt" o:hralign="center" o:hrstd="t" o:hr="t"/>
        </w:pict>
      </w:r>
    </w:p>
    <w:bookmarkStart w:id="513" w:name="X09838e89dd10bb65963c6858afd0ed806780099"/>
    <w:p>
      <w:pPr>
        <w:pStyle w:val="Heading2"/>
      </w:pPr>
      <w:r>
        <w:t xml:space="preserve">Case Study 1: Private Laboratory Chain -</w:t>
      </w:r>
      <w:r>
        <w:t xml:space="preserve"> </w:t>
      </w:r>
      <w:r>
        <w:t xml:space="preserve">“DiagnoFirst”</w:t>
      </w:r>
    </w:p>
    <w:bookmarkStart w:id="508" w:name="entity-profile-10"/>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DiagnoFirst Laboratory Network</w:t>
            </w:r>
          </w:p>
        </w:tc>
      </w:tr>
      <w:tr>
        <w:tc>
          <w:tcPr/>
          <w:p>
            <w:pPr>
              <w:pStyle w:val="Compact"/>
              <w:jc w:val="left"/>
            </w:pPr>
            <w:r>
              <w:rPr>
                <w:b/>
                <w:bCs/>
              </w:rPr>
              <w:t xml:space="preserve">Type</w:t>
            </w:r>
          </w:p>
        </w:tc>
        <w:tc>
          <w:tcPr/>
          <w:p>
            <w:pPr>
              <w:pStyle w:val="Compact"/>
              <w:jc w:val="left"/>
            </w:pPr>
            <w:r>
              <w:t xml:space="preserve">Private diagnostic laboratory chain</w:t>
            </w:r>
          </w:p>
        </w:tc>
      </w:tr>
      <w:tr>
        <w:tc>
          <w:tcPr/>
          <w:p>
            <w:pPr>
              <w:pStyle w:val="Compact"/>
              <w:jc w:val="left"/>
            </w:pPr>
            <w:r>
              <w:rPr>
                <w:b/>
                <w:bCs/>
              </w:rPr>
              <w:t xml:space="preserve">Coverage</w:t>
            </w:r>
          </w:p>
        </w:tc>
        <w:tc>
          <w:tcPr/>
          <w:p>
            <w:pPr>
              <w:pStyle w:val="Compact"/>
              <w:jc w:val="left"/>
            </w:pPr>
            <w:r>
              <w:t xml:space="preserve">500 collection centres; 25 processing labs</w:t>
            </w:r>
          </w:p>
        </w:tc>
      </w:tr>
      <w:tr>
        <w:tc>
          <w:tcPr/>
          <w:p>
            <w:pPr>
              <w:pStyle w:val="Compact"/>
              <w:jc w:val="left"/>
            </w:pPr>
            <w:r>
              <w:rPr>
                <w:b/>
                <w:bCs/>
              </w:rPr>
              <w:t xml:space="preserve">Tests performed</w:t>
            </w:r>
          </w:p>
        </w:tc>
        <w:tc>
          <w:tcPr/>
          <w:p>
            <w:pPr>
              <w:pStyle w:val="Compact"/>
              <w:jc w:val="left"/>
            </w:pPr>
            <w:r>
              <w:t xml:space="preserve">15 million per year</w:t>
            </w:r>
          </w:p>
        </w:tc>
      </w:tr>
      <w:tr>
        <w:tc>
          <w:tcPr/>
          <w:p>
            <w:pPr>
              <w:pStyle w:val="Compact"/>
              <w:jc w:val="left"/>
            </w:pPr>
            <w:r>
              <w:rPr>
                <w:b/>
                <w:bCs/>
              </w:rPr>
              <w:t xml:space="preserve">Employees</w:t>
            </w:r>
          </w:p>
        </w:tc>
        <w:tc>
          <w:tcPr/>
          <w:p>
            <w:pPr>
              <w:pStyle w:val="Compact"/>
              <w:jc w:val="left"/>
            </w:pPr>
            <w:r>
              <w:t xml:space="preserve">4,000</w:t>
            </w:r>
          </w:p>
        </w:tc>
      </w:tr>
      <w:tr>
        <w:tc>
          <w:tcPr/>
          <w:p>
            <w:pPr>
              <w:pStyle w:val="Compact"/>
              <w:jc w:val="left"/>
            </w:pPr>
            <w:r>
              <w:rPr>
                <w:b/>
                <w:bCs/>
              </w:rPr>
              <w:t xml:space="preserve">Key services</w:t>
            </w:r>
          </w:p>
        </w:tc>
        <w:tc>
          <w:tcPr/>
          <w:p>
            <w:pPr>
              <w:pStyle w:val="Compact"/>
              <w:jc w:val="left"/>
            </w:pPr>
            <w:r>
              <w:t xml:space="preserve">Pathology, radiology, molecular diagnostics</w:t>
            </w:r>
          </w:p>
        </w:tc>
      </w:tr>
      <w:tr>
        <w:tc>
          <w:tcPr/>
          <w:p>
            <w:pPr>
              <w:pStyle w:val="Compact"/>
              <w:jc w:val="left"/>
            </w:pPr>
            <w:r>
              <w:rPr>
                <w:b/>
                <w:bCs/>
              </w:rPr>
              <w:t xml:space="preserve">Digital systems</w:t>
            </w:r>
          </w:p>
        </w:tc>
        <w:tc>
          <w:tcPr/>
          <w:p>
            <w:pPr>
              <w:pStyle w:val="Compact"/>
              <w:jc w:val="left"/>
            </w:pPr>
            <w:r>
              <w:t xml:space="preserve">Centralized LIMS; patient portal; doctor portal</w:t>
            </w:r>
          </w:p>
        </w:tc>
      </w:tr>
      <w:tr>
        <w:tc>
          <w:tcPr/>
          <w:p>
            <w:pPr>
              <w:pStyle w:val="Compact"/>
              <w:jc w:val="left"/>
            </w:pPr>
            <w:r>
              <w:rPr>
                <w:b/>
                <w:bCs/>
              </w:rPr>
              <w:t xml:space="preserve">Integrations</w:t>
            </w:r>
          </w:p>
        </w:tc>
        <w:tc>
          <w:tcPr/>
          <w:p>
            <w:pPr>
              <w:pStyle w:val="Compact"/>
              <w:jc w:val="left"/>
            </w:pPr>
            <w:r>
              <w:t xml:space="preserve">Connected to 200+ hospitals; insurance platforms</w:t>
            </w:r>
          </w:p>
        </w:tc>
      </w:tr>
    </w:tbl>
    <w:bookmarkEnd w:id="508"/>
    <w:bookmarkStart w:id="510" w:name="cii-classification-assessment-10"/>
    <w:p>
      <w:pPr>
        <w:pStyle w:val="Heading3"/>
      </w:pPr>
      <w:r>
        <w:t xml:space="preserve">CII Classification Assessment</w:t>
      </w:r>
    </w:p>
    <w:bookmarkStart w:id="509" w:name="scoring-developing-country-framework-6"/>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15M tests/year (major national diagnostic player)</w:t>
            </w:r>
          </w:p>
        </w:tc>
        <w:tc>
          <w:tcPr/>
          <w:p>
            <w:pPr>
              <w:pStyle w:val="Compact"/>
              <w:jc w:val="center"/>
            </w:pPr>
            <w:r>
              <w:t xml:space="preserve">25</w:t>
            </w:r>
          </w:p>
        </w:tc>
      </w:tr>
      <w:tr>
        <w:tc>
          <w:tcPr/>
          <w:p>
            <w:pPr>
              <w:pStyle w:val="Compact"/>
              <w:jc w:val="left"/>
            </w:pPr>
            <w:r>
              <w:rPr>
                <w:b/>
                <w:bCs/>
              </w:rPr>
              <w:t xml:space="preserve">B. Capability</w:t>
            </w:r>
          </w:p>
        </w:tc>
        <w:tc>
          <w:tcPr/>
          <w:p>
            <w:pPr>
              <w:pStyle w:val="Compact"/>
              <w:jc w:val="left"/>
            </w:pPr>
            <w:r>
              <w:t xml:space="preserve">Reference laboratory for complex diagnostics</w:t>
            </w:r>
          </w:p>
        </w:tc>
        <w:tc>
          <w:tcPr/>
          <w:p>
            <w:pPr>
              <w:pStyle w:val="Compact"/>
              <w:jc w:val="center"/>
            </w:pPr>
            <w:r>
              <w:t xml:space="preserve">15</w:t>
            </w:r>
          </w:p>
        </w:tc>
      </w:tr>
      <w:tr>
        <w:tc>
          <w:tcPr/>
          <w:p>
            <w:pPr>
              <w:pStyle w:val="Compact"/>
              <w:jc w:val="left"/>
            </w:pPr>
            <w:r>
              <w:rPr>
                <w:b/>
                <w:bCs/>
              </w:rPr>
              <w:t xml:space="preserve">C. Geographic Criticality</w:t>
            </w:r>
          </w:p>
        </w:tc>
        <w:tc>
          <w:tcPr/>
          <w:p>
            <w:pPr>
              <w:pStyle w:val="Compact"/>
              <w:jc w:val="left"/>
            </w:pPr>
            <w:r>
              <w:t xml:space="preserve">Alternative labs available in most areas</w:t>
            </w:r>
          </w:p>
        </w:tc>
        <w:tc>
          <w:tcPr/>
          <w:p>
            <w:pPr>
              <w:pStyle w:val="Compact"/>
              <w:jc w:val="center"/>
            </w:pPr>
            <w:r>
              <w:t xml:space="preserve">5</w:t>
            </w:r>
          </w:p>
        </w:tc>
      </w:tr>
      <w:tr>
        <w:tc>
          <w:tcPr/>
          <w:p>
            <w:pPr>
              <w:pStyle w:val="Compact"/>
              <w:jc w:val="left"/>
            </w:pPr>
            <w:r>
              <w:rPr>
                <w:b/>
                <w:bCs/>
              </w:rPr>
              <w:t xml:space="preserve">D. National Program Integration</w:t>
            </w:r>
          </w:p>
        </w:tc>
        <w:tc>
          <w:tcPr/>
          <w:p>
            <w:pPr>
              <w:pStyle w:val="Compact"/>
              <w:jc w:val="left"/>
            </w:pPr>
            <w:r>
              <w:t xml:space="preserve">Disease surveillance contributor; insurance linked</w:t>
            </w:r>
          </w:p>
        </w:tc>
        <w:tc>
          <w:tcPr/>
          <w:p>
            <w:pPr>
              <w:pStyle w:val="Compact"/>
              <w:jc w:val="center"/>
            </w:pPr>
            <w:r>
              <w:t xml:space="preserve">15</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60</w:t>
            </w:r>
          </w:p>
        </w:tc>
      </w:tr>
    </w:tbl>
    <w:bookmarkEnd w:id="509"/>
    <w:bookmarkEnd w:id="510"/>
    <w:bookmarkStart w:id="511" w:name="classification-result-10"/>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60</w:t>
            </w:r>
          </w:p>
        </w:tc>
        <w:tc>
          <w:tcPr/>
          <w:p>
            <w:pPr>
              <w:pStyle w:val="Compact"/>
              <w:jc w:val="left"/>
            </w:pPr>
            <w:r>
              <w:rPr>
                <w:b/>
                <w:bCs/>
              </w:rPr>
              <w:t xml:space="preserve">Tier 1 (Essential)</w:t>
            </w:r>
          </w:p>
        </w:tc>
        <w:tc>
          <w:tcPr/>
          <w:p>
            <w:pPr>
              <w:pStyle w:val="Compact"/>
              <w:jc w:val="left"/>
            </w:pPr>
            <w:r>
              <w:t xml:space="preserve">Major diagnostic infrastructure; disease surveillance role</w:t>
            </w:r>
          </w:p>
        </w:tc>
      </w:tr>
    </w:tbl>
    <w:bookmarkEnd w:id="511"/>
    <w:bookmarkStart w:id="512" w:name="applicable-obligations-7"/>
    <w:p>
      <w:pPr>
        <w:pStyle w:val="Heading3"/>
      </w:pPr>
      <w:r>
        <w:t xml:space="preserve">Applicable Obligations</w:t>
      </w:r>
    </w:p>
    <w:p>
      <w:pPr>
        <w:pStyle w:val="Compact"/>
        <w:numPr>
          <w:ilvl w:val="0"/>
          <w:numId w:val="1333"/>
        </w:numPr>
      </w:pPr>
      <w:r>
        <w:t xml:space="preserve">Group CISO for network</w:t>
      </w:r>
    </w:p>
    <w:p>
      <w:pPr>
        <w:pStyle w:val="Compact"/>
        <w:numPr>
          <w:ilvl w:val="0"/>
          <w:numId w:val="1333"/>
        </w:numPr>
      </w:pPr>
      <w:r>
        <w:t xml:space="preserve">Annual audit of centralized LIMS</w:t>
      </w:r>
    </w:p>
    <w:p>
      <w:pPr>
        <w:pStyle w:val="Compact"/>
        <w:numPr>
          <w:ilvl w:val="0"/>
          <w:numId w:val="1333"/>
        </w:numPr>
      </w:pPr>
      <w:r>
        <w:t xml:space="preserve">24-48 hour incident reporting</w:t>
      </w:r>
    </w:p>
    <w:p>
      <w:pPr>
        <w:pStyle w:val="Compact"/>
        <w:numPr>
          <w:ilvl w:val="0"/>
          <w:numId w:val="1333"/>
        </w:numPr>
      </w:pPr>
      <w:r>
        <w:t xml:space="preserve">Supply chain security for IT vendors</w:t>
      </w:r>
    </w:p>
    <w:p>
      <w:pPr>
        <w:pStyle w:val="Compact"/>
        <w:numPr>
          <w:ilvl w:val="0"/>
          <w:numId w:val="1333"/>
        </w:numPr>
      </w:pPr>
      <w:r>
        <w:t xml:space="preserve">Data protection compliance (patient reports)</w:t>
      </w:r>
    </w:p>
    <w:p>
      <w:r>
        <w:pict>
          <v:rect style="width:0;height:1.5pt" o:hralign="center" o:hrstd="t" o:hr="t"/>
        </w:pict>
      </w:r>
    </w:p>
    <w:bookmarkEnd w:id="512"/>
    <w:bookmarkEnd w:id="513"/>
    <w:bookmarkStart w:id="520" w:name="X7f5486383a841a19fd58af5181afede91d4ced0"/>
    <w:p>
      <w:pPr>
        <w:pStyle w:val="Heading2"/>
      </w:pPr>
      <w:r>
        <w:t xml:space="preserve">Case Study 2: Genomic Sequencing Laboratory -</w:t>
      </w:r>
      <w:r>
        <w:t xml:space="preserve"> </w:t>
      </w:r>
      <w:r>
        <w:t xml:space="preserve">“GenomeIndia Labs”</w:t>
      </w:r>
    </w:p>
    <w:bookmarkStart w:id="514" w:name="entity-profile-11"/>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GenomeIndia Labs</w:t>
            </w:r>
          </w:p>
        </w:tc>
      </w:tr>
      <w:tr>
        <w:tc>
          <w:tcPr/>
          <w:p>
            <w:pPr>
              <w:pStyle w:val="Compact"/>
              <w:jc w:val="left"/>
            </w:pPr>
            <w:r>
              <w:rPr>
                <w:b/>
                <w:bCs/>
              </w:rPr>
              <w:t xml:space="preserve">Type</w:t>
            </w:r>
          </w:p>
        </w:tc>
        <w:tc>
          <w:tcPr/>
          <w:p>
            <w:pPr>
              <w:pStyle w:val="Compact"/>
              <w:jc w:val="left"/>
            </w:pPr>
            <w:r>
              <w:t xml:space="preserve">Genomic sequencing and analysis laboratory</w:t>
            </w:r>
          </w:p>
        </w:tc>
      </w:tr>
      <w:tr>
        <w:tc>
          <w:tcPr/>
          <w:p>
            <w:pPr>
              <w:pStyle w:val="Compact"/>
              <w:jc w:val="left"/>
            </w:pPr>
            <w:r>
              <w:rPr>
                <w:b/>
                <w:bCs/>
              </w:rPr>
              <w:t xml:space="preserve">Operator</w:t>
            </w:r>
          </w:p>
        </w:tc>
        <w:tc>
          <w:tcPr/>
          <w:p>
            <w:pPr>
              <w:pStyle w:val="Compact"/>
              <w:jc w:val="left"/>
            </w:pPr>
            <w:r>
              <w:t xml:space="preserve">Public-private partnership (government + research institute)</w:t>
            </w:r>
          </w:p>
        </w:tc>
      </w:tr>
      <w:tr>
        <w:tc>
          <w:tcPr/>
          <w:p>
            <w:pPr>
              <w:pStyle w:val="Compact"/>
              <w:jc w:val="left"/>
            </w:pPr>
            <w:r>
              <w:rPr>
                <w:b/>
                <w:bCs/>
              </w:rPr>
              <w:t xml:space="preserve">Capacity</w:t>
            </w:r>
          </w:p>
        </w:tc>
        <w:tc>
          <w:tcPr/>
          <w:p>
            <w:pPr>
              <w:pStyle w:val="Compact"/>
              <w:jc w:val="left"/>
            </w:pPr>
            <w:r>
              <w:t xml:space="preserve">500,000 whole genome sequences/year</w:t>
            </w:r>
          </w:p>
        </w:tc>
      </w:tr>
      <w:tr>
        <w:tc>
          <w:tcPr/>
          <w:p>
            <w:pPr>
              <w:pStyle w:val="Compact"/>
              <w:jc w:val="left"/>
            </w:pPr>
            <w:r>
              <w:rPr>
                <w:b/>
                <w:bCs/>
              </w:rPr>
              <w:t xml:space="preserve">Data holdings</w:t>
            </w:r>
          </w:p>
        </w:tc>
        <w:tc>
          <w:tcPr/>
          <w:p>
            <w:pPr>
              <w:pStyle w:val="Compact"/>
              <w:jc w:val="left"/>
            </w:pPr>
            <w:r>
              <w:t xml:space="preserve">2 million genomic sequences (national population diversity project)</w:t>
            </w:r>
          </w:p>
        </w:tc>
      </w:tr>
      <w:tr>
        <w:tc>
          <w:tcPr/>
          <w:p>
            <w:pPr>
              <w:pStyle w:val="Compact"/>
              <w:jc w:val="left"/>
            </w:pPr>
            <w:r>
              <w:rPr>
                <w:b/>
                <w:bCs/>
              </w:rPr>
              <w:t xml:space="preserve">Services</w:t>
            </w:r>
          </w:p>
        </w:tc>
        <w:tc>
          <w:tcPr/>
          <w:p>
            <w:pPr>
              <w:pStyle w:val="Compact"/>
              <w:jc w:val="left"/>
            </w:pPr>
            <w:r>
              <w:t xml:space="preserve">Clinical genomics, research sequencing, population genomics</w:t>
            </w:r>
          </w:p>
        </w:tc>
      </w:tr>
      <w:tr>
        <w:tc>
          <w:tcPr/>
          <w:p>
            <w:pPr>
              <w:pStyle w:val="Compact"/>
              <w:jc w:val="left"/>
            </w:pPr>
            <w:r>
              <w:rPr>
                <w:b/>
                <w:bCs/>
              </w:rPr>
              <w:t xml:space="preserve">Key infrastructure</w:t>
            </w:r>
          </w:p>
        </w:tc>
        <w:tc>
          <w:tcPr/>
          <w:p>
            <w:pPr>
              <w:pStyle w:val="Compact"/>
              <w:jc w:val="left"/>
            </w:pPr>
            <w:r>
              <w:t xml:space="preserve">High-performance computing cluster; petabyte-scale storage</w:t>
            </w:r>
          </w:p>
        </w:tc>
      </w:tr>
      <w:tr>
        <w:tc>
          <w:tcPr/>
          <w:p>
            <w:pPr>
              <w:pStyle w:val="Compact"/>
              <w:jc w:val="left"/>
            </w:pPr>
            <w:r>
              <w:rPr>
                <w:b/>
                <w:bCs/>
              </w:rPr>
              <w:t xml:space="preserve">Integrations</w:t>
            </w:r>
          </w:p>
        </w:tc>
        <w:tc>
          <w:tcPr/>
          <w:p>
            <w:pPr>
              <w:pStyle w:val="Compact"/>
              <w:jc w:val="left"/>
            </w:pPr>
            <w:r>
              <w:t xml:space="preserve">Connected to national biobank, cancer registry, rare disease network</w:t>
            </w:r>
          </w:p>
        </w:tc>
      </w:tr>
      <w:tr>
        <w:tc>
          <w:tcPr/>
          <w:p>
            <w:pPr>
              <w:pStyle w:val="Compact"/>
              <w:jc w:val="left"/>
            </w:pPr>
            <w:r>
              <w:rPr>
                <w:b/>
                <w:bCs/>
              </w:rPr>
              <w:t xml:space="preserve">Special consideration</w:t>
            </w:r>
          </w:p>
        </w:tc>
        <w:tc>
          <w:tcPr/>
          <w:p>
            <w:pPr>
              <w:pStyle w:val="Compact"/>
              <w:jc w:val="left"/>
            </w:pPr>
            <w:r>
              <w:rPr>
                <w:b/>
                <w:bCs/>
              </w:rPr>
              <w:t xml:space="preserve">National population genomic data asset</w:t>
            </w:r>
          </w:p>
        </w:tc>
      </w:tr>
    </w:tbl>
    <w:bookmarkEnd w:id="514"/>
    <w:bookmarkStart w:id="517" w:name="cii-classification-assessment-11"/>
    <w:p>
      <w:pPr>
        <w:pStyle w:val="Heading3"/>
      </w:pPr>
      <w:r>
        <w:t xml:space="preserve">CII Classification Assessment</w:t>
      </w:r>
    </w:p>
    <w:bookmarkStart w:id="515" w:name="key-risk-factors-3"/>
    <w:p>
      <w:pPr>
        <w:pStyle w:val="Heading4"/>
      </w:pPr>
      <w:r>
        <w:t xml:space="preserve">Key Risk Factors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Data uniqueness</w:t>
            </w:r>
          </w:p>
        </w:tc>
        <w:tc>
          <w:tcPr/>
          <w:p>
            <w:pPr>
              <w:pStyle w:val="Compact"/>
              <w:jc w:val="left"/>
            </w:pPr>
            <w:r>
              <w:t xml:space="preserve">Population-representative genomic data is irreplaceable national asset</w:t>
            </w:r>
          </w:p>
        </w:tc>
      </w:tr>
      <w:tr>
        <w:tc>
          <w:tcPr/>
          <w:p>
            <w:pPr>
              <w:pStyle w:val="Compact"/>
              <w:jc w:val="left"/>
            </w:pPr>
            <w:r>
              <w:rPr>
                <w:b/>
                <w:bCs/>
              </w:rPr>
              <w:t xml:space="preserve">Sensitivity</w:t>
            </w:r>
          </w:p>
        </w:tc>
        <w:tc>
          <w:tcPr/>
          <w:p>
            <w:pPr>
              <w:pStyle w:val="Compact"/>
              <w:jc w:val="left"/>
            </w:pPr>
            <w:r>
              <w:t xml:space="preserve">Genomic data is uniquely identifying and immutable</w:t>
            </w:r>
          </w:p>
        </w:tc>
      </w:tr>
      <w:tr>
        <w:tc>
          <w:tcPr/>
          <w:p>
            <w:pPr>
              <w:pStyle w:val="Compact"/>
              <w:jc w:val="left"/>
            </w:pPr>
            <w:r>
              <w:rPr>
                <w:b/>
                <w:bCs/>
              </w:rPr>
              <w:t xml:space="preserve">Research value</w:t>
            </w:r>
          </w:p>
        </w:tc>
        <w:tc>
          <w:tcPr/>
          <w:p>
            <w:pPr>
              <w:pStyle w:val="Compact"/>
              <w:jc w:val="left"/>
            </w:pPr>
            <w:r>
              <w:t xml:space="preserve">Supports drug development, disease research, personalized medicine</w:t>
            </w:r>
          </w:p>
        </w:tc>
      </w:tr>
      <w:tr>
        <w:tc>
          <w:tcPr/>
          <w:p>
            <w:pPr>
              <w:pStyle w:val="Compact"/>
              <w:jc w:val="left"/>
            </w:pPr>
            <w:r>
              <w:rPr>
                <w:b/>
                <w:bCs/>
              </w:rPr>
              <w:t xml:space="preserve">Sovereignty concern</w:t>
            </w:r>
          </w:p>
        </w:tc>
        <w:tc>
          <w:tcPr/>
          <w:p>
            <w:pPr>
              <w:pStyle w:val="Compact"/>
              <w:jc w:val="left"/>
            </w:pPr>
            <w:r>
              <w:t xml:space="preserve">Foreign access to population genomics is national security issue</w:t>
            </w:r>
          </w:p>
        </w:tc>
      </w:tr>
      <w:tr>
        <w:tc>
          <w:tcPr/>
          <w:p>
            <w:pPr>
              <w:pStyle w:val="Compact"/>
              <w:jc w:val="left"/>
            </w:pPr>
            <w:r>
              <w:rPr>
                <w:b/>
                <w:bCs/>
              </w:rPr>
              <w:t xml:space="preserve">Re-identification risk</w:t>
            </w:r>
          </w:p>
        </w:tc>
        <w:tc>
          <w:tcPr/>
          <w:p>
            <w:pPr>
              <w:pStyle w:val="Compact"/>
              <w:jc w:val="left"/>
            </w:pPr>
            <w:r>
              <w:t xml:space="preserve">Genomic data cannot be truly anonymized</w:t>
            </w:r>
          </w:p>
        </w:tc>
      </w:tr>
    </w:tbl>
    <w:bookmarkEnd w:id="515"/>
    <w:bookmarkStart w:id="516" w:name="scoring-developing-country-framework-7"/>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Data Uniqueness</w:t>
            </w:r>
          </w:p>
        </w:tc>
        <w:tc>
          <w:tcPr/>
          <w:p>
            <w:pPr>
              <w:pStyle w:val="Compact"/>
              <w:jc w:val="left"/>
            </w:pPr>
            <w:r>
              <w:t xml:space="preserve">2M population genomic sequences (irreplaceable)</w:t>
            </w:r>
          </w:p>
        </w:tc>
        <w:tc>
          <w:tcPr/>
          <w:p>
            <w:pPr>
              <w:pStyle w:val="Compact"/>
              <w:jc w:val="center"/>
            </w:pPr>
            <w:r>
              <w:t xml:space="preserve">30</w:t>
            </w:r>
          </w:p>
        </w:tc>
      </w:tr>
      <w:tr>
        <w:tc>
          <w:tcPr/>
          <w:p>
            <w:pPr>
              <w:pStyle w:val="Compact"/>
              <w:jc w:val="left"/>
            </w:pPr>
            <w:r>
              <w:rPr>
                <w:b/>
                <w:bCs/>
              </w:rPr>
              <w:t xml:space="preserve">B. Data Sensitivity</w:t>
            </w:r>
          </w:p>
        </w:tc>
        <w:tc>
          <w:tcPr/>
          <w:p>
            <w:pPr>
              <w:pStyle w:val="Compact"/>
              <w:jc w:val="left"/>
            </w:pPr>
            <w:r>
              <w:t xml:space="preserve">Genomic data (highest sensitivity health data)</w:t>
            </w:r>
          </w:p>
        </w:tc>
        <w:tc>
          <w:tcPr/>
          <w:p>
            <w:pPr>
              <w:pStyle w:val="Compact"/>
              <w:jc w:val="center"/>
            </w:pPr>
            <w:r>
              <w:t xml:space="preserve">25</w:t>
            </w:r>
          </w:p>
        </w:tc>
      </w:tr>
      <w:tr>
        <w:tc>
          <w:tcPr/>
          <w:p>
            <w:pPr>
              <w:pStyle w:val="Compact"/>
              <w:jc w:val="left"/>
            </w:pPr>
            <w:r>
              <w:rPr>
                <w:b/>
                <w:bCs/>
              </w:rPr>
              <w:t xml:space="preserve">C. National Strategic Value</w:t>
            </w:r>
          </w:p>
        </w:tc>
        <w:tc>
          <w:tcPr/>
          <w:p>
            <w:pPr>
              <w:pStyle w:val="Compact"/>
              <w:jc w:val="left"/>
            </w:pPr>
            <w:r>
              <w:t xml:space="preserve">Population genomics as national asset</w:t>
            </w:r>
          </w:p>
        </w:tc>
        <w:tc>
          <w:tcPr/>
          <w:p>
            <w:pPr>
              <w:pStyle w:val="Compact"/>
              <w:jc w:val="center"/>
            </w:pPr>
            <w:r>
              <w:t xml:space="preserve">20</w:t>
            </w:r>
          </w:p>
        </w:tc>
      </w:tr>
      <w:tr>
        <w:tc>
          <w:tcPr/>
          <w:p>
            <w:pPr>
              <w:pStyle w:val="Compact"/>
              <w:jc w:val="left"/>
            </w:pPr>
            <w:r>
              <w:rPr>
                <w:b/>
                <w:bCs/>
              </w:rPr>
              <w:t xml:space="preserve">D. Research Infrastructure</w:t>
            </w:r>
          </w:p>
        </w:tc>
        <w:tc>
          <w:tcPr/>
          <w:p>
            <w:pPr>
              <w:pStyle w:val="Compact"/>
              <w:jc w:val="left"/>
            </w:pPr>
            <w:r>
              <w:t xml:space="preserve">Supports national health research ecosystem</w:t>
            </w:r>
          </w:p>
        </w:tc>
        <w:tc>
          <w:tcPr/>
          <w:p>
            <w:pPr>
              <w:pStyle w:val="Compact"/>
              <w:jc w:val="center"/>
            </w:pPr>
            <w:r>
              <w:t xml:space="preserve">10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85</w:t>
            </w:r>
          </w:p>
        </w:tc>
      </w:tr>
    </w:tbl>
    <w:bookmarkEnd w:id="516"/>
    <w:bookmarkEnd w:id="517"/>
    <w:bookmarkStart w:id="518" w:name="classification-result-11"/>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85</w:t>
            </w:r>
          </w:p>
        </w:tc>
        <w:tc>
          <w:tcPr/>
          <w:p>
            <w:pPr>
              <w:pStyle w:val="Compact"/>
              <w:jc w:val="left"/>
            </w:pPr>
            <w:r>
              <w:rPr>
                <w:b/>
                <w:bCs/>
              </w:rPr>
              <w:t xml:space="preserve">Tier 1 (Essential)</w:t>
            </w:r>
          </w:p>
        </w:tc>
        <w:tc>
          <w:tcPr/>
          <w:p>
            <w:pPr>
              <w:pStyle w:val="Compact"/>
              <w:jc w:val="left"/>
            </w:pPr>
            <w:r>
              <w:t xml:space="preserve">National genomic data asset; highest sensitivity data type</w:t>
            </w:r>
          </w:p>
        </w:tc>
      </w:tr>
    </w:tbl>
    <w:p>
      <w:pPr>
        <w:pStyle w:val="BlockText"/>
      </w:pPr>
      <w:r>
        <w:t xml:space="preserve">[!CAUTION]</w:t>
      </w:r>
      <w:r>
        <w:t xml:space="preserve"> </w:t>
      </w:r>
      <w:r>
        <w:t xml:space="preserve">Genomic data presents</w:t>
      </w:r>
      <w:r>
        <w:t xml:space="preserve"> </w:t>
      </w:r>
      <w:r>
        <w:rPr>
          <w:b/>
          <w:bCs/>
        </w:rPr>
        <w:t xml:space="preserve">unique risks</w:t>
      </w:r>
      <w:r>
        <w:t xml:space="preserve"> </w:t>
      </w:r>
      <w:r>
        <w:t xml:space="preserve">not fully captured by traditional health data frameworks. It is permanently identifying, affects biological relatives, and has sovereignty implications. Jurisdictions should consider</w:t>
      </w:r>
      <w:r>
        <w:t xml:space="preserve"> </w:t>
      </w:r>
      <w:r>
        <w:rPr>
          <w:b/>
          <w:bCs/>
        </w:rPr>
        <w:t xml:space="preserve">genomic-specific CII criteria</w:t>
      </w:r>
      <w:r>
        <w:t xml:space="preserve">.</w:t>
      </w:r>
    </w:p>
    <w:bookmarkEnd w:id="518"/>
    <w:bookmarkStart w:id="519" w:name="applicable-obligations-8"/>
    <w:p>
      <w:pPr>
        <w:pStyle w:val="Heading3"/>
      </w:pPr>
      <w:r>
        <w:t xml:space="preserve">Applicable Obligations</w:t>
      </w:r>
    </w:p>
    <w:p>
      <w:pPr>
        <w:pStyle w:val="Compact"/>
        <w:numPr>
          <w:ilvl w:val="0"/>
          <w:numId w:val="1334"/>
        </w:numPr>
      </w:pPr>
      <w:r>
        <w:t xml:space="preserve">Dedicated CISO with research data security expertise</w:t>
      </w:r>
    </w:p>
    <w:p>
      <w:pPr>
        <w:pStyle w:val="Compact"/>
        <w:numPr>
          <w:ilvl w:val="0"/>
          <w:numId w:val="1334"/>
        </w:numPr>
      </w:pPr>
      <w:r>
        <w:t xml:space="preserve">Annual third-party audit including HPC infrastructure</w:t>
      </w:r>
    </w:p>
    <w:p>
      <w:pPr>
        <w:pStyle w:val="Compact"/>
        <w:numPr>
          <w:ilvl w:val="0"/>
          <w:numId w:val="1334"/>
        </w:numPr>
      </w:pPr>
      <w:r>
        <w:t xml:space="preserve">24-hour incident reporting for any data exfiltration</w:t>
      </w:r>
    </w:p>
    <w:p>
      <w:pPr>
        <w:pStyle w:val="Compact"/>
        <w:numPr>
          <w:ilvl w:val="0"/>
          <w:numId w:val="1334"/>
        </w:numPr>
      </w:pPr>
      <w:r>
        <w:t xml:space="preserve">Access control: Tiered researcher access with approval workflow</w:t>
      </w:r>
    </w:p>
    <w:p>
      <w:pPr>
        <w:pStyle w:val="Compact"/>
        <w:numPr>
          <w:ilvl w:val="0"/>
          <w:numId w:val="1334"/>
        </w:numPr>
      </w:pPr>
      <w:r>
        <w:t xml:space="preserve">Data sovereignty: No unauthorized cross-border transfer</w:t>
      </w:r>
    </w:p>
    <w:p>
      <w:pPr>
        <w:pStyle w:val="Compact"/>
        <w:numPr>
          <w:ilvl w:val="0"/>
          <w:numId w:val="1334"/>
        </w:numPr>
      </w:pPr>
      <w:r>
        <w:t xml:space="preserve">Encryption: At-rest and in-transit for all genomic data</w:t>
      </w:r>
    </w:p>
    <w:p>
      <w:pPr>
        <w:pStyle w:val="Compact"/>
        <w:numPr>
          <w:ilvl w:val="0"/>
          <w:numId w:val="1334"/>
        </w:numPr>
      </w:pPr>
      <w:r>
        <w:t xml:space="preserve">Consent management audit</w:t>
      </w:r>
    </w:p>
    <w:p>
      <w:pPr>
        <w:pStyle w:val="Compact"/>
        <w:numPr>
          <w:ilvl w:val="0"/>
          <w:numId w:val="1334"/>
        </w:numPr>
      </w:pPr>
      <w:r>
        <w:t xml:space="preserve">International collaboration review (data sharing agreements)</w:t>
      </w:r>
    </w:p>
    <w:p>
      <w:r>
        <w:pict>
          <v:rect style="width:0;height:1.5pt" o:hralign="center" o:hrstd="t" o:hr="t"/>
        </w:pict>
      </w:r>
    </w:p>
    <w:bookmarkEnd w:id="519"/>
    <w:bookmarkEnd w:id="520"/>
    <w:bookmarkStart w:id="527" w:name="X1f5d3ac1841b0f933345c6c560fd2371a3e4023"/>
    <w:p>
      <w:pPr>
        <w:pStyle w:val="Heading2"/>
      </w:pPr>
      <w:r>
        <w:t xml:space="preserve">Case Study 3: Vaccine Manufacturer -</w:t>
      </w:r>
      <w:r>
        <w:t xml:space="preserve"> </w:t>
      </w:r>
      <w:r>
        <w:t xml:space="preserve">“BioShield Pharma”</w:t>
      </w:r>
    </w:p>
    <w:bookmarkStart w:id="521" w:name="entity-profile-12"/>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BioShield Pharma Ltd.</w:t>
            </w:r>
          </w:p>
        </w:tc>
      </w:tr>
      <w:tr>
        <w:tc>
          <w:tcPr/>
          <w:p>
            <w:pPr>
              <w:pStyle w:val="Compact"/>
              <w:jc w:val="left"/>
            </w:pPr>
            <w:r>
              <w:rPr>
                <w:b/>
                <w:bCs/>
              </w:rPr>
              <w:t xml:space="preserve">Type</w:t>
            </w:r>
          </w:p>
        </w:tc>
        <w:tc>
          <w:tcPr/>
          <w:p>
            <w:pPr>
              <w:pStyle w:val="Compact"/>
              <w:jc w:val="left"/>
            </w:pPr>
            <w:r>
              <w:t xml:space="preserve">Vaccine and biologics manufacturer</w:t>
            </w:r>
          </w:p>
        </w:tc>
      </w:tr>
      <w:tr>
        <w:tc>
          <w:tcPr/>
          <w:p>
            <w:pPr>
              <w:pStyle w:val="Compact"/>
              <w:jc w:val="left"/>
            </w:pPr>
            <w:r>
              <w:rPr>
                <w:b/>
                <w:bCs/>
              </w:rPr>
              <w:t xml:space="preserve">Products</w:t>
            </w:r>
          </w:p>
        </w:tc>
        <w:tc>
          <w:tcPr/>
          <w:p>
            <w:pPr>
              <w:pStyle w:val="Compact"/>
              <w:jc w:val="left"/>
            </w:pPr>
            <w:r>
              <w:t xml:space="preserve">12 vaccines in portfolio (including childhood immunization, COVID-19)</w:t>
            </w:r>
          </w:p>
        </w:tc>
      </w:tr>
      <w:tr>
        <w:tc>
          <w:tcPr/>
          <w:p>
            <w:pPr>
              <w:pStyle w:val="Compact"/>
              <w:jc w:val="left"/>
            </w:pPr>
            <w:r>
              <w:rPr>
                <w:b/>
                <w:bCs/>
              </w:rPr>
              <w:t xml:space="preserve">Production capacity</w:t>
            </w:r>
          </w:p>
        </w:tc>
        <w:tc>
          <w:tcPr/>
          <w:p>
            <w:pPr>
              <w:pStyle w:val="Compact"/>
              <w:jc w:val="left"/>
            </w:pPr>
            <w:r>
              <w:t xml:space="preserve">500 million doses/year</w:t>
            </w:r>
          </w:p>
        </w:tc>
      </w:tr>
      <w:tr>
        <w:tc>
          <w:tcPr/>
          <w:p>
            <w:pPr>
              <w:pStyle w:val="Compact"/>
              <w:jc w:val="left"/>
            </w:pPr>
            <w:r>
              <w:rPr>
                <w:b/>
                <w:bCs/>
              </w:rPr>
              <w:t xml:space="preserve">Market share</w:t>
            </w:r>
          </w:p>
        </w:tc>
        <w:tc>
          <w:tcPr/>
          <w:p>
            <w:pPr>
              <w:pStyle w:val="Compact"/>
              <w:jc w:val="left"/>
            </w:pPr>
            <w:r>
              <w:t xml:space="preserve">35% of national vaccine supply; exports to 40 countries</w:t>
            </w:r>
          </w:p>
        </w:tc>
      </w:tr>
      <w:tr>
        <w:tc>
          <w:tcPr/>
          <w:p>
            <w:pPr>
              <w:pStyle w:val="Compact"/>
              <w:jc w:val="left"/>
            </w:pPr>
            <w:r>
              <w:rPr>
                <w:b/>
                <w:bCs/>
              </w:rPr>
              <w:t xml:space="preserve">Employees</w:t>
            </w:r>
          </w:p>
        </w:tc>
        <w:tc>
          <w:tcPr/>
          <w:p>
            <w:pPr>
              <w:pStyle w:val="Compact"/>
              <w:jc w:val="left"/>
            </w:pPr>
            <w:r>
              <w:t xml:space="preserve">8,000</w:t>
            </w:r>
          </w:p>
        </w:tc>
      </w:tr>
      <w:tr>
        <w:tc>
          <w:tcPr/>
          <w:p>
            <w:pPr>
              <w:pStyle w:val="Compact"/>
              <w:jc w:val="left"/>
            </w:pPr>
            <w:r>
              <w:rPr>
                <w:b/>
                <w:bCs/>
              </w:rPr>
              <w:t xml:space="preserve">Key systems</w:t>
            </w:r>
          </w:p>
        </w:tc>
        <w:tc>
          <w:tcPr/>
          <w:p>
            <w:pPr>
              <w:pStyle w:val="Compact"/>
              <w:jc w:val="left"/>
            </w:pPr>
            <w:r>
              <w:t xml:space="preserve">Manufacturing Execution System (MES), Quality Management System (QMS), Cold chain monitoring, Batch release systems</w:t>
            </w:r>
          </w:p>
        </w:tc>
      </w:tr>
      <w:tr>
        <w:tc>
          <w:tcPr/>
          <w:p>
            <w:pPr>
              <w:pStyle w:val="Compact"/>
              <w:jc w:val="left"/>
            </w:pPr>
            <w:r>
              <w:rPr>
                <w:b/>
                <w:bCs/>
              </w:rPr>
              <w:t xml:space="preserve">Regulatory status</w:t>
            </w:r>
          </w:p>
        </w:tc>
        <w:tc>
          <w:tcPr/>
          <w:p>
            <w:pPr>
              <w:pStyle w:val="Compact"/>
              <w:jc w:val="left"/>
            </w:pPr>
            <w:r>
              <w:t xml:space="preserve">WHO prequalified; national regulatory authority licensed</w:t>
            </w:r>
          </w:p>
        </w:tc>
      </w:tr>
      <w:tr>
        <w:tc>
          <w:tcPr/>
          <w:p>
            <w:pPr>
              <w:pStyle w:val="Compact"/>
              <w:jc w:val="left"/>
            </w:pPr>
            <w:r>
              <w:rPr>
                <w:b/>
                <w:bCs/>
              </w:rPr>
              <w:t xml:space="preserve">Special consideration</w:t>
            </w:r>
          </w:p>
        </w:tc>
        <w:tc>
          <w:tcPr/>
          <w:p>
            <w:pPr>
              <w:pStyle w:val="Compact"/>
              <w:jc w:val="left"/>
            </w:pPr>
            <w:r>
              <w:rPr>
                <w:b/>
                <w:bCs/>
              </w:rPr>
              <w:t xml:space="preserve">Critical to national immunization program</w:t>
            </w:r>
          </w:p>
        </w:tc>
      </w:tr>
    </w:tbl>
    <w:bookmarkEnd w:id="521"/>
    <w:bookmarkStart w:id="524" w:name="cii-classification-assessment-12"/>
    <w:p>
      <w:pPr>
        <w:pStyle w:val="Heading3"/>
      </w:pPr>
      <w:r>
        <w:t xml:space="preserve">CII Classification Assessment</w:t>
      </w:r>
    </w:p>
    <w:bookmarkStart w:id="522" w:name="automatic-tier-1-trigger-analysis-1"/>
    <w:p>
      <w:pPr>
        <w:pStyle w:val="Heading4"/>
      </w:pPr>
      <w:r>
        <w:t xml:space="preserve">Automatic Tier 1 Trigger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“Regardless of Size”</w:t>
            </w:r>
            <w:r>
              <w:t xml:space="preserve"> </w:t>
            </w:r>
            <w:r>
              <w:t xml:space="preserve">Criterion</w:t>
            </w:r>
          </w:p>
        </w:tc>
        <w:tc>
          <w:tcPr/>
          <w:p>
            <w:pPr>
              <w:pStyle w:val="Compact"/>
              <w:jc w:val="center"/>
            </w:pPr>
            <w:r>
              <w:t xml:space="preserve">Applies?</w:t>
            </w:r>
          </w:p>
        </w:tc>
      </w:tr>
      <w:tr>
        <w:tc>
          <w:tcPr/>
          <w:p>
            <w:pPr>
              <w:pStyle w:val="Compact"/>
              <w:jc w:val="left"/>
            </w:pPr>
            <w:r>
              <w:t xml:space="preserve">Critical to national immunization infrastructure</w:t>
            </w:r>
          </w:p>
        </w:tc>
        <w:tc>
          <w:tcPr/>
          <w:p>
            <w:pPr>
              <w:pStyle w:val="Compact"/>
              <w:jc w:val="center"/>
            </w:pPr>
            <w:r>
              <w:t xml:space="preserve">✓</w:t>
            </w:r>
          </w:p>
        </w:tc>
      </w:tr>
      <w:tr>
        <w:tc>
          <w:tcPr/>
          <w:p>
            <w:pPr>
              <w:pStyle w:val="Compact"/>
              <w:jc w:val="left"/>
            </w:pPr>
            <w:r>
              <w:t xml:space="preserve">Significant share (&gt;20%) of essential medicine supply</w:t>
            </w:r>
          </w:p>
        </w:tc>
        <w:tc>
          <w:tcPr/>
          <w:p>
            <w:pPr>
              <w:pStyle w:val="Compact"/>
              <w:jc w:val="center"/>
            </w:pPr>
            <w:r>
              <w:t xml:space="preserve">✓</w:t>
            </w:r>
          </w:p>
        </w:tc>
      </w:tr>
      <w:tr>
        <w:tc>
          <w:tcPr/>
          <w:p>
            <w:pPr>
              <w:pStyle w:val="Compact"/>
              <w:jc w:val="left"/>
            </w:pPr>
            <w:r>
              <w:t xml:space="preserve">Export dependency by other countries</w:t>
            </w:r>
          </w:p>
        </w:tc>
        <w:tc>
          <w:tcPr/>
          <w:p>
            <w:pPr>
              <w:pStyle w:val="Compact"/>
              <w:jc w:val="center"/>
            </w:pPr>
            <w:r>
              <w:t xml:space="preserve">✓</w:t>
            </w:r>
          </w:p>
        </w:tc>
      </w:tr>
      <w:tr>
        <w:tc>
          <w:tcPr/>
          <w:p>
            <w:pPr>
              <w:pStyle w:val="Compact"/>
              <w:jc w:val="left"/>
            </w:pPr>
            <w:r>
              <w:t xml:space="preserve">Pandemic preparedness role</w:t>
            </w:r>
          </w:p>
        </w:tc>
        <w:tc>
          <w:tcPr/>
          <w:p>
            <w:pPr>
              <w:pStyle w:val="Compact"/>
              <w:jc w:val="center"/>
            </w:pPr>
            <w:r>
              <w:t xml:space="preserve">✓</w:t>
            </w:r>
          </w:p>
        </w:tc>
      </w:tr>
    </w:tbl>
    <w:bookmarkEnd w:id="522"/>
    <w:bookmarkStart w:id="523" w:name="X0cba47f267d1b38e10810784a01046565259c81"/>
    <w:p>
      <w:pPr>
        <w:pStyle w:val="Heading4"/>
      </w:pPr>
      <w:r>
        <w:t xml:space="preserve">Scoring (Using EU NIS2 Annex II-inspired criteria)</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Supply Criticality</w:t>
            </w:r>
          </w:p>
        </w:tc>
        <w:tc>
          <w:tcPr/>
          <w:p>
            <w:pPr>
              <w:pStyle w:val="Compact"/>
              <w:jc w:val="left"/>
            </w:pPr>
            <w:r>
              <w:t xml:space="preserve">35% of national vaccine supply</w:t>
            </w:r>
          </w:p>
        </w:tc>
        <w:tc>
          <w:tcPr/>
          <w:p>
            <w:pPr>
              <w:pStyle w:val="Compact"/>
              <w:jc w:val="center"/>
            </w:pPr>
            <w:r>
              <w:t xml:space="preserve">30</w:t>
            </w:r>
          </w:p>
        </w:tc>
      </w:tr>
      <w:tr>
        <w:tc>
          <w:tcPr/>
          <w:p>
            <w:pPr>
              <w:pStyle w:val="Compact"/>
              <w:jc w:val="left"/>
            </w:pPr>
            <w:r>
              <w:rPr>
                <w:b/>
                <w:bCs/>
              </w:rPr>
              <w:t xml:space="preserve">B. Manufacturing Scale</w:t>
            </w:r>
          </w:p>
        </w:tc>
        <w:tc>
          <w:tcPr/>
          <w:p>
            <w:pPr>
              <w:pStyle w:val="Compact"/>
              <w:jc w:val="left"/>
            </w:pPr>
            <w:r>
              <w:t xml:space="preserve">500M doses/year</w:t>
            </w:r>
          </w:p>
        </w:tc>
        <w:tc>
          <w:tcPr/>
          <w:p>
            <w:pPr>
              <w:pStyle w:val="Compact"/>
              <w:jc w:val="center"/>
            </w:pPr>
            <w:r>
              <w:t xml:space="preserve">25</w:t>
            </w:r>
          </w:p>
        </w:tc>
      </w:tr>
      <w:tr>
        <w:tc>
          <w:tcPr/>
          <w:p>
            <w:pPr>
              <w:pStyle w:val="Compact"/>
              <w:jc w:val="left"/>
            </w:pPr>
            <w:r>
              <w:rPr>
                <w:b/>
                <w:bCs/>
              </w:rPr>
              <w:t xml:space="preserve">C. Essential Medicine</w:t>
            </w:r>
          </w:p>
        </w:tc>
        <w:tc>
          <w:tcPr/>
          <w:p>
            <w:pPr>
              <w:pStyle w:val="Compact"/>
              <w:jc w:val="left"/>
            </w:pPr>
            <w:r>
              <w:t xml:space="preserve">Childhood immunization vaccines</w:t>
            </w:r>
          </w:p>
        </w:tc>
        <w:tc>
          <w:tcPr/>
          <w:p>
            <w:pPr>
              <w:pStyle w:val="Compact"/>
              <w:jc w:val="center"/>
            </w:pPr>
            <w:r>
              <w:t xml:space="preserve">20</w:t>
            </w:r>
          </w:p>
        </w:tc>
      </w:tr>
      <w:tr>
        <w:tc>
          <w:tcPr/>
          <w:p>
            <w:pPr>
              <w:pStyle w:val="Compact"/>
              <w:jc w:val="left"/>
            </w:pPr>
            <w:r>
              <w:rPr>
                <w:b/>
                <w:bCs/>
              </w:rPr>
              <w:t xml:space="preserve">D. Export/International</w:t>
            </w:r>
          </w:p>
        </w:tc>
        <w:tc>
          <w:tcPr/>
          <w:p>
            <w:pPr>
              <w:pStyle w:val="Compact"/>
              <w:jc w:val="left"/>
            </w:pPr>
            <w:r>
              <w:t xml:space="preserve">WHO prequalified; 40 countries depend</w:t>
            </w:r>
          </w:p>
        </w:tc>
        <w:tc>
          <w:tcPr/>
          <w:p>
            <w:pPr>
              <w:pStyle w:val="Compact"/>
              <w:jc w:val="center"/>
            </w:pPr>
            <w:r>
              <w:t xml:space="preserve">15</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90</w:t>
            </w:r>
          </w:p>
        </w:tc>
      </w:tr>
    </w:tbl>
    <w:bookmarkEnd w:id="523"/>
    <w:bookmarkEnd w:id="524"/>
    <w:bookmarkStart w:id="525" w:name="classification-result-12"/>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90</w:t>
            </w:r>
          </w:p>
        </w:tc>
        <w:tc>
          <w:tcPr/>
          <w:p>
            <w:pPr>
              <w:pStyle w:val="Compact"/>
              <w:jc w:val="left"/>
            </w:pPr>
            <w:r>
              <w:rPr>
                <w:b/>
                <w:bCs/>
              </w:rPr>
              <w:t xml:space="preserve">Tier 1 (Essential)</w:t>
            </w:r>
          </w:p>
        </w:tc>
        <w:tc>
          <w:tcPr/>
          <w:p>
            <w:pPr>
              <w:pStyle w:val="Compact"/>
              <w:jc w:val="left"/>
            </w:pPr>
            <w:r>
              <w:t xml:space="preserve">Critical national supply; automatic trigger for essential medicine manufacturing</w:t>
            </w:r>
          </w:p>
        </w:tc>
      </w:tr>
    </w:tbl>
    <w:p>
      <w:pPr>
        <w:pStyle w:val="BlockText"/>
      </w:pPr>
      <w:r>
        <w:t xml:space="preserve">[!NOTE]</w:t>
      </w:r>
      <w:r>
        <w:t xml:space="preserve"> </w:t>
      </w:r>
      <w:r>
        <w:t xml:space="preserve">EU NIS2 Annex II explicitly includes</w:t>
      </w:r>
      <w:r>
        <w:t xml:space="preserve"> </w:t>
      </w:r>
      <w:r>
        <w:rPr>
          <w:b/>
          <w:bCs/>
        </w:rPr>
        <w:t xml:space="preserve">pharmaceutical manufacturers</w:t>
      </w:r>
      <w:r>
        <w:t xml:space="preserve"> </w:t>
      </w:r>
      <w:r>
        <w:t xml:space="preserve">and</w:t>
      </w:r>
      <w:r>
        <w:t xml:space="preserve"> </w:t>
      </w:r>
      <w:r>
        <w:rPr>
          <w:b/>
          <w:bCs/>
        </w:rPr>
        <w:t xml:space="preserve">medicinal products</w:t>
      </w:r>
      <w:r>
        <w:t xml:space="preserve">. This case demonstrates applying supply-chain criticality metrics beyond traditional healthcare delivery.</w:t>
      </w:r>
    </w:p>
    <w:bookmarkEnd w:id="525"/>
    <w:bookmarkStart w:id="526" w:name="applicable-obligations-9"/>
    <w:p>
      <w:pPr>
        <w:pStyle w:val="Heading3"/>
      </w:pPr>
      <w:r>
        <w:t xml:space="preserve">Applicable Obligations</w:t>
      </w:r>
    </w:p>
    <w:p>
      <w:pPr>
        <w:pStyle w:val="Compact"/>
        <w:numPr>
          <w:ilvl w:val="0"/>
          <w:numId w:val="1335"/>
        </w:numPr>
      </w:pPr>
      <w:r>
        <w:t xml:space="preserve">Dedicated CISO with OT/ICS security expertise</w:t>
      </w:r>
    </w:p>
    <w:p>
      <w:pPr>
        <w:pStyle w:val="Compact"/>
        <w:numPr>
          <w:ilvl w:val="0"/>
          <w:numId w:val="1335"/>
        </w:numPr>
      </w:pPr>
      <w:r>
        <w:t xml:space="preserve">Annual audit of manufacturing systems (MES, QMS)</w:t>
      </w:r>
    </w:p>
    <w:p>
      <w:pPr>
        <w:pStyle w:val="Compact"/>
        <w:numPr>
          <w:ilvl w:val="0"/>
          <w:numId w:val="1335"/>
        </w:numPr>
      </w:pPr>
      <w:r>
        <w:t xml:space="preserve">24-hour incident reporting for production disruptions</w:t>
      </w:r>
    </w:p>
    <w:p>
      <w:pPr>
        <w:pStyle w:val="Compact"/>
        <w:numPr>
          <w:ilvl w:val="0"/>
          <w:numId w:val="1335"/>
        </w:numPr>
      </w:pPr>
      <w:r>
        <w:t xml:space="preserve">Supply chain security for raw materials and packaging</w:t>
      </w:r>
    </w:p>
    <w:p>
      <w:pPr>
        <w:pStyle w:val="Compact"/>
        <w:numPr>
          <w:ilvl w:val="0"/>
          <w:numId w:val="1335"/>
        </w:numPr>
      </w:pPr>
      <w:r>
        <w:t xml:space="preserve">Business continuity: Redundant manufacturing capability</w:t>
      </w:r>
    </w:p>
    <w:p>
      <w:pPr>
        <w:pStyle w:val="Compact"/>
        <w:numPr>
          <w:ilvl w:val="0"/>
          <w:numId w:val="1335"/>
        </w:numPr>
      </w:pPr>
      <w:r>
        <w:t xml:space="preserve">Cold chain system monitoring and backup</w:t>
      </w:r>
    </w:p>
    <w:p>
      <w:pPr>
        <w:pStyle w:val="Compact"/>
        <w:numPr>
          <w:ilvl w:val="0"/>
          <w:numId w:val="1335"/>
        </w:numPr>
      </w:pPr>
      <w:r>
        <w:t xml:space="preserve">Coordination with national immunization program authority</w:t>
      </w:r>
    </w:p>
    <w:p>
      <w:r>
        <w:pict>
          <v:rect style="width:0;height:1.5pt" o:hralign="center" o:hrstd="t" o:hr="t"/>
        </w:pict>
      </w:r>
    </w:p>
    <w:bookmarkEnd w:id="526"/>
    <w:bookmarkEnd w:id="527"/>
    <w:bookmarkStart w:id="534" w:name="X26cfe7ec920788d8f32c5f6dd05d6fe0f468804"/>
    <w:p>
      <w:pPr>
        <w:pStyle w:val="Heading2"/>
      </w:pPr>
      <w:r>
        <w:t xml:space="preserve">Case Study 4: Biotech Research Company -</w:t>
      </w:r>
      <w:r>
        <w:t xml:space="preserve"> </w:t>
      </w:r>
      <w:r>
        <w:t xml:space="preserve">“GeneSys BioTech”</w:t>
      </w:r>
    </w:p>
    <w:bookmarkStart w:id="528" w:name="entity-profile-13"/>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GeneSys BioTech Private Limited</w:t>
            </w:r>
          </w:p>
        </w:tc>
      </w:tr>
      <w:tr>
        <w:tc>
          <w:tcPr/>
          <w:p>
            <w:pPr>
              <w:pStyle w:val="Compact"/>
              <w:jc w:val="left"/>
            </w:pPr>
            <w:r>
              <w:rPr>
                <w:b/>
                <w:bCs/>
              </w:rPr>
              <w:t xml:space="preserve">Type</w:t>
            </w:r>
          </w:p>
        </w:tc>
        <w:tc>
          <w:tcPr/>
          <w:p>
            <w:pPr>
              <w:pStyle w:val="Compact"/>
              <w:jc w:val="left"/>
            </w:pPr>
            <w:r>
              <w:t xml:space="preserve">Biotech research company developing biosimilars</w:t>
            </w:r>
          </w:p>
        </w:tc>
      </w:tr>
      <w:tr>
        <w:tc>
          <w:tcPr/>
          <w:p>
            <w:pPr>
              <w:pStyle w:val="Compact"/>
              <w:jc w:val="left"/>
            </w:pPr>
            <w:r>
              <w:rPr>
                <w:b/>
                <w:bCs/>
              </w:rPr>
              <w:t xml:space="preserve">Products in pipeline</w:t>
            </w:r>
          </w:p>
        </w:tc>
        <w:tc>
          <w:tcPr/>
          <w:p>
            <w:pPr>
              <w:pStyle w:val="Compact"/>
              <w:jc w:val="left"/>
            </w:pPr>
            <w:r>
              <w:t xml:space="preserve">8 biosimilars (oncology, autoimmune); 3 in Phase III trials</w:t>
            </w:r>
          </w:p>
        </w:tc>
      </w:tr>
      <w:tr>
        <w:tc>
          <w:tcPr/>
          <w:p>
            <w:pPr>
              <w:pStyle w:val="Compact"/>
              <w:jc w:val="left"/>
            </w:pPr>
            <w:r>
              <w:rPr>
                <w:b/>
                <w:bCs/>
              </w:rPr>
              <w:t xml:space="preserve">Key IP</w:t>
            </w:r>
          </w:p>
        </w:tc>
        <w:tc>
          <w:tcPr/>
          <w:p>
            <w:pPr>
              <w:pStyle w:val="Compact"/>
              <w:jc w:val="left"/>
            </w:pPr>
            <w:r>
              <w:t xml:space="preserve">Proprietary cell lines, manufacturing processes, clinical trial data</w:t>
            </w:r>
          </w:p>
        </w:tc>
      </w:tr>
      <w:tr>
        <w:tc>
          <w:tcPr/>
          <w:p>
            <w:pPr>
              <w:pStyle w:val="Compact"/>
              <w:jc w:val="left"/>
            </w:pPr>
            <w:r>
              <w:rPr>
                <w:b/>
                <w:bCs/>
              </w:rPr>
              <w:t xml:space="preserve">Employees</w:t>
            </w:r>
          </w:p>
        </w:tc>
        <w:tc>
          <w:tcPr/>
          <w:p>
            <w:pPr>
              <w:pStyle w:val="Compact"/>
              <w:jc w:val="left"/>
            </w:pPr>
            <w:r>
              <w:t xml:space="preserve">1,200</w:t>
            </w:r>
          </w:p>
        </w:tc>
      </w:tr>
      <w:tr>
        <w:tc>
          <w:tcPr/>
          <w:p>
            <w:pPr>
              <w:pStyle w:val="Compact"/>
              <w:jc w:val="left"/>
            </w:pPr>
            <w:r>
              <w:rPr>
                <w:b/>
                <w:bCs/>
              </w:rPr>
              <w:t xml:space="preserve">R&amp;D investment</w:t>
            </w:r>
          </w:p>
        </w:tc>
        <w:tc>
          <w:tcPr/>
          <w:p>
            <w:pPr>
              <w:pStyle w:val="Compact"/>
              <w:jc w:val="left"/>
            </w:pPr>
            <w:r>
              <w:t xml:space="preserve">$150M cumulative in current pipeline</w:t>
            </w:r>
          </w:p>
        </w:tc>
      </w:tr>
      <w:tr>
        <w:tc>
          <w:tcPr/>
          <w:p>
            <w:pPr>
              <w:pStyle w:val="Compact"/>
              <w:jc w:val="left"/>
            </w:pPr>
            <w:r>
              <w:rPr>
                <w:b/>
                <w:bCs/>
              </w:rPr>
              <w:t xml:space="preserve">Key systems</w:t>
            </w:r>
          </w:p>
        </w:tc>
        <w:tc>
          <w:tcPr/>
          <w:p>
            <w:pPr>
              <w:pStyle w:val="Compact"/>
              <w:jc w:val="left"/>
            </w:pPr>
            <w:r>
              <w:t xml:space="preserve">Electronic Lab Notebook (ELN), Clinical Trial Management System (CTMS), IP database, Bioinformatics cluster</w:t>
            </w:r>
          </w:p>
        </w:tc>
      </w:tr>
      <w:tr>
        <w:tc>
          <w:tcPr/>
          <w:p>
            <w:pPr>
              <w:pStyle w:val="Compact"/>
              <w:jc w:val="left"/>
            </w:pPr>
            <w:r>
              <w:rPr>
                <w:b/>
                <w:bCs/>
              </w:rPr>
              <w:t xml:space="preserve">Partnerships</w:t>
            </w:r>
          </w:p>
        </w:tc>
        <w:tc>
          <w:tcPr/>
          <w:p>
            <w:pPr>
              <w:pStyle w:val="Compact"/>
              <w:jc w:val="left"/>
            </w:pPr>
            <w:r>
              <w:t xml:space="preserve">Licensing agreements with 3 multinational pharma companies</w:t>
            </w:r>
          </w:p>
        </w:tc>
      </w:tr>
      <w:tr>
        <w:tc>
          <w:tcPr/>
          <w:p>
            <w:pPr>
              <w:pStyle w:val="Compact"/>
              <w:jc w:val="left"/>
            </w:pPr>
            <w:r>
              <w:rPr>
                <w:b/>
                <w:bCs/>
              </w:rPr>
              <w:t xml:space="preserve">Special consideration</w:t>
            </w:r>
          </w:p>
        </w:tc>
        <w:tc>
          <w:tcPr/>
          <w:p>
            <w:pPr>
              <w:pStyle w:val="Compact"/>
              <w:jc w:val="left"/>
            </w:pPr>
            <w:r>
              <w:rPr>
                <w:b/>
                <w:bCs/>
              </w:rPr>
              <w:t xml:space="preserve">High-value IP target; national biotech capability</w:t>
            </w:r>
          </w:p>
        </w:tc>
      </w:tr>
    </w:tbl>
    <w:bookmarkEnd w:id="528"/>
    <w:bookmarkStart w:id="531" w:name="cii-classification-assessment-13"/>
    <w:p>
      <w:pPr>
        <w:pStyle w:val="Heading3"/>
      </w:pPr>
      <w:r>
        <w:t xml:space="preserve">CII Classification Assessment</w:t>
      </w:r>
    </w:p>
    <w:bookmarkStart w:id="529" w:name="key-risk-factors-4"/>
    <w:p>
      <w:pPr>
        <w:pStyle w:val="Heading4"/>
      </w:pPr>
      <w:r>
        <w:t xml:space="preserve">Key Risk Factors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IP value</w:t>
            </w:r>
          </w:p>
        </w:tc>
        <w:tc>
          <w:tcPr/>
          <w:p>
            <w:pPr>
              <w:pStyle w:val="Compact"/>
              <w:jc w:val="left"/>
            </w:pPr>
            <w:r>
              <w:t xml:space="preserve">$150M+ R&amp;D investment; biosimilar formulations are high-value targets</w:t>
            </w:r>
          </w:p>
        </w:tc>
      </w:tr>
      <w:tr>
        <w:tc>
          <w:tcPr/>
          <w:p>
            <w:pPr>
              <w:pStyle w:val="Compact"/>
              <w:jc w:val="left"/>
            </w:pPr>
            <w:r>
              <w:rPr>
                <w:b/>
                <w:bCs/>
              </w:rPr>
              <w:t xml:space="preserve">State-actor threat</w:t>
            </w:r>
          </w:p>
        </w:tc>
        <w:tc>
          <w:tcPr/>
          <w:p>
            <w:pPr>
              <w:pStyle w:val="Compact"/>
              <w:jc w:val="left"/>
            </w:pPr>
            <w:r>
              <w:t xml:space="preserve">Biosimilar development is target for economic espionage</w:t>
            </w:r>
          </w:p>
        </w:tc>
      </w:tr>
      <w:tr>
        <w:tc>
          <w:tcPr/>
          <w:p>
            <w:pPr>
              <w:pStyle w:val="Compact"/>
              <w:jc w:val="left"/>
            </w:pPr>
            <w:r>
              <w:rPr>
                <w:b/>
                <w:bCs/>
              </w:rPr>
              <w:t xml:space="preserve">National capability</w:t>
            </w:r>
          </w:p>
        </w:tc>
        <w:tc>
          <w:tcPr/>
          <w:p>
            <w:pPr>
              <w:pStyle w:val="Compact"/>
              <w:jc w:val="left"/>
            </w:pPr>
            <w:r>
              <w:t xml:space="preserve">One of few domestic companies with advanced biosimilar capability</w:t>
            </w:r>
          </w:p>
        </w:tc>
      </w:tr>
      <w:tr>
        <w:tc>
          <w:tcPr/>
          <w:p>
            <w:pPr>
              <w:pStyle w:val="Compact"/>
              <w:jc w:val="left"/>
            </w:pPr>
            <w:r>
              <w:rPr>
                <w:b/>
                <w:bCs/>
              </w:rPr>
              <w:t xml:space="preserve">Clinical data</w:t>
            </w:r>
          </w:p>
        </w:tc>
        <w:tc>
          <w:tcPr/>
          <w:p>
            <w:pPr>
              <w:pStyle w:val="Compact"/>
              <w:jc w:val="left"/>
            </w:pPr>
            <w:r>
              <w:t xml:space="preserve">Phase III trial data for thousands of patients</w:t>
            </w:r>
          </w:p>
        </w:tc>
      </w:tr>
      <w:tr>
        <w:tc>
          <w:tcPr/>
          <w:p>
            <w:pPr>
              <w:pStyle w:val="Compact"/>
              <w:jc w:val="left"/>
            </w:pPr>
            <w:r>
              <w:rPr>
                <w:b/>
                <w:bCs/>
              </w:rPr>
              <w:t xml:space="preserve">Supply chain</w:t>
            </w:r>
          </w:p>
        </w:tc>
        <w:tc>
          <w:tcPr/>
          <w:p>
            <w:pPr>
              <w:pStyle w:val="Compact"/>
              <w:jc w:val="left"/>
            </w:pPr>
            <w:r>
              <w:t xml:space="preserve">Potential future essential medicine supplier</w:t>
            </w:r>
          </w:p>
        </w:tc>
      </w:tr>
    </w:tbl>
    <w:bookmarkEnd w:id="529"/>
    <w:bookmarkStart w:id="530" w:name="scoring-developing-country-framework-8"/>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IP/Data Sensitivity</w:t>
            </w:r>
          </w:p>
        </w:tc>
        <w:tc>
          <w:tcPr/>
          <w:p>
            <w:pPr>
              <w:pStyle w:val="Compact"/>
              <w:jc w:val="left"/>
            </w:pPr>
            <w:r>
              <w:t xml:space="preserve">Proprietary biosimilar formulations; cell lines</w:t>
            </w:r>
          </w:p>
        </w:tc>
        <w:tc>
          <w:tcPr/>
          <w:p>
            <w:pPr>
              <w:pStyle w:val="Compact"/>
              <w:jc w:val="center"/>
            </w:pPr>
            <w:r>
              <w:t xml:space="preserve">25</w:t>
            </w:r>
          </w:p>
        </w:tc>
      </w:tr>
      <w:tr>
        <w:tc>
          <w:tcPr/>
          <w:p>
            <w:pPr>
              <w:pStyle w:val="Compact"/>
              <w:jc w:val="left"/>
            </w:pPr>
            <w:r>
              <w:rPr>
                <w:b/>
                <w:bCs/>
              </w:rPr>
              <w:t xml:space="preserve">B. National Strategic Value</w:t>
            </w:r>
          </w:p>
        </w:tc>
        <w:tc>
          <w:tcPr/>
          <w:p>
            <w:pPr>
              <w:pStyle w:val="Compact"/>
              <w:jc w:val="left"/>
            </w:pPr>
            <w:r>
              <w:t xml:space="preserve">Domestic biotech capability; import substitution potential</w:t>
            </w:r>
          </w:p>
        </w:tc>
        <w:tc>
          <w:tcPr/>
          <w:p>
            <w:pPr>
              <w:pStyle w:val="Compact"/>
              <w:jc w:val="center"/>
            </w:pPr>
            <w:r>
              <w:t xml:space="preserve">20</w:t>
            </w:r>
          </w:p>
        </w:tc>
      </w:tr>
      <w:tr>
        <w:tc>
          <w:tcPr/>
          <w:p>
            <w:pPr>
              <w:pStyle w:val="Compact"/>
              <w:jc w:val="left"/>
            </w:pPr>
            <w:r>
              <w:rPr>
                <w:b/>
                <w:bCs/>
              </w:rPr>
              <w:t xml:space="preserve">C. Clinical Trial Data</w:t>
            </w:r>
          </w:p>
        </w:tc>
        <w:tc>
          <w:tcPr/>
          <w:p>
            <w:pPr>
              <w:pStyle w:val="Compact"/>
              <w:jc w:val="left"/>
            </w:pPr>
            <w:r>
              <w:t xml:space="preserve">Multi-thousand patient trial data</w:t>
            </w:r>
          </w:p>
        </w:tc>
        <w:tc>
          <w:tcPr/>
          <w:p>
            <w:pPr>
              <w:pStyle w:val="Compact"/>
              <w:jc w:val="center"/>
            </w:pPr>
            <w:r>
              <w:t xml:space="preserve">15</w:t>
            </w:r>
          </w:p>
        </w:tc>
      </w:tr>
      <w:tr>
        <w:tc>
          <w:tcPr/>
          <w:p>
            <w:pPr>
              <w:pStyle w:val="Compact"/>
              <w:jc w:val="left"/>
            </w:pPr>
            <w:r>
              <w:rPr>
                <w:b/>
                <w:bCs/>
              </w:rPr>
              <w:t xml:space="preserve">D. Future Supply Chain Role</w:t>
            </w:r>
          </w:p>
        </w:tc>
        <w:tc>
          <w:tcPr/>
          <w:p>
            <w:pPr>
              <w:pStyle w:val="Compact"/>
              <w:jc w:val="left"/>
            </w:pPr>
            <w:r>
              <w:t xml:space="preserve">Pipeline products for oncology/autoimmune</w:t>
            </w:r>
          </w:p>
        </w:tc>
        <w:tc>
          <w:tcPr/>
          <w:p>
            <w:pPr>
              <w:pStyle w:val="Compact"/>
              <w:jc w:val="center"/>
            </w:pPr>
            <w:r>
              <w:t xml:space="preserve">10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70</w:t>
            </w:r>
          </w:p>
        </w:tc>
      </w:tr>
    </w:tbl>
    <w:bookmarkEnd w:id="530"/>
    <w:bookmarkEnd w:id="531"/>
    <w:bookmarkStart w:id="532" w:name="classification-result-13"/>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70</w:t>
            </w:r>
          </w:p>
        </w:tc>
        <w:tc>
          <w:tcPr/>
          <w:p>
            <w:pPr>
              <w:pStyle w:val="Compact"/>
              <w:jc w:val="left"/>
            </w:pPr>
            <w:r>
              <w:rPr>
                <w:b/>
                <w:bCs/>
              </w:rPr>
              <w:t xml:space="preserve">Tier 1 (Essential)</w:t>
            </w:r>
          </w:p>
        </w:tc>
        <w:tc>
          <w:tcPr/>
          <w:p>
            <w:pPr>
              <w:pStyle w:val="Compact"/>
              <w:jc w:val="left"/>
            </w:pPr>
            <w:r>
              <w:t xml:space="preserve">Strategic IP value; national biotech capability</w:t>
            </w:r>
          </w:p>
        </w:tc>
      </w:tr>
    </w:tbl>
    <w:p>
      <w:pPr>
        <w:pStyle w:val="BlockText"/>
      </w:pPr>
      <w:r>
        <w:t xml:space="preserve">[!IMPORTANT]</w:t>
      </w:r>
      <w:r>
        <w:t xml:space="preserve"> </w:t>
      </w:r>
      <w:r>
        <w:t xml:space="preserve">This case illustrates</w:t>
      </w:r>
      <w:r>
        <w:t xml:space="preserve"> </w:t>
      </w:r>
      <w:r>
        <w:rPr>
          <w:b/>
          <w:bCs/>
        </w:rPr>
        <w:t xml:space="preserve">IP-based criticality</w:t>
      </w:r>
      <w:r>
        <w:t xml:space="preserve"> </w:t>
      </w:r>
      <w:r>
        <w:t xml:space="preserve">distinct from service delivery. Compromise of biosimilar development IP could set back national pharmaceutical capability by years and benefit foreign competitors.</w:t>
      </w:r>
      <w:r>
        <w:t xml:space="preserve"> </w:t>
      </w:r>
      <w:r>
        <w:rPr>
          <w:b/>
          <w:bCs/>
        </w:rPr>
        <w:t xml:space="preserve">Economic security</w:t>
      </w:r>
      <w:r>
        <w:t xml:space="preserve"> </w:t>
      </w:r>
      <w:r>
        <w:t xml:space="preserve">is a valid CII consideration.</w:t>
      </w:r>
    </w:p>
    <w:bookmarkEnd w:id="532"/>
    <w:bookmarkStart w:id="533" w:name="applicable-obligations-10"/>
    <w:p>
      <w:pPr>
        <w:pStyle w:val="Heading3"/>
      </w:pPr>
      <w:r>
        <w:t xml:space="preserve">Applicable Obligations</w:t>
      </w:r>
    </w:p>
    <w:p>
      <w:pPr>
        <w:pStyle w:val="Compact"/>
        <w:numPr>
          <w:ilvl w:val="0"/>
          <w:numId w:val="1336"/>
        </w:numPr>
      </w:pPr>
      <w:r>
        <w:t xml:space="preserve">Dedicated CISO with R&amp;D security focus</w:t>
      </w:r>
    </w:p>
    <w:p>
      <w:pPr>
        <w:pStyle w:val="Compact"/>
        <w:numPr>
          <w:ilvl w:val="0"/>
          <w:numId w:val="1336"/>
        </w:numPr>
      </w:pPr>
      <w:r>
        <w:t xml:space="preserve">IP protection controls (access management, DLP, insider threat)</w:t>
      </w:r>
    </w:p>
    <w:p>
      <w:pPr>
        <w:pStyle w:val="Compact"/>
        <w:numPr>
          <w:ilvl w:val="0"/>
          <w:numId w:val="1336"/>
        </w:numPr>
      </w:pPr>
      <w:r>
        <w:t xml:space="preserve">Annual security audit including research systems</w:t>
      </w:r>
    </w:p>
    <w:p>
      <w:pPr>
        <w:pStyle w:val="Compact"/>
        <w:numPr>
          <w:ilvl w:val="0"/>
          <w:numId w:val="1336"/>
        </w:numPr>
      </w:pPr>
      <w:r>
        <w:t xml:space="preserve">48-hour incident reporting (IP theft/exfiltration focus)</w:t>
      </w:r>
    </w:p>
    <w:p>
      <w:pPr>
        <w:pStyle w:val="Compact"/>
        <w:numPr>
          <w:ilvl w:val="0"/>
          <w:numId w:val="1336"/>
        </w:numPr>
      </w:pPr>
      <w:r>
        <w:t xml:space="preserve">Third-party research partner security assessment</w:t>
      </w:r>
    </w:p>
    <w:p>
      <w:pPr>
        <w:pStyle w:val="Compact"/>
        <w:numPr>
          <w:ilvl w:val="0"/>
          <w:numId w:val="1336"/>
        </w:numPr>
      </w:pPr>
      <w:r>
        <w:t xml:space="preserve">Bioinformatics infrastructure protection</w:t>
      </w:r>
    </w:p>
    <w:p>
      <w:pPr>
        <w:pStyle w:val="Compact"/>
        <w:numPr>
          <w:ilvl w:val="0"/>
          <w:numId w:val="1336"/>
        </w:numPr>
      </w:pPr>
      <w:r>
        <w:t xml:space="preserve">Secure collaboration protocols for international partners</w:t>
      </w:r>
    </w:p>
    <w:p>
      <w:r>
        <w:pict>
          <v:rect style="width:0;height:1.5pt" o:hralign="center" o:hrstd="t" o:hr="t"/>
        </w:pict>
      </w:r>
    </w:p>
    <w:bookmarkEnd w:id="533"/>
    <w:bookmarkEnd w:id="534"/>
    <w:bookmarkStart w:id="536" w:name="X7c04f191a06b1a73e934768157b5c37e4b60222"/>
    <w:p>
      <w:pPr>
        <w:pStyle w:val="Heading2"/>
      </w:pPr>
      <w:r>
        <w:t xml:space="preserve">Summary: Diagnostics, Pharma, and Biotech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Case Study</w:t>
            </w:r>
          </w:p>
        </w:tc>
        <w:tc>
          <w:tcPr/>
          <w:p>
            <w:pPr>
              <w:pStyle w:val="Compact"/>
              <w:jc w:val="left"/>
            </w:pPr>
            <w:r>
              <w:t xml:space="preserve">Entity Type</w:t>
            </w:r>
          </w:p>
        </w:tc>
        <w:tc>
          <w:tcPr/>
          <w:p>
            <w:pPr>
              <w:pStyle w:val="Compact"/>
              <w:jc w:val="center"/>
            </w:pPr>
            <w:r>
              <w:t xml:space="preserve">Score</w:t>
            </w:r>
          </w:p>
        </w:tc>
        <w:tc>
          <w:tcPr/>
          <w:p>
            <w:pPr>
              <w:pStyle w:val="Compact"/>
              <w:jc w:val="center"/>
            </w:pPr>
            <w:r>
              <w:t xml:space="preserve">Tier</w:t>
            </w:r>
          </w:p>
        </w:tc>
      </w:tr>
      <w:tr>
        <w:tc>
          <w:tcPr/>
          <w:p>
            <w:pPr>
              <w:pStyle w:val="Compact"/>
              <w:jc w:val="left"/>
            </w:pPr>
            <w:r>
              <w:t xml:space="preserve">DiagnoFirst Labs</w:t>
            </w:r>
          </w:p>
        </w:tc>
        <w:tc>
          <w:tcPr/>
          <w:p>
            <w:pPr>
              <w:pStyle w:val="Compact"/>
              <w:jc w:val="left"/>
            </w:pPr>
            <w:r>
              <w:t xml:space="preserve">Private lab chain</w:t>
            </w:r>
          </w:p>
        </w:tc>
        <w:tc>
          <w:tcPr/>
          <w:p>
            <w:pPr>
              <w:pStyle w:val="Compact"/>
              <w:jc w:val="center"/>
            </w:pPr>
            <w:r>
              <w:t xml:space="preserve">60</w:t>
            </w:r>
          </w:p>
        </w:tc>
        <w:tc>
          <w:tcPr/>
          <w:p>
            <w:pPr>
              <w:pStyle w:val="Compact"/>
              <w:jc w:val="center"/>
            </w:pPr>
            <w:r>
              <w:rPr>
                <w:b/>
                <w:bCs/>
              </w:rPr>
              <w:t xml:space="preserve">Tier 1</w:t>
            </w:r>
          </w:p>
        </w:tc>
      </w:tr>
      <w:tr>
        <w:tc>
          <w:tcPr/>
          <w:p>
            <w:pPr>
              <w:pStyle w:val="Compact"/>
              <w:jc w:val="left"/>
            </w:pPr>
            <w:r>
              <w:t xml:space="preserve">GenomeIndia Labs</w:t>
            </w:r>
          </w:p>
        </w:tc>
        <w:tc>
          <w:tcPr/>
          <w:p>
            <w:pPr>
              <w:pStyle w:val="Compact"/>
              <w:jc w:val="left"/>
            </w:pPr>
            <w:r>
              <w:t xml:space="preserve">Genomic sequencing lab</w:t>
            </w:r>
          </w:p>
        </w:tc>
        <w:tc>
          <w:tcPr/>
          <w:p>
            <w:pPr>
              <w:pStyle w:val="Compact"/>
              <w:jc w:val="center"/>
            </w:pPr>
            <w:r>
              <w:t xml:space="preserve">85</w:t>
            </w:r>
          </w:p>
        </w:tc>
        <w:tc>
          <w:tcPr/>
          <w:p>
            <w:pPr>
              <w:pStyle w:val="Compact"/>
              <w:jc w:val="center"/>
            </w:pPr>
            <w:r>
              <w:rPr>
                <w:b/>
                <w:bCs/>
              </w:rPr>
              <w:t xml:space="preserve">Tier 1</w:t>
            </w:r>
          </w:p>
        </w:tc>
      </w:tr>
      <w:tr>
        <w:tc>
          <w:tcPr/>
          <w:p>
            <w:pPr>
              <w:pStyle w:val="Compact"/>
              <w:jc w:val="left"/>
            </w:pPr>
            <w:r>
              <w:t xml:space="preserve">BioShield Pharma</w:t>
            </w:r>
          </w:p>
        </w:tc>
        <w:tc>
          <w:tcPr/>
          <w:p>
            <w:pPr>
              <w:pStyle w:val="Compact"/>
              <w:jc w:val="left"/>
            </w:pPr>
            <w:r>
              <w:t xml:space="preserve">Vaccine manufacturer</w:t>
            </w:r>
          </w:p>
        </w:tc>
        <w:tc>
          <w:tcPr/>
          <w:p>
            <w:pPr>
              <w:pStyle w:val="Compact"/>
              <w:jc w:val="center"/>
            </w:pPr>
            <w:r>
              <w:t xml:space="preserve">90</w:t>
            </w:r>
          </w:p>
        </w:tc>
        <w:tc>
          <w:tcPr/>
          <w:p>
            <w:pPr>
              <w:pStyle w:val="Compact"/>
              <w:jc w:val="center"/>
            </w:pPr>
            <w:r>
              <w:rPr>
                <w:b/>
                <w:bCs/>
              </w:rPr>
              <w:t xml:space="preserve">Tier 1</w:t>
            </w:r>
            <w:r>
              <w:t xml:space="preserve"> </w:t>
            </w:r>
            <w:r>
              <w:t xml:space="preserve">(auto)</w:t>
            </w:r>
          </w:p>
        </w:tc>
      </w:tr>
      <w:tr>
        <w:tc>
          <w:tcPr/>
          <w:p>
            <w:pPr>
              <w:pStyle w:val="Compact"/>
              <w:jc w:val="left"/>
            </w:pPr>
            <w:r>
              <w:t xml:space="preserve">GeneSys BioTech</w:t>
            </w:r>
          </w:p>
        </w:tc>
        <w:tc>
          <w:tcPr/>
          <w:p>
            <w:pPr>
              <w:pStyle w:val="Compact"/>
              <w:jc w:val="left"/>
            </w:pPr>
            <w:r>
              <w:t xml:space="preserve">Biotech (biosimilars IP)</w:t>
            </w:r>
          </w:p>
        </w:tc>
        <w:tc>
          <w:tcPr/>
          <w:p>
            <w:pPr>
              <w:pStyle w:val="Compact"/>
              <w:jc w:val="center"/>
            </w:pPr>
            <w:r>
              <w:t xml:space="preserve">70</w:t>
            </w:r>
          </w:p>
        </w:tc>
        <w:tc>
          <w:tcPr/>
          <w:p>
            <w:pPr>
              <w:pStyle w:val="Compact"/>
              <w:jc w:val="center"/>
            </w:pPr>
            <w:r>
              <w:rPr>
                <w:b/>
                <w:bCs/>
              </w:rPr>
              <w:t xml:space="preserve">Tier 1</w:t>
            </w:r>
          </w:p>
        </w:tc>
      </w:tr>
    </w:tbl>
    <w:bookmarkStart w:id="535" w:name="key-insights-2"/>
    <w:p>
      <w:pPr>
        <w:pStyle w:val="Heading3"/>
      </w:pPr>
      <w:r>
        <w:t xml:space="preserve">Key Insights</w:t>
      </w:r>
    </w:p>
    <w:p>
      <w:pPr>
        <w:pStyle w:val="Compact"/>
        <w:numPr>
          <w:ilvl w:val="0"/>
          <w:numId w:val="1337"/>
        </w:numPr>
      </w:pPr>
      <w:r>
        <w:rPr>
          <w:b/>
          <w:bCs/>
        </w:rPr>
        <w:t xml:space="preserve">Major diagnostic chains are CII</w:t>
      </w:r>
      <w:r>
        <w:t xml:space="preserve">: Laboratories with significant market share and disease surveillance roles qualify for Tier 1</w:t>
      </w:r>
    </w:p>
    <w:p>
      <w:pPr>
        <w:pStyle w:val="Compact"/>
        <w:numPr>
          <w:ilvl w:val="0"/>
          <w:numId w:val="1337"/>
        </w:numPr>
      </w:pPr>
      <w:r>
        <w:rPr>
          <w:b/>
          <w:bCs/>
        </w:rPr>
        <w:t xml:space="preserve">Genomic data has unique sovereignty implications</w:t>
      </w:r>
      <w:r>
        <w:t xml:space="preserve">: Population genomics is a national asset requiring special protection</w:t>
      </w:r>
    </w:p>
    <w:p>
      <w:pPr>
        <w:pStyle w:val="Compact"/>
        <w:numPr>
          <w:ilvl w:val="0"/>
          <w:numId w:val="1337"/>
        </w:numPr>
      </w:pPr>
      <w:r>
        <w:rPr>
          <w:b/>
          <w:bCs/>
        </w:rPr>
        <w:t xml:space="preserve">Supply chain entities are CII</w:t>
      </w:r>
      <w:r>
        <w:t xml:space="preserve">: Vaccine/pharma manufacturers with significant market share are Critical Infrastructure</w:t>
      </w:r>
    </w:p>
    <w:p>
      <w:pPr>
        <w:pStyle w:val="Compact"/>
        <w:numPr>
          <w:ilvl w:val="0"/>
          <w:numId w:val="1337"/>
        </w:numPr>
      </w:pPr>
      <w:r>
        <w:rPr>
          <w:b/>
          <w:bCs/>
        </w:rPr>
        <w:t xml:space="preserve">IP-based criticality is valid</w:t>
      </w:r>
      <w:r>
        <w:t xml:space="preserve">: High-value biotech research IP warrants CII consideration for economic security</w:t>
      </w:r>
    </w:p>
    <w:p>
      <w:pPr>
        <w:sectPr>
          <w:footerReference w:type="first" r:id="rId13"/>
          <w:footerReference w:type="default" r:id="rId11"/>
          <w:footerReference w:type="even" r:id="rId10"/>
          <w:type w:val="nextPage"/>
        </w:sectPr>
      </w:pPr>
    </w:p>
    <w:bookmarkEnd w:id="535"/>
    <w:bookmarkEnd w:id="536"/>
    <w:bookmarkEnd w:id="537"/>
    <w:bookmarkStart w:id="576" w:name="X42b69eab653c1409a94600dce6df1261155e299"/>
    <w:p>
      <w:pPr>
        <w:pStyle w:val="Heading1"/>
      </w:pPr>
      <w:r>
        <w:t xml:space="preserve">CII Case Studies: Public Health Programs and Surveillance</w:t>
      </w:r>
    </w:p>
    <w:p>
      <w:pPr>
        <w:pStyle w:val="FirstParagraph"/>
      </w:pPr>
      <w:r>
        <w:t xml:space="preserve">This chapter presents case studies for</w:t>
      </w:r>
      <w:r>
        <w:t xml:space="preserve"> </w:t>
      </w:r>
      <w:r>
        <w:rPr>
          <w:b/>
          <w:bCs/>
        </w:rPr>
        <w:t xml:space="preserve">national public health programs</w:t>
      </w:r>
      <w:r>
        <w:t xml:space="preserve"> </w:t>
      </w:r>
      <w:r>
        <w:t xml:space="preserve">including disease control programs, surveillance systems, and population health initiatives.</w:t>
      </w:r>
    </w:p>
    <w:p>
      <w:r>
        <w:pict>
          <v:rect style="width:0;height:1.5pt" o:hralign="center" o:hrstd="t" o:hr="t"/>
        </w:pict>
      </w:r>
    </w:p>
    <w:bookmarkStart w:id="544" w:name="X65d06e3cb49ec2f950241a2562da6355c33080a"/>
    <w:p>
      <w:pPr>
        <w:pStyle w:val="Heading2"/>
      </w:pPr>
      <w:r>
        <w:t xml:space="preserve">Case Study 1: Population-Based Surveillance System -</w:t>
      </w:r>
      <w:r>
        <w:t xml:space="preserve"> </w:t>
      </w:r>
      <w:r>
        <w:t xml:space="preserve">“SurveilHealth”</w:t>
      </w:r>
    </w:p>
    <w:bookmarkStart w:id="538" w:name="entity-profile-14"/>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SurveilHealth Integrated Disease Surveillance Platform</w:t>
            </w:r>
          </w:p>
        </w:tc>
      </w:tr>
      <w:tr>
        <w:tc>
          <w:tcPr/>
          <w:p>
            <w:pPr>
              <w:pStyle w:val="Compact"/>
              <w:jc w:val="left"/>
            </w:pPr>
            <w:r>
              <w:rPr>
                <w:b/>
                <w:bCs/>
              </w:rPr>
              <w:t xml:space="preserve">Type</w:t>
            </w:r>
          </w:p>
        </w:tc>
        <w:tc>
          <w:tcPr/>
          <w:p>
            <w:pPr>
              <w:pStyle w:val="Compact"/>
              <w:jc w:val="left"/>
            </w:pPr>
            <w:r>
              <w:t xml:space="preserve">National real-time disease surveillance and outbreak detection</w:t>
            </w:r>
          </w:p>
        </w:tc>
      </w:tr>
      <w:tr>
        <w:tc>
          <w:tcPr/>
          <w:p>
            <w:pPr>
              <w:pStyle w:val="Compact"/>
              <w:jc w:val="left"/>
            </w:pPr>
            <w:r>
              <w:rPr>
                <w:b/>
                <w:bCs/>
              </w:rPr>
              <w:t xml:space="preserve">Operator</w:t>
            </w:r>
          </w:p>
        </w:tc>
        <w:tc>
          <w:tcPr/>
          <w:p>
            <w:pPr>
              <w:pStyle w:val="Compact"/>
              <w:jc w:val="left"/>
            </w:pPr>
            <w:r>
              <w:t xml:space="preserve">National Centre for Disease Control (government)</w:t>
            </w:r>
          </w:p>
        </w:tc>
      </w:tr>
      <w:tr>
        <w:tc>
          <w:tcPr/>
          <w:p>
            <w:pPr>
              <w:pStyle w:val="Compact"/>
              <w:jc w:val="left"/>
            </w:pPr>
            <w:r>
              <w:rPr>
                <w:b/>
                <w:bCs/>
              </w:rPr>
              <w:t xml:space="preserve">Coverage</w:t>
            </w:r>
          </w:p>
        </w:tc>
        <w:tc>
          <w:tcPr/>
          <w:p>
            <w:pPr>
              <w:pStyle w:val="Compact"/>
              <w:jc w:val="left"/>
            </w:pPr>
            <w:r>
              <w:t xml:space="preserve">All 28 states; 750 districts; 150,000 reporting units</w:t>
            </w:r>
          </w:p>
        </w:tc>
      </w:tr>
      <w:tr>
        <w:tc>
          <w:tcPr/>
          <w:p>
            <w:pPr>
              <w:pStyle w:val="Compact"/>
              <w:jc w:val="left"/>
            </w:pPr>
            <w:r>
              <w:rPr>
                <w:b/>
                <w:bCs/>
              </w:rPr>
              <w:t xml:space="preserve">Functions</w:t>
            </w:r>
          </w:p>
        </w:tc>
        <w:tc>
          <w:tcPr/>
          <w:p>
            <w:pPr>
              <w:pStyle w:val="Compact"/>
              <w:jc w:val="left"/>
            </w:pPr>
            <w:r>
              <w:t xml:space="preserve">Real-time syndromic surveillance, outbreak detection, alert generation, response coordination</w:t>
            </w:r>
          </w:p>
        </w:tc>
      </w:tr>
      <w:tr>
        <w:tc>
          <w:tcPr/>
          <w:p>
            <w:pPr>
              <w:pStyle w:val="Compact"/>
              <w:jc w:val="left"/>
            </w:pPr>
            <w:r>
              <w:rPr>
                <w:b/>
                <w:bCs/>
              </w:rPr>
              <w:t xml:space="preserve">Data volume</w:t>
            </w:r>
          </w:p>
        </w:tc>
        <w:tc>
          <w:tcPr/>
          <w:p>
            <w:pPr>
              <w:pStyle w:val="Compact"/>
              <w:jc w:val="left"/>
            </w:pPr>
            <w:r>
              <w:t xml:space="preserve">50 million surveillance reports/year</w:t>
            </w:r>
          </w:p>
        </w:tc>
      </w:tr>
      <w:tr>
        <w:tc>
          <w:tcPr/>
          <w:p>
            <w:pPr>
              <w:pStyle w:val="Compact"/>
              <w:jc w:val="left"/>
            </w:pPr>
            <w:r>
              <w:rPr>
                <w:b/>
                <w:bCs/>
              </w:rPr>
              <w:t xml:space="preserve">Integrations</w:t>
            </w:r>
          </w:p>
        </w:tc>
        <w:tc>
          <w:tcPr/>
          <w:p>
            <w:pPr>
              <w:pStyle w:val="Compact"/>
              <w:jc w:val="left"/>
            </w:pPr>
            <w:r>
              <w:t xml:space="preserve">Laboratory network, hospital reporting, mortality surveillance, veterinary surveillance (One Health)</w:t>
            </w:r>
          </w:p>
        </w:tc>
      </w:tr>
      <w:tr>
        <w:tc>
          <w:tcPr/>
          <w:p>
            <w:pPr>
              <w:pStyle w:val="Compact"/>
              <w:jc w:val="left"/>
            </w:pPr>
            <w:r>
              <w:rPr>
                <w:b/>
                <w:bCs/>
              </w:rPr>
              <w:t xml:space="preserve">Response capability</w:t>
            </w:r>
          </w:p>
        </w:tc>
        <w:tc>
          <w:tcPr/>
          <w:p>
            <w:pPr>
              <w:pStyle w:val="Compact"/>
              <w:jc w:val="left"/>
            </w:pPr>
            <w:r>
              <w:t xml:space="preserve">Automated alert escalation; rapid response team coordination</w:t>
            </w:r>
          </w:p>
        </w:tc>
      </w:tr>
      <w:tr>
        <w:tc>
          <w:tcPr/>
          <w:p>
            <w:pPr>
              <w:pStyle w:val="Compact"/>
              <w:jc w:val="left"/>
            </w:pPr>
            <w:r>
              <w:rPr>
                <w:b/>
                <w:bCs/>
              </w:rPr>
              <w:t xml:space="preserve">Special consideration</w:t>
            </w:r>
          </w:p>
        </w:tc>
        <w:tc>
          <w:tcPr/>
          <w:p>
            <w:pPr>
              <w:pStyle w:val="Compact"/>
              <w:jc w:val="left"/>
            </w:pPr>
            <w:r>
              <w:rPr>
                <w:b/>
                <w:bCs/>
              </w:rPr>
              <w:t xml:space="preserve">National epidemic response backbone</w:t>
            </w:r>
          </w:p>
        </w:tc>
      </w:tr>
    </w:tbl>
    <w:bookmarkEnd w:id="538"/>
    <w:bookmarkStart w:id="541" w:name="cii-classification-assessment-14"/>
    <w:p>
      <w:pPr>
        <w:pStyle w:val="Heading3"/>
      </w:pPr>
      <w:r>
        <w:t xml:space="preserve">CII Classification Assessment</w:t>
      </w:r>
    </w:p>
    <w:bookmarkStart w:id="539" w:name="automatic-tier-1-trigger-analysis-2"/>
    <w:p>
      <w:pPr>
        <w:pStyle w:val="Heading4"/>
      </w:pPr>
      <w:r>
        <w:t xml:space="preserve">Automatic Tier 1 Trigger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“Regardless of Size”</w:t>
            </w:r>
            <w:r>
              <w:t xml:space="preserve"> </w:t>
            </w:r>
            <w:r>
              <w:t xml:space="preserve">Criterion</w:t>
            </w:r>
          </w:p>
        </w:tc>
        <w:tc>
          <w:tcPr/>
          <w:p>
            <w:pPr>
              <w:pStyle w:val="Compact"/>
              <w:jc w:val="center"/>
            </w:pPr>
            <w:r>
              <w:t xml:space="preserve">Applies?</w:t>
            </w:r>
          </w:p>
        </w:tc>
      </w:tr>
      <w:tr>
        <w:tc>
          <w:tcPr/>
          <w:p>
            <w:pPr>
              <w:pStyle w:val="Compact"/>
              <w:jc w:val="left"/>
            </w:pPr>
            <w:r>
              <w:t xml:space="preserve">National infectious disease surveillance</w:t>
            </w:r>
          </w:p>
        </w:tc>
        <w:tc>
          <w:tcPr/>
          <w:p>
            <w:pPr>
              <w:pStyle w:val="Compact"/>
              <w:jc w:val="center"/>
            </w:pPr>
            <w:r>
              <w:t xml:space="preserve">✓</w:t>
            </w:r>
          </w:p>
        </w:tc>
      </w:tr>
      <w:tr>
        <w:tc>
          <w:tcPr/>
          <w:p>
            <w:pPr>
              <w:pStyle w:val="Compact"/>
              <w:jc w:val="left"/>
            </w:pPr>
            <w:r>
              <w:t xml:space="preserve">Epidemic/pandemic response capability</w:t>
            </w:r>
          </w:p>
        </w:tc>
        <w:tc>
          <w:tcPr/>
          <w:p>
            <w:pPr>
              <w:pStyle w:val="Compact"/>
              <w:jc w:val="center"/>
            </w:pPr>
            <w:r>
              <w:t xml:space="preserve">✓</w:t>
            </w:r>
          </w:p>
        </w:tc>
      </w:tr>
      <w:tr>
        <w:tc>
          <w:tcPr/>
          <w:p>
            <w:pPr>
              <w:pStyle w:val="Compact"/>
              <w:jc w:val="left"/>
            </w:pPr>
            <w:r>
              <w:t xml:space="preserve">Public health emergency coordination</w:t>
            </w:r>
          </w:p>
        </w:tc>
        <w:tc>
          <w:tcPr/>
          <w:p>
            <w:pPr>
              <w:pStyle w:val="Compact"/>
              <w:jc w:val="center"/>
            </w:pPr>
            <w:r>
              <w:t xml:space="preserve">✓</w:t>
            </w:r>
          </w:p>
        </w:tc>
      </w:tr>
      <w:tr>
        <w:tc>
          <w:tcPr/>
          <w:p>
            <w:pPr>
              <w:pStyle w:val="Compact"/>
              <w:jc w:val="left"/>
            </w:pPr>
            <w:r>
              <w:t xml:space="preserve">One Health / cross-sector integration</w:t>
            </w:r>
          </w:p>
        </w:tc>
        <w:tc>
          <w:tcPr/>
          <w:p>
            <w:pPr>
              <w:pStyle w:val="Compact"/>
              <w:jc w:val="center"/>
            </w:pPr>
            <w:r>
              <w:t xml:space="preserve">✓</w:t>
            </w:r>
          </w:p>
        </w:tc>
      </w:tr>
    </w:tbl>
    <w:bookmarkEnd w:id="539"/>
    <w:bookmarkStart w:id="540" w:name="scoring-developing-country-framework-9"/>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National Coverage</w:t>
            </w:r>
          </w:p>
        </w:tc>
        <w:tc>
          <w:tcPr/>
          <w:p>
            <w:pPr>
              <w:pStyle w:val="Compact"/>
              <w:jc w:val="left"/>
            </w:pPr>
            <w:r>
              <w:t xml:space="preserve">100% district coverage; 150,000 reporting points</w:t>
            </w:r>
          </w:p>
        </w:tc>
        <w:tc>
          <w:tcPr/>
          <w:p>
            <w:pPr>
              <w:pStyle w:val="Compact"/>
              <w:jc w:val="center"/>
            </w:pPr>
            <w:r>
              <w:t xml:space="preserve">30</w:t>
            </w:r>
          </w:p>
        </w:tc>
      </w:tr>
      <w:tr>
        <w:tc>
          <w:tcPr/>
          <w:p>
            <w:pPr>
              <w:pStyle w:val="Compact"/>
              <w:jc w:val="left"/>
            </w:pPr>
            <w:r>
              <w:rPr>
                <w:b/>
                <w:bCs/>
              </w:rPr>
              <w:t xml:space="preserve">B. Public Health Function</w:t>
            </w:r>
          </w:p>
        </w:tc>
        <w:tc>
          <w:tcPr/>
          <w:p>
            <w:pPr>
              <w:pStyle w:val="Compact"/>
              <w:jc w:val="left"/>
            </w:pPr>
            <w:r>
              <w:t xml:space="preserve">Epidemic detection and response</w:t>
            </w:r>
          </w:p>
        </w:tc>
        <w:tc>
          <w:tcPr/>
          <w:p>
            <w:pPr>
              <w:pStyle w:val="Compact"/>
              <w:jc w:val="center"/>
            </w:pPr>
            <w:r>
              <w:t xml:space="preserve">25</w:t>
            </w:r>
          </w:p>
        </w:tc>
      </w:tr>
      <w:tr>
        <w:tc>
          <w:tcPr/>
          <w:p>
            <w:pPr>
              <w:pStyle w:val="Compact"/>
              <w:jc w:val="left"/>
            </w:pPr>
            <w:r>
              <w:rPr>
                <w:b/>
                <w:bCs/>
              </w:rPr>
              <w:t xml:space="preserve">C. Real-time Criticality</w:t>
            </w:r>
          </w:p>
        </w:tc>
        <w:tc>
          <w:tcPr/>
          <w:p>
            <w:pPr>
              <w:pStyle w:val="Compact"/>
              <w:jc w:val="left"/>
            </w:pPr>
            <w:r>
              <w:t xml:space="preserve">Outbreak detection delays cost lives</w:t>
            </w:r>
          </w:p>
        </w:tc>
        <w:tc>
          <w:tcPr/>
          <w:p>
            <w:pPr>
              <w:pStyle w:val="Compact"/>
              <w:jc w:val="center"/>
            </w:pPr>
            <w:r>
              <w:t xml:space="preserve">20</w:t>
            </w:r>
          </w:p>
        </w:tc>
      </w:tr>
      <w:tr>
        <w:tc>
          <w:tcPr/>
          <w:p>
            <w:pPr>
              <w:pStyle w:val="Compact"/>
              <w:jc w:val="left"/>
            </w:pPr>
            <w:r>
              <w:rPr>
                <w:b/>
                <w:bCs/>
              </w:rPr>
              <w:t xml:space="preserve">D. Cross-sector Integration</w:t>
            </w:r>
          </w:p>
        </w:tc>
        <w:tc>
          <w:tcPr/>
          <w:p>
            <w:pPr>
              <w:pStyle w:val="Compact"/>
              <w:jc w:val="left"/>
            </w:pPr>
            <w:r>
              <w:t xml:space="preserve">One Health (human + animal surveillance)</w:t>
            </w:r>
          </w:p>
        </w:tc>
        <w:tc>
          <w:tcPr/>
          <w:p>
            <w:pPr>
              <w:pStyle w:val="Compact"/>
              <w:jc w:val="center"/>
            </w:pPr>
            <w:r>
              <w:t xml:space="preserve">10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85</w:t>
            </w:r>
          </w:p>
        </w:tc>
      </w:tr>
    </w:tbl>
    <w:bookmarkEnd w:id="540"/>
    <w:bookmarkEnd w:id="541"/>
    <w:bookmarkStart w:id="542" w:name="classification-result-14"/>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85</w:t>
            </w:r>
          </w:p>
        </w:tc>
        <w:tc>
          <w:tcPr/>
          <w:p>
            <w:pPr>
              <w:pStyle w:val="Compact"/>
              <w:jc w:val="left"/>
            </w:pPr>
            <w:r>
              <w:rPr>
                <w:b/>
                <w:bCs/>
              </w:rPr>
              <w:t xml:space="preserve">Tier 1 (Essential)</w:t>
            </w:r>
          </w:p>
        </w:tc>
        <w:tc>
          <w:tcPr/>
          <w:p>
            <w:pPr>
              <w:pStyle w:val="Compact"/>
              <w:jc w:val="left"/>
            </w:pPr>
            <w:r>
              <w:t xml:space="preserve">National epidemic response backbone; automatic trigger</w:t>
            </w:r>
          </w:p>
        </w:tc>
      </w:tr>
    </w:tbl>
    <w:p>
      <w:pPr>
        <w:pStyle w:val="BlockText"/>
      </w:pPr>
      <w:r>
        <w:t xml:space="preserve">[!IMPORTANT]</w:t>
      </w:r>
      <w:r>
        <w:t xml:space="preserve"> </w:t>
      </w:r>
      <w:r>
        <w:t xml:space="preserve">Population-based surveillance systems are</w:t>
      </w:r>
      <w:r>
        <w:t xml:space="preserve"> </w:t>
      </w:r>
      <w:r>
        <w:rPr>
          <w:b/>
          <w:bCs/>
        </w:rPr>
        <w:t xml:space="preserve">foundational pandemic preparedness infrastructure</w:t>
      </w:r>
      <w:r>
        <w:t xml:space="preserve">. COVID-19 demonstrated that countries with robust surveillance detected outbreaks faster and responded more effectively. This is</w:t>
      </w:r>
      <w:r>
        <w:t xml:space="preserve"> </w:t>
      </w:r>
      <w:r>
        <w:rPr>
          <w:b/>
          <w:bCs/>
        </w:rPr>
        <w:t xml:space="preserve">non-negotiable Tier 1</w:t>
      </w:r>
      <w:r>
        <w:t xml:space="preserve">.</w:t>
      </w:r>
    </w:p>
    <w:bookmarkEnd w:id="542"/>
    <w:bookmarkStart w:id="543" w:name="applicable-obligations-11"/>
    <w:p>
      <w:pPr>
        <w:pStyle w:val="Heading3"/>
      </w:pPr>
      <w:r>
        <w:t xml:space="preserve">Applicable Obligations</w:t>
      </w:r>
    </w:p>
    <w:p>
      <w:pPr>
        <w:pStyle w:val="Compact"/>
        <w:numPr>
          <w:ilvl w:val="0"/>
          <w:numId w:val="1338"/>
        </w:numPr>
      </w:pPr>
      <w:r>
        <w:t xml:space="preserve">Dedicated CISO + 24/7 Security Operations Centre</w:t>
      </w:r>
    </w:p>
    <w:p>
      <w:pPr>
        <w:pStyle w:val="Compact"/>
        <w:numPr>
          <w:ilvl w:val="0"/>
          <w:numId w:val="1338"/>
        </w:numPr>
      </w:pPr>
      <w:r>
        <w:t xml:space="preserve">Continuous security monitoring (real-time system criticality)</w:t>
      </w:r>
    </w:p>
    <w:p>
      <w:pPr>
        <w:pStyle w:val="Compact"/>
        <w:numPr>
          <w:ilvl w:val="0"/>
          <w:numId w:val="1338"/>
        </w:numPr>
      </w:pPr>
      <w:r>
        <w:t xml:space="preserve">12-hour incident reporting (given outbreak detection dependency)</w:t>
      </w:r>
    </w:p>
    <w:p>
      <w:pPr>
        <w:pStyle w:val="Compact"/>
        <w:numPr>
          <w:ilvl w:val="0"/>
          <w:numId w:val="1338"/>
        </w:numPr>
      </w:pPr>
      <w:r>
        <w:t xml:space="preserve">Highly available infrastructure (multi-site redundancy)</w:t>
      </w:r>
    </w:p>
    <w:p>
      <w:pPr>
        <w:pStyle w:val="Compact"/>
        <w:numPr>
          <w:ilvl w:val="0"/>
          <w:numId w:val="1338"/>
        </w:numPr>
      </w:pPr>
      <w:r>
        <w:t xml:space="preserve">Data integrity controls (false data injection is attack vector)</w:t>
      </w:r>
    </w:p>
    <w:p>
      <w:pPr>
        <w:pStyle w:val="Compact"/>
        <w:numPr>
          <w:ilvl w:val="0"/>
          <w:numId w:val="1338"/>
        </w:numPr>
      </w:pPr>
      <w:r>
        <w:t xml:space="preserve">Integration security (APIs to laboratories, hospitals, veterinary)</w:t>
      </w:r>
    </w:p>
    <w:p>
      <w:pPr>
        <w:pStyle w:val="Compact"/>
        <w:numPr>
          <w:ilvl w:val="0"/>
          <w:numId w:val="1338"/>
        </w:numPr>
      </w:pPr>
      <w:r>
        <w:t xml:space="preserve">Annual penetration testing</w:t>
      </w:r>
    </w:p>
    <w:p>
      <w:pPr>
        <w:pStyle w:val="Compact"/>
        <w:numPr>
          <w:ilvl w:val="0"/>
          <w:numId w:val="1338"/>
        </w:numPr>
      </w:pPr>
      <w:r>
        <w:t xml:space="preserve">Participation in national cyber exercises</w:t>
      </w:r>
    </w:p>
    <w:p>
      <w:r>
        <w:pict>
          <v:rect style="width:0;height:1.5pt" o:hralign="center" o:hrstd="t" o:hr="t"/>
        </w:pict>
      </w:r>
    </w:p>
    <w:bookmarkEnd w:id="543"/>
    <w:bookmarkEnd w:id="544"/>
    <w:bookmarkStart w:id="551" w:name="Xb37de2ac2d59ae6c4b9d391b88df3b1f5af7c6b"/>
    <w:p>
      <w:pPr>
        <w:pStyle w:val="Heading2"/>
      </w:pPr>
      <w:r>
        <w:t xml:space="preserve">Case Study 2: National TB Elimination Program -</w:t>
      </w:r>
      <w:r>
        <w:t xml:space="preserve"> </w:t>
      </w:r>
      <w:r>
        <w:t xml:space="preserve">“TB-Mukt Bharat”</w:t>
      </w:r>
    </w:p>
    <w:bookmarkStart w:id="545" w:name="entity-profile-15"/>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TB-Mukt Bharat (National Tuberculosis Elimination Program)</w:t>
            </w:r>
          </w:p>
        </w:tc>
      </w:tr>
      <w:tr>
        <w:tc>
          <w:tcPr/>
          <w:p>
            <w:pPr>
              <w:pStyle w:val="Compact"/>
              <w:jc w:val="left"/>
            </w:pPr>
            <w:r>
              <w:rPr>
                <w:b/>
                <w:bCs/>
              </w:rPr>
              <w:t xml:space="preserve">Type</w:t>
            </w:r>
          </w:p>
        </w:tc>
        <w:tc>
          <w:tcPr/>
          <w:p>
            <w:pPr>
              <w:pStyle w:val="Compact"/>
              <w:jc w:val="left"/>
            </w:pPr>
            <w:r>
              <w:t xml:space="preserve">National disease control program</w:t>
            </w:r>
          </w:p>
        </w:tc>
      </w:tr>
      <w:tr>
        <w:tc>
          <w:tcPr/>
          <w:p>
            <w:pPr>
              <w:pStyle w:val="Compact"/>
              <w:jc w:val="left"/>
            </w:pPr>
            <w:r>
              <w:rPr>
                <w:b/>
                <w:bCs/>
              </w:rPr>
              <w:t xml:space="preserve">Operator</w:t>
            </w:r>
          </w:p>
        </w:tc>
        <w:tc>
          <w:tcPr/>
          <w:p>
            <w:pPr>
              <w:pStyle w:val="Compact"/>
              <w:jc w:val="left"/>
            </w:pPr>
            <w:r>
              <w:t xml:space="preserve">Central TB Division, Ministry of Health (government)</w:t>
            </w:r>
          </w:p>
        </w:tc>
      </w:tr>
      <w:tr>
        <w:tc>
          <w:tcPr/>
          <w:p>
            <w:pPr>
              <w:pStyle w:val="Compact"/>
              <w:jc w:val="left"/>
            </w:pPr>
            <w:r>
              <w:rPr>
                <w:b/>
                <w:bCs/>
              </w:rPr>
              <w:t xml:space="preserve">Coverage</w:t>
            </w:r>
          </w:p>
        </w:tc>
        <w:tc>
          <w:tcPr/>
          <w:p>
            <w:pPr>
              <w:pStyle w:val="Compact"/>
              <w:jc w:val="left"/>
            </w:pPr>
            <w:r>
              <w:t xml:space="preserve">All 28 states; 750 districts; 1.2 million+ DOTS providers</w:t>
            </w:r>
          </w:p>
        </w:tc>
      </w:tr>
      <w:tr>
        <w:tc>
          <w:tcPr/>
          <w:p>
            <w:pPr>
              <w:pStyle w:val="Compact"/>
              <w:jc w:val="left"/>
            </w:pPr>
            <w:r>
              <w:rPr>
                <w:b/>
                <w:bCs/>
              </w:rPr>
              <w:t xml:space="preserve">Annual notifications</w:t>
            </w:r>
          </w:p>
        </w:tc>
        <w:tc>
          <w:tcPr/>
          <w:p>
            <w:pPr>
              <w:pStyle w:val="Compact"/>
              <w:jc w:val="left"/>
            </w:pPr>
            <w:r>
              <w:t xml:space="preserve">2.5 million TB cases notified/year</w:t>
            </w:r>
          </w:p>
        </w:tc>
      </w:tr>
      <w:tr>
        <w:tc>
          <w:tcPr/>
          <w:p>
            <w:pPr>
              <w:pStyle w:val="Compact"/>
              <w:jc w:val="left"/>
            </w:pPr>
            <w:r>
              <w:rPr>
                <w:b/>
                <w:bCs/>
              </w:rPr>
              <w:t xml:space="preserve">Functions</w:t>
            </w:r>
          </w:p>
        </w:tc>
        <w:tc>
          <w:tcPr/>
          <w:p>
            <w:pPr>
              <w:pStyle w:val="Compact"/>
              <w:jc w:val="left"/>
            </w:pPr>
            <w:r>
              <w:t xml:space="preserve">Case notification, treatment tracking, drug resistance surveillance, contact tracing, preventive therapy</w:t>
            </w:r>
          </w:p>
        </w:tc>
      </w:tr>
      <w:tr>
        <w:tc>
          <w:tcPr/>
          <w:p>
            <w:pPr>
              <w:pStyle w:val="Compact"/>
              <w:jc w:val="left"/>
            </w:pPr>
            <w:r>
              <w:rPr>
                <w:b/>
                <w:bCs/>
              </w:rPr>
              <w:t xml:space="preserve">Key systems</w:t>
            </w:r>
          </w:p>
        </w:tc>
        <w:tc>
          <w:tcPr/>
          <w:p>
            <w:pPr>
              <w:pStyle w:val="Compact"/>
              <w:jc w:val="left"/>
            </w:pPr>
            <w:r>
              <w:t xml:space="preserve">Ni-kshay (national TB notification portal), drug logistics (DVS), lab network (RNTCP-NET)</w:t>
            </w:r>
          </w:p>
        </w:tc>
      </w:tr>
      <w:tr>
        <w:tc>
          <w:tcPr/>
          <w:p>
            <w:pPr>
              <w:pStyle w:val="Compact"/>
              <w:jc w:val="left"/>
            </w:pPr>
            <w:r>
              <w:rPr>
                <w:b/>
                <w:bCs/>
              </w:rPr>
              <w:t xml:space="preserve">Integrations</w:t>
            </w:r>
          </w:p>
        </w:tc>
        <w:tc>
          <w:tcPr/>
          <w:p>
            <w:pPr>
              <w:pStyle w:val="Compact"/>
              <w:jc w:val="left"/>
            </w:pPr>
            <w:r>
              <w:t xml:space="preserve">Linked to death registry, private sector portal, pharmacy dispensation, insurance</w:t>
            </w:r>
          </w:p>
        </w:tc>
      </w:tr>
      <w:tr>
        <w:tc>
          <w:tcPr/>
          <w:p>
            <w:pPr>
              <w:pStyle w:val="Compact"/>
              <w:jc w:val="left"/>
            </w:pPr>
            <w:r>
              <w:rPr>
                <w:b/>
                <w:bCs/>
              </w:rPr>
              <w:t xml:space="preserve">International obligations</w:t>
            </w:r>
          </w:p>
        </w:tc>
        <w:tc>
          <w:tcPr/>
          <w:p>
            <w:pPr>
              <w:pStyle w:val="Compact"/>
              <w:jc w:val="left"/>
            </w:pPr>
            <w:r>
              <w:t xml:space="preserve">WHO End TB Strategy reporting; Global Fund accountability</w:t>
            </w:r>
          </w:p>
        </w:tc>
      </w:tr>
      <w:tr>
        <w:tc>
          <w:tcPr/>
          <w:p>
            <w:pPr>
              <w:pStyle w:val="Compact"/>
              <w:jc w:val="left"/>
            </w:pPr>
            <w:r>
              <w:rPr>
                <w:b/>
                <w:bCs/>
              </w:rPr>
              <w:t xml:space="preserve">Special consideration</w:t>
            </w:r>
          </w:p>
        </w:tc>
        <w:tc>
          <w:tcPr/>
          <w:p>
            <w:pPr>
              <w:pStyle w:val="Compact"/>
              <w:jc w:val="left"/>
            </w:pPr>
            <w:r>
              <w:rPr>
                <w:b/>
                <w:bCs/>
              </w:rPr>
              <w:t xml:space="preserve">India has highest TB burden globally; elimination target 2025</w:t>
            </w:r>
          </w:p>
        </w:tc>
      </w:tr>
    </w:tbl>
    <w:bookmarkEnd w:id="545"/>
    <w:bookmarkStart w:id="548" w:name="cii-classification-assessment-15"/>
    <w:p>
      <w:pPr>
        <w:pStyle w:val="Heading3"/>
      </w:pPr>
      <w:r>
        <w:t xml:space="preserve">CII Classification Assessment</w:t>
      </w:r>
    </w:p>
    <w:bookmarkStart w:id="546" w:name="automatic-tier-1-trigger-analysis-3"/>
    <w:p>
      <w:pPr>
        <w:pStyle w:val="Heading4"/>
      </w:pPr>
      <w:r>
        <w:t xml:space="preserve">Automatic Tier 1 Trigger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“Regardless of Size”</w:t>
            </w:r>
            <w:r>
              <w:t xml:space="preserve"> </w:t>
            </w:r>
            <w:r>
              <w:t xml:space="preserve">Criterion</w:t>
            </w:r>
          </w:p>
        </w:tc>
        <w:tc>
          <w:tcPr/>
          <w:p>
            <w:pPr>
              <w:pStyle w:val="Compact"/>
              <w:jc w:val="center"/>
            </w:pPr>
            <w:r>
              <w:t xml:space="preserve">Applies?</w:t>
            </w:r>
          </w:p>
        </w:tc>
      </w:tr>
      <w:tr>
        <w:tc>
          <w:tcPr/>
          <w:p>
            <w:pPr>
              <w:pStyle w:val="Compact"/>
              <w:jc w:val="left"/>
            </w:pPr>
            <w:r>
              <w:t xml:space="preserve">National disease surveillance function</w:t>
            </w:r>
          </w:p>
        </w:tc>
        <w:tc>
          <w:tcPr/>
          <w:p>
            <w:pPr>
              <w:pStyle w:val="Compact"/>
              <w:jc w:val="center"/>
            </w:pPr>
            <w:r>
              <w:t xml:space="preserve">✓</w:t>
            </w:r>
          </w:p>
        </w:tc>
      </w:tr>
      <w:tr>
        <w:tc>
          <w:tcPr/>
          <w:p>
            <w:pPr>
              <w:pStyle w:val="Compact"/>
              <w:jc w:val="left"/>
            </w:pPr>
            <w:r>
              <w:t xml:space="preserve">Epidemic control program</w:t>
            </w:r>
          </w:p>
        </w:tc>
        <w:tc>
          <w:tcPr/>
          <w:p>
            <w:pPr>
              <w:pStyle w:val="Compact"/>
              <w:jc w:val="center"/>
            </w:pPr>
            <w:r>
              <w:t xml:space="preserve">✓</w:t>
            </w:r>
          </w:p>
        </w:tc>
      </w:tr>
      <w:tr>
        <w:tc>
          <w:tcPr/>
          <w:p>
            <w:pPr>
              <w:pStyle w:val="Compact"/>
              <w:jc w:val="left"/>
            </w:pPr>
            <w:r>
              <w:t xml:space="preserve">International reporting obligations</w:t>
            </w:r>
          </w:p>
        </w:tc>
        <w:tc>
          <w:tcPr/>
          <w:p>
            <w:pPr>
              <w:pStyle w:val="Compact"/>
              <w:jc w:val="center"/>
            </w:pPr>
            <w:r>
              <w:t xml:space="preserve">✓</w:t>
            </w:r>
          </w:p>
        </w:tc>
      </w:tr>
      <w:tr>
        <w:tc>
          <w:tcPr/>
          <w:p>
            <w:pPr>
              <w:pStyle w:val="Compact"/>
              <w:jc w:val="left"/>
            </w:pPr>
            <w:r>
              <w:t xml:space="preserve">Drug supply chain management</w:t>
            </w:r>
          </w:p>
        </w:tc>
        <w:tc>
          <w:tcPr/>
          <w:p>
            <w:pPr>
              <w:pStyle w:val="Compact"/>
              <w:jc w:val="center"/>
            </w:pPr>
            <w:r>
              <w:t xml:space="preserve">✓</w:t>
            </w:r>
          </w:p>
        </w:tc>
      </w:tr>
    </w:tbl>
    <w:bookmarkEnd w:id="546"/>
    <w:bookmarkStart w:id="547" w:name="scoring-developing-country-framework-10"/>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National Coverage</w:t>
            </w:r>
          </w:p>
        </w:tc>
        <w:tc>
          <w:tcPr/>
          <w:p>
            <w:pPr>
              <w:pStyle w:val="Compact"/>
              <w:jc w:val="left"/>
            </w:pPr>
            <w:r>
              <w:t xml:space="preserve">100% district coverage; 2.5M cases/year</w:t>
            </w:r>
          </w:p>
        </w:tc>
        <w:tc>
          <w:tcPr/>
          <w:p>
            <w:pPr>
              <w:pStyle w:val="Compact"/>
              <w:jc w:val="center"/>
            </w:pPr>
            <w:r>
              <w:t xml:space="preserve">30</w:t>
            </w:r>
          </w:p>
        </w:tc>
      </w:tr>
      <w:tr>
        <w:tc>
          <w:tcPr/>
          <w:p>
            <w:pPr>
              <w:pStyle w:val="Compact"/>
              <w:jc w:val="left"/>
            </w:pPr>
            <w:r>
              <w:rPr>
                <w:b/>
                <w:bCs/>
              </w:rPr>
              <w:t xml:space="preserve">B. Public Health Function</w:t>
            </w:r>
          </w:p>
        </w:tc>
        <w:tc>
          <w:tcPr/>
          <w:p>
            <w:pPr>
              <w:pStyle w:val="Compact"/>
              <w:jc w:val="left"/>
            </w:pPr>
            <w:r>
              <w:t xml:space="preserve">TB elimination national priority</w:t>
            </w:r>
          </w:p>
        </w:tc>
        <w:tc>
          <w:tcPr/>
          <w:p>
            <w:pPr>
              <w:pStyle w:val="Compact"/>
              <w:jc w:val="center"/>
            </w:pPr>
            <w:r>
              <w:t xml:space="preserve">25</w:t>
            </w:r>
          </w:p>
        </w:tc>
      </w:tr>
      <w:tr>
        <w:tc>
          <w:tcPr/>
          <w:p>
            <w:pPr>
              <w:pStyle w:val="Compact"/>
              <w:jc w:val="left"/>
            </w:pPr>
            <w:r>
              <w:rPr>
                <w:b/>
                <w:bCs/>
              </w:rPr>
              <w:t xml:space="preserve">C. Drug Supply Chain</w:t>
            </w:r>
          </w:p>
        </w:tc>
        <w:tc>
          <w:tcPr/>
          <w:p>
            <w:pPr>
              <w:pStyle w:val="Compact"/>
              <w:jc w:val="left"/>
            </w:pPr>
            <w:r>
              <w:t xml:space="preserve">National TB drug procurement and distribution</w:t>
            </w:r>
          </w:p>
        </w:tc>
        <w:tc>
          <w:tcPr/>
          <w:p>
            <w:pPr>
              <w:pStyle w:val="Compact"/>
              <w:jc w:val="center"/>
            </w:pPr>
            <w:r>
              <w:t xml:space="preserve">15</w:t>
            </w:r>
          </w:p>
        </w:tc>
      </w:tr>
      <w:tr>
        <w:tc>
          <w:tcPr/>
          <w:p>
            <w:pPr>
              <w:pStyle w:val="Compact"/>
              <w:jc w:val="left"/>
            </w:pPr>
            <w:r>
              <w:rPr>
                <w:b/>
                <w:bCs/>
              </w:rPr>
              <w:t xml:space="preserve">D. International Accountability</w:t>
            </w:r>
          </w:p>
        </w:tc>
        <w:tc>
          <w:tcPr/>
          <w:p>
            <w:pPr>
              <w:pStyle w:val="Compact"/>
              <w:jc w:val="left"/>
            </w:pPr>
            <w:r>
              <w:t xml:space="preserve">WHO reporting; Global Fund grants</w:t>
            </w:r>
          </w:p>
        </w:tc>
        <w:tc>
          <w:tcPr/>
          <w:p>
            <w:pPr>
              <w:pStyle w:val="Compact"/>
              <w:jc w:val="center"/>
            </w:pPr>
            <w:r>
              <w:t xml:space="preserve">10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80</w:t>
            </w:r>
          </w:p>
        </w:tc>
      </w:tr>
    </w:tbl>
    <w:bookmarkEnd w:id="547"/>
    <w:bookmarkEnd w:id="548"/>
    <w:bookmarkStart w:id="549" w:name="classification-result-15"/>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80</w:t>
            </w:r>
          </w:p>
        </w:tc>
        <w:tc>
          <w:tcPr/>
          <w:p>
            <w:pPr>
              <w:pStyle w:val="Compact"/>
              <w:jc w:val="left"/>
            </w:pPr>
            <w:r>
              <w:rPr>
                <w:b/>
                <w:bCs/>
              </w:rPr>
              <w:t xml:space="preserve">Tier 1 (Essential)</w:t>
            </w:r>
          </w:p>
        </w:tc>
        <w:tc>
          <w:tcPr/>
          <w:p>
            <w:pPr>
              <w:pStyle w:val="Compact"/>
              <w:jc w:val="left"/>
            </w:pPr>
            <w:r>
              <w:t xml:space="preserve">National TB elimination program; automatic trigger for disease surveillance</w:t>
            </w:r>
          </w:p>
        </w:tc>
      </w:tr>
    </w:tbl>
    <w:p>
      <w:pPr>
        <w:pStyle w:val="BlockText"/>
      </w:pPr>
      <w:r>
        <w:t xml:space="preserve">[!IMPORTANT]</w:t>
      </w:r>
      <w:r>
        <w:t xml:space="preserve"> </w:t>
      </w:r>
      <w:r>
        <w:t xml:space="preserve">National disease control programs like TB-Mukt Bharat are</w:t>
      </w:r>
      <w:r>
        <w:t xml:space="preserve"> </w:t>
      </w:r>
      <w:r>
        <w:rPr>
          <w:b/>
          <w:bCs/>
        </w:rPr>
        <w:t xml:space="preserve">disease-specific critical infrastructure</w:t>
      </w:r>
      <w:r>
        <w:t xml:space="preserve">. Disruption affects case detection, treatment continuity, drug supply, and international reporting.</w:t>
      </w:r>
      <w:r>
        <w:t xml:space="preserve"> </w:t>
      </w:r>
      <w:r>
        <w:rPr>
          <w:b/>
          <w:bCs/>
        </w:rPr>
        <w:t xml:space="preserve">Drug-resistant TB emergence</w:t>
      </w:r>
      <w:r>
        <w:t xml:space="preserve"> </w:t>
      </w:r>
      <w:r>
        <w:t xml:space="preserve">is a direct consequence of treatment disruption.</w:t>
      </w:r>
    </w:p>
    <w:bookmarkEnd w:id="549"/>
    <w:bookmarkStart w:id="550" w:name="applicable-obligations-12"/>
    <w:p>
      <w:pPr>
        <w:pStyle w:val="Heading3"/>
      </w:pPr>
      <w:r>
        <w:t xml:space="preserve">Applicable Obligations</w:t>
      </w:r>
    </w:p>
    <w:p>
      <w:pPr>
        <w:pStyle w:val="Compact"/>
        <w:numPr>
          <w:ilvl w:val="0"/>
          <w:numId w:val="1339"/>
        </w:numPr>
      </w:pPr>
      <w:r>
        <w:t xml:space="preserve">Dedicated program security officer</w:t>
      </w:r>
    </w:p>
    <w:p>
      <w:pPr>
        <w:pStyle w:val="Compact"/>
        <w:numPr>
          <w:ilvl w:val="0"/>
          <w:numId w:val="1339"/>
        </w:numPr>
      </w:pPr>
      <w:r>
        <w:t xml:space="preserve">Annual audit of Ni-kshay and connected systems</w:t>
      </w:r>
    </w:p>
    <w:p>
      <w:pPr>
        <w:pStyle w:val="Compact"/>
        <w:numPr>
          <w:ilvl w:val="0"/>
          <w:numId w:val="1339"/>
        </w:numPr>
      </w:pPr>
      <w:r>
        <w:t xml:space="preserve">24-hour incident reporting (especially for supply chain disruption)</w:t>
      </w:r>
    </w:p>
    <w:p>
      <w:pPr>
        <w:pStyle w:val="Compact"/>
        <w:numPr>
          <w:ilvl w:val="0"/>
          <w:numId w:val="1339"/>
        </w:numPr>
      </w:pPr>
      <w:r>
        <w:t xml:space="preserve">Drug logistics system integrity monitoring</w:t>
      </w:r>
    </w:p>
    <w:p>
      <w:pPr>
        <w:pStyle w:val="Compact"/>
        <w:numPr>
          <w:ilvl w:val="0"/>
          <w:numId w:val="1339"/>
        </w:numPr>
      </w:pPr>
      <w:r>
        <w:t xml:space="preserve">Laboratory network data security</w:t>
      </w:r>
    </w:p>
    <w:p>
      <w:pPr>
        <w:pStyle w:val="Compact"/>
        <w:numPr>
          <w:ilvl w:val="0"/>
          <w:numId w:val="1339"/>
        </w:numPr>
      </w:pPr>
      <w:r>
        <w:t xml:space="preserve">Private sector portal integration security</w:t>
      </w:r>
    </w:p>
    <w:p>
      <w:pPr>
        <w:pStyle w:val="Compact"/>
        <w:numPr>
          <w:ilvl w:val="0"/>
          <w:numId w:val="1339"/>
        </w:numPr>
      </w:pPr>
      <w:r>
        <w:t xml:space="preserve">State-level IT node security coordination</w:t>
      </w:r>
    </w:p>
    <w:p>
      <w:pPr>
        <w:pStyle w:val="Compact"/>
        <w:numPr>
          <w:ilvl w:val="0"/>
          <w:numId w:val="1339"/>
        </w:numPr>
      </w:pPr>
      <w:r>
        <w:t xml:space="preserve">Data quality and integrity controls (false notifications are attack vector)</w:t>
      </w:r>
    </w:p>
    <w:p>
      <w:r>
        <w:pict>
          <v:rect style="width:0;height:1.5pt" o:hralign="center" o:hrstd="t" o:hr="t"/>
        </w:pict>
      </w:r>
    </w:p>
    <w:bookmarkEnd w:id="550"/>
    <w:bookmarkEnd w:id="551"/>
    <w:bookmarkStart w:id="558" w:name="X339fe46381be57a49b21786b40ebb77b8f771d0"/>
    <w:p>
      <w:pPr>
        <w:pStyle w:val="Heading2"/>
      </w:pPr>
      <w:r>
        <w:t xml:space="preserve">Case Study 3: National NCD Program -</w:t>
      </w:r>
      <w:r>
        <w:t xml:space="preserve"> </w:t>
      </w:r>
      <w:r>
        <w:t xml:space="preserve">“Sankalp”</w:t>
      </w:r>
    </w:p>
    <w:bookmarkStart w:id="552" w:name="entity-profile-16"/>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Sankalp (National Programme for Prevention and Control of NCDs)</w:t>
            </w:r>
          </w:p>
        </w:tc>
      </w:tr>
      <w:tr>
        <w:tc>
          <w:tcPr/>
          <w:p>
            <w:pPr>
              <w:pStyle w:val="Compact"/>
              <w:jc w:val="left"/>
            </w:pPr>
            <w:r>
              <w:rPr>
                <w:b/>
                <w:bCs/>
              </w:rPr>
              <w:t xml:space="preserve">Type</w:t>
            </w:r>
          </w:p>
        </w:tc>
        <w:tc>
          <w:tcPr/>
          <w:p>
            <w:pPr>
              <w:pStyle w:val="Compact"/>
              <w:jc w:val="left"/>
            </w:pPr>
            <w:r>
              <w:t xml:space="preserve">National non-communicable disease control program</w:t>
            </w:r>
          </w:p>
        </w:tc>
      </w:tr>
      <w:tr>
        <w:tc>
          <w:tcPr/>
          <w:p>
            <w:pPr>
              <w:pStyle w:val="Compact"/>
              <w:jc w:val="left"/>
            </w:pPr>
            <w:r>
              <w:rPr>
                <w:b/>
                <w:bCs/>
              </w:rPr>
              <w:t xml:space="preserve">Operator</w:t>
            </w:r>
          </w:p>
        </w:tc>
        <w:tc>
          <w:tcPr/>
          <w:p>
            <w:pPr>
              <w:pStyle w:val="Compact"/>
              <w:jc w:val="left"/>
            </w:pPr>
            <w:r>
              <w:t xml:space="preserve">NCD Division, Ministry of Health (government)</w:t>
            </w:r>
          </w:p>
        </w:tc>
      </w:tr>
      <w:tr>
        <w:tc>
          <w:tcPr/>
          <w:p>
            <w:pPr>
              <w:pStyle w:val="Compact"/>
              <w:jc w:val="left"/>
            </w:pPr>
            <w:r>
              <w:rPr>
                <w:b/>
                <w:bCs/>
              </w:rPr>
              <w:t xml:space="preserve">Coverage</w:t>
            </w:r>
          </w:p>
        </w:tc>
        <w:tc>
          <w:tcPr/>
          <w:p>
            <w:pPr>
              <w:pStyle w:val="Compact"/>
              <w:jc w:val="left"/>
            </w:pPr>
            <w:r>
              <w:t xml:space="preserve">700+ NCD clinics; 150,000+ HWCs for screening</w:t>
            </w:r>
          </w:p>
        </w:tc>
      </w:tr>
      <w:tr>
        <w:tc>
          <w:tcPr/>
          <w:p>
            <w:pPr>
              <w:pStyle w:val="Compact"/>
              <w:jc w:val="left"/>
            </w:pPr>
            <w:r>
              <w:rPr>
                <w:b/>
                <w:bCs/>
              </w:rPr>
              <w:t xml:space="preserve">Focus areas</w:t>
            </w:r>
          </w:p>
        </w:tc>
        <w:tc>
          <w:tcPr/>
          <w:p>
            <w:pPr>
              <w:pStyle w:val="Compact"/>
              <w:jc w:val="left"/>
            </w:pPr>
            <w:r>
              <w:t xml:space="preserve">Diabetes, hypertension, cancer, cardiovascular disease, stroke</w:t>
            </w:r>
          </w:p>
        </w:tc>
      </w:tr>
      <w:tr>
        <w:tc>
          <w:tcPr/>
          <w:p>
            <w:pPr>
              <w:pStyle w:val="Compact"/>
              <w:jc w:val="left"/>
            </w:pPr>
            <w:r>
              <w:rPr>
                <w:b/>
                <w:bCs/>
              </w:rPr>
              <w:t xml:space="preserve">Functions</w:t>
            </w:r>
          </w:p>
        </w:tc>
        <w:tc>
          <w:tcPr/>
          <w:p>
            <w:pPr>
              <w:pStyle w:val="Compact"/>
              <w:jc w:val="left"/>
            </w:pPr>
            <w:r>
              <w:t xml:space="preserve">Population screening, risk stratification, treatment protocols, follow-up tracking</w:t>
            </w:r>
          </w:p>
        </w:tc>
      </w:tr>
      <w:tr>
        <w:tc>
          <w:tcPr/>
          <w:p>
            <w:pPr>
              <w:pStyle w:val="Compact"/>
              <w:jc w:val="left"/>
            </w:pPr>
            <w:r>
              <w:rPr>
                <w:b/>
                <w:bCs/>
              </w:rPr>
              <w:t xml:space="preserve">Key systems</w:t>
            </w:r>
          </w:p>
        </w:tc>
        <w:tc>
          <w:tcPr/>
          <w:p>
            <w:pPr>
              <w:pStyle w:val="Compact"/>
              <w:jc w:val="left"/>
            </w:pPr>
            <w:r>
              <w:t xml:space="preserve">NCD App (screening/tracking), Cancer Registry integration, CPHC portal</w:t>
            </w:r>
          </w:p>
        </w:tc>
      </w:tr>
      <w:tr>
        <w:tc>
          <w:tcPr/>
          <w:p>
            <w:pPr>
              <w:pStyle w:val="Compact"/>
              <w:jc w:val="left"/>
            </w:pPr>
            <w:r>
              <w:rPr>
                <w:b/>
                <w:bCs/>
              </w:rPr>
              <w:t xml:space="preserve">Screenings</w:t>
            </w:r>
          </w:p>
        </w:tc>
        <w:tc>
          <w:tcPr/>
          <w:p>
            <w:pPr>
              <w:pStyle w:val="Compact"/>
              <w:jc w:val="left"/>
            </w:pPr>
            <w:r>
              <w:t xml:space="preserve">80 million population screened annually</w:t>
            </w:r>
          </w:p>
        </w:tc>
      </w:tr>
      <w:tr>
        <w:tc>
          <w:tcPr/>
          <w:p>
            <w:pPr>
              <w:pStyle w:val="Compact"/>
              <w:jc w:val="left"/>
            </w:pPr>
            <w:r>
              <w:rPr>
                <w:b/>
                <w:bCs/>
              </w:rPr>
              <w:t xml:space="preserve">Special consideration</w:t>
            </w:r>
          </w:p>
        </w:tc>
        <w:tc>
          <w:tcPr/>
          <w:p>
            <w:pPr>
              <w:pStyle w:val="Compact"/>
              <w:jc w:val="left"/>
            </w:pPr>
            <w:r>
              <w:rPr>
                <w:b/>
                <w:bCs/>
              </w:rPr>
              <w:t xml:space="preserve">NCDs cause 62% of mortality in India</w:t>
            </w:r>
          </w:p>
        </w:tc>
      </w:tr>
    </w:tbl>
    <w:bookmarkEnd w:id="552"/>
    <w:bookmarkStart w:id="555" w:name="cii-classification-assessment-16"/>
    <w:p>
      <w:pPr>
        <w:pStyle w:val="Heading3"/>
      </w:pPr>
      <w:r>
        <w:t xml:space="preserve">CII Classification Assessment</w:t>
      </w:r>
    </w:p>
    <w:bookmarkStart w:id="553" w:name="key-risk-factors-5"/>
    <w:p>
      <w:pPr>
        <w:pStyle w:val="Heading4"/>
      </w:pPr>
      <w:r>
        <w:t xml:space="preserve">Key Risk Factors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Population coverage</w:t>
            </w:r>
          </w:p>
        </w:tc>
        <w:tc>
          <w:tcPr/>
          <w:p>
            <w:pPr>
              <w:pStyle w:val="Compact"/>
              <w:jc w:val="left"/>
            </w:pPr>
            <w:r>
              <w:t xml:space="preserve">80M annual screenings; lifetime chronic disease tracking</w:t>
            </w:r>
          </w:p>
        </w:tc>
      </w:tr>
      <w:tr>
        <w:tc>
          <w:tcPr/>
          <w:p>
            <w:pPr>
              <w:pStyle w:val="Compact"/>
              <w:jc w:val="left"/>
            </w:pPr>
            <w:r>
              <w:rPr>
                <w:b/>
                <w:bCs/>
              </w:rPr>
              <w:t xml:space="preserve">Continuity of care</w:t>
            </w:r>
          </w:p>
        </w:tc>
        <w:tc>
          <w:tcPr/>
          <w:p>
            <w:pPr>
              <w:pStyle w:val="Compact"/>
              <w:jc w:val="left"/>
            </w:pPr>
            <w:r>
              <w:t xml:space="preserve">Chronic disease management requires uninterrupted longitudinal tracking</w:t>
            </w:r>
          </w:p>
        </w:tc>
      </w:tr>
      <w:tr>
        <w:tc>
          <w:tcPr/>
          <w:p>
            <w:pPr>
              <w:pStyle w:val="Compact"/>
              <w:jc w:val="left"/>
            </w:pPr>
            <w:r>
              <w:rPr>
                <w:b/>
                <w:bCs/>
              </w:rPr>
              <w:t xml:space="preserve">Screening data</w:t>
            </w:r>
          </w:p>
        </w:tc>
        <w:tc>
          <w:tcPr/>
          <w:p>
            <w:pPr>
              <w:pStyle w:val="Compact"/>
              <w:jc w:val="left"/>
            </w:pPr>
            <w:r>
              <w:t xml:space="preserve">Early cancer/CVD detection depends on data integrity</w:t>
            </w:r>
          </w:p>
        </w:tc>
      </w:tr>
      <w:tr>
        <w:tc>
          <w:tcPr/>
          <w:p>
            <w:pPr>
              <w:pStyle w:val="Compact"/>
              <w:jc w:val="left"/>
            </w:pPr>
            <w:r>
              <w:rPr>
                <w:b/>
                <w:bCs/>
              </w:rPr>
              <w:t xml:space="preserve">Treatment continuity</w:t>
            </w:r>
          </w:p>
        </w:tc>
        <w:tc>
          <w:tcPr/>
          <w:p>
            <w:pPr>
              <w:pStyle w:val="Compact"/>
              <w:jc w:val="left"/>
            </w:pPr>
            <w:r>
              <w:t xml:space="preserve">Hypertension/diabetes patients require continuous medication access</w:t>
            </w:r>
          </w:p>
        </w:tc>
      </w:tr>
    </w:tbl>
    <w:bookmarkEnd w:id="553"/>
    <w:bookmarkStart w:id="554" w:name="scoring-developing-country-framework-11"/>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Population Coverage</w:t>
            </w:r>
          </w:p>
        </w:tc>
        <w:tc>
          <w:tcPr/>
          <w:p>
            <w:pPr>
              <w:pStyle w:val="Compact"/>
              <w:jc w:val="left"/>
            </w:pPr>
            <w:r>
              <w:t xml:space="preserve">80M screenings/year across 700+ clinics</w:t>
            </w:r>
          </w:p>
        </w:tc>
        <w:tc>
          <w:tcPr/>
          <w:p>
            <w:pPr>
              <w:pStyle w:val="Compact"/>
              <w:jc w:val="center"/>
            </w:pPr>
            <w:r>
              <w:t xml:space="preserve">30</w:t>
            </w:r>
          </w:p>
        </w:tc>
      </w:tr>
      <w:tr>
        <w:tc>
          <w:tcPr/>
          <w:p>
            <w:pPr>
              <w:pStyle w:val="Compact"/>
              <w:jc w:val="left"/>
            </w:pPr>
            <w:r>
              <w:rPr>
                <w:b/>
                <w:bCs/>
              </w:rPr>
              <w:t xml:space="preserve">B. Public Health Function</w:t>
            </w:r>
          </w:p>
        </w:tc>
        <w:tc>
          <w:tcPr/>
          <w:p>
            <w:pPr>
              <w:pStyle w:val="Compact"/>
              <w:jc w:val="left"/>
            </w:pPr>
            <w:r>
              <w:t xml:space="preserve">NCDs are #1 mortality cause</w:t>
            </w:r>
          </w:p>
        </w:tc>
        <w:tc>
          <w:tcPr/>
          <w:p>
            <w:pPr>
              <w:pStyle w:val="Compact"/>
              <w:jc w:val="center"/>
            </w:pPr>
            <w:r>
              <w:t xml:space="preserve">20</w:t>
            </w:r>
          </w:p>
        </w:tc>
      </w:tr>
      <w:tr>
        <w:tc>
          <w:tcPr/>
          <w:p>
            <w:pPr>
              <w:pStyle w:val="Compact"/>
              <w:jc w:val="left"/>
            </w:pPr>
            <w:r>
              <w:rPr>
                <w:b/>
                <w:bCs/>
              </w:rPr>
              <w:t xml:space="preserve">C. Chronic Care Coordination</w:t>
            </w:r>
          </w:p>
        </w:tc>
        <w:tc>
          <w:tcPr/>
          <w:p>
            <w:pPr>
              <w:pStyle w:val="Compact"/>
              <w:jc w:val="left"/>
            </w:pPr>
            <w:r>
              <w:t xml:space="preserve">Longitudinal patient tracking essential</w:t>
            </w:r>
          </w:p>
        </w:tc>
        <w:tc>
          <w:tcPr/>
          <w:p>
            <w:pPr>
              <w:pStyle w:val="Compact"/>
              <w:jc w:val="center"/>
            </w:pPr>
            <w:r>
              <w:t xml:space="preserve">15</w:t>
            </w:r>
          </w:p>
        </w:tc>
      </w:tr>
      <w:tr>
        <w:tc>
          <w:tcPr/>
          <w:p>
            <w:pPr>
              <w:pStyle w:val="Compact"/>
              <w:jc w:val="left"/>
            </w:pPr>
            <w:r>
              <w:rPr>
                <w:b/>
                <w:bCs/>
              </w:rPr>
              <w:t xml:space="preserve">D. HWC Integration</w:t>
            </w:r>
          </w:p>
        </w:tc>
        <w:tc>
          <w:tcPr/>
          <w:p>
            <w:pPr>
              <w:pStyle w:val="Compact"/>
              <w:jc w:val="left"/>
            </w:pPr>
            <w:r>
              <w:t xml:space="preserve">150,000+ frontline facilities connected</w:t>
            </w:r>
          </w:p>
        </w:tc>
        <w:tc>
          <w:tcPr/>
          <w:p>
            <w:pPr>
              <w:pStyle w:val="Compact"/>
              <w:jc w:val="center"/>
            </w:pPr>
            <w:r>
              <w:t xml:space="preserve">10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75</w:t>
            </w:r>
          </w:p>
        </w:tc>
      </w:tr>
    </w:tbl>
    <w:bookmarkEnd w:id="554"/>
    <w:bookmarkEnd w:id="555"/>
    <w:bookmarkStart w:id="556" w:name="classification-result-16"/>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75</w:t>
            </w:r>
          </w:p>
        </w:tc>
        <w:tc>
          <w:tcPr/>
          <w:p>
            <w:pPr>
              <w:pStyle w:val="Compact"/>
              <w:jc w:val="left"/>
            </w:pPr>
            <w:r>
              <w:rPr>
                <w:b/>
                <w:bCs/>
              </w:rPr>
              <w:t xml:space="preserve">Tier 1 (Essential)</w:t>
            </w:r>
          </w:p>
        </w:tc>
        <w:tc>
          <w:tcPr/>
          <w:p>
            <w:pPr>
              <w:pStyle w:val="Compact"/>
              <w:jc w:val="left"/>
            </w:pPr>
            <w:r>
              <w:t xml:space="preserve">Major national burden; population-scale screening and tracking</w:t>
            </w:r>
          </w:p>
        </w:tc>
      </w:tr>
    </w:tbl>
    <w:p>
      <w:pPr>
        <w:pStyle w:val="BlockText"/>
      </w:pPr>
      <w:r>
        <w:t xml:space="preserve">[!NOTE]</w:t>
      </w:r>
      <w:r>
        <w:t xml:space="preserve"> </w:t>
      </w:r>
      <w:r>
        <w:t xml:space="preserve">NCD programs differ from acute disease programs in requiring</w:t>
      </w:r>
      <w:r>
        <w:t xml:space="preserve"> </w:t>
      </w:r>
      <w:r>
        <w:rPr>
          <w:b/>
          <w:bCs/>
        </w:rPr>
        <w:t xml:space="preserve">longitudinal data integrity over decades</w:t>
      </w:r>
      <w:r>
        <w:t xml:space="preserve">. A patient’s 10-year hypertension history affects current treatment decisions. Data corruption has delayed, but serious, consequences.</w:t>
      </w:r>
    </w:p>
    <w:bookmarkEnd w:id="556"/>
    <w:bookmarkStart w:id="557" w:name="applicable-obligations-13"/>
    <w:p>
      <w:pPr>
        <w:pStyle w:val="Heading3"/>
      </w:pPr>
      <w:r>
        <w:t xml:space="preserve">Applicable Obligations</w:t>
      </w:r>
    </w:p>
    <w:p>
      <w:pPr>
        <w:pStyle w:val="Compact"/>
        <w:numPr>
          <w:ilvl w:val="0"/>
          <w:numId w:val="1340"/>
        </w:numPr>
      </w:pPr>
      <w:r>
        <w:t xml:space="preserve">Program security focal point</w:t>
      </w:r>
    </w:p>
    <w:p>
      <w:pPr>
        <w:pStyle w:val="Compact"/>
        <w:numPr>
          <w:ilvl w:val="0"/>
          <w:numId w:val="1340"/>
        </w:numPr>
      </w:pPr>
      <w:r>
        <w:t xml:space="preserve">Annual audit of NCD App and connected systems</w:t>
      </w:r>
    </w:p>
    <w:p>
      <w:pPr>
        <w:pStyle w:val="Compact"/>
        <w:numPr>
          <w:ilvl w:val="0"/>
          <w:numId w:val="1340"/>
        </w:numPr>
      </w:pPr>
      <w:r>
        <w:t xml:space="preserve">48-hour incident reporting</w:t>
      </w:r>
    </w:p>
    <w:p>
      <w:pPr>
        <w:pStyle w:val="Compact"/>
        <w:numPr>
          <w:ilvl w:val="0"/>
          <w:numId w:val="1340"/>
        </w:numPr>
      </w:pPr>
      <w:r>
        <w:t xml:space="preserve">Data integrity controls for longitudinal records</w:t>
      </w:r>
    </w:p>
    <w:p>
      <w:pPr>
        <w:pStyle w:val="Compact"/>
        <w:numPr>
          <w:ilvl w:val="0"/>
          <w:numId w:val="1340"/>
        </w:numPr>
      </w:pPr>
      <w:r>
        <w:t xml:space="preserve">HWC integration security (high-volume low-resource endpoints)</w:t>
      </w:r>
    </w:p>
    <w:p>
      <w:pPr>
        <w:pStyle w:val="Compact"/>
        <w:numPr>
          <w:ilvl w:val="0"/>
          <w:numId w:val="1340"/>
        </w:numPr>
      </w:pPr>
      <w:r>
        <w:t xml:space="preserve">Screening data backup and recovery</w:t>
      </w:r>
    </w:p>
    <w:p>
      <w:pPr>
        <w:pStyle w:val="Compact"/>
        <w:numPr>
          <w:ilvl w:val="0"/>
          <w:numId w:val="1340"/>
        </w:numPr>
      </w:pPr>
      <w:r>
        <w:t xml:space="preserve">Cancer registry linkage security</w:t>
      </w:r>
    </w:p>
    <w:p>
      <w:r>
        <w:pict>
          <v:rect style="width:0;height:1.5pt" o:hralign="center" o:hrstd="t" o:hr="t"/>
        </w:pict>
      </w:r>
    </w:p>
    <w:bookmarkEnd w:id="557"/>
    <w:bookmarkEnd w:id="558"/>
    <w:bookmarkStart w:id="565" w:name="Xa145072d86c6be5c3d019713c42797f878be645"/>
    <w:p>
      <w:pPr>
        <w:pStyle w:val="Heading2"/>
      </w:pPr>
      <w:r>
        <w:t xml:space="preserve">Case Study 4: National Blindness Control Program -</w:t>
      </w:r>
      <w:r>
        <w:t xml:space="preserve"> </w:t>
      </w:r>
      <w:r>
        <w:t xml:space="preserve">“DrishtiRaksha”</w:t>
      </w:r>
    </w:p>
    <w:bookmarkStart w:id="559" w:name="entity-profile-17"/>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DrishtiRaksha (National Programme for Control of Blindness &amp; Visual Impairment)</w:t>
            </w:r>
          </w:p>
        </w:tc>
      </w:tr>
      <w:tr>
        <w:tc>
          <w:tcPr/>
          <w:p>
            <w:pPr>
              <w:pStyle w:val="Compact"/>
              <w:jc w:val="left"/>
            </w:pPr>
            <w:r>
              <w:rPr>
                <w:b/>
                <w:bCs/>
              </w:rPr>
              <w:t xml:space="preserve">Type</w:t>
            </w:r>
          </w:p>
        </w:tc>
        <w:tc>
          <w:tcPr/>
          <w:p>
            <w:pPr>
              <w:pStyle w:val="Compact"/>
              <w:jc w:val="left"/>
            </w:pPr>
            <w:r>
              <w:t xml:space="preserve">National eye care and blindness prevention program</w:t>
            </w:r>
          </w:p>
        </w:tc>
      </w:tr>
      <w:tr>
        <w:tc>
          <w:tcPr/>
          <w:p>
            <w:pPr>
              <w:pStyle w:val="Compact"/>
              <w:jc w:val="left"/>
            </w:pPr>
            <w:r>
              <w:rPr>
                <w:b/>
                <w:bCs/>
              </w:rPr>
              <w:t xml:space="preserve">Operator</w:t>
            </w:r>
          </w:p>
        </w:tc>
        <w:tc>
          <w:tcPr/>
          <w:p>
            <w:pPr>
              <w:pStyle w:val="Compact"/>
              <w:jc w:val="left"/>
            </w:pPr>
            <w:r>
              <w:t xml:space="preserve">Ophthalmology Division, Ministry of Health (government)</w:t>
            </w:r>
          </w:p>
        </w:tc>
      </w:tr>
      <w:tr>
        <w:tc>
          <w:tcPr/>
          <w:p>
            <w:pPr>
              <w:pStyle w:val="Compact"/>
              <w:jc w:val="left"/>
            </w:pPr>
            <w:r>
              <w:rPr>
                <w:b/>
                <w:bCs/>
              </w:rPr>
              <w:t xml:space="preserve">Coverage</w:t>
            </w:r>
          </w:p>
        </w:tc>
        <w:tc>
          <w:tcPr/>
          <w:p>
            <w:pPr>
              <w:pStyle w:val="Compact"/>
              <w:jc w:val="left"/>
            </w:pPr>
            <w:r>
              <w:t xml:space="preserve">District hospitals + 700 vision centres + school screening</w:t>
            </w:r>
          </w:p>
        </w:tc>
      </w:tr>
      <w:tr>
        <w:tc>
          <w:tcPr/>
          <w:p>
            <w:pPr>
              <w:pStyle w:val="Compact"/>
              <w:jc w:val="left"/>
            </w:pPr>
            <w:r>
              <w:rPr>
                <w:b/>
                <w:bCs/>
              </w:rPr>
              <w:t xml:space="preserve">Annual surgeries</w:t>
            </w:r>
          </w:p>
        </w:tc>
        <w:tc>
          <w:tcPr/>
          <w:p>
            <w:pPr>
              <w:pStyle w:val="Compact"/>
              <w:jc w:val="left"/>
            </w:pPr>
            <w:r>
              <w:t xml:space="preserve">7 million cataract surgeries/year (largest in world)</w:t>
            </w:r>
          </w:p>
        </w:tc>
      </w:tr>
      <w:tr>
        <w:tc>
          <w:tcPr/>
          <w:p>
            <w:pPr>
              <w:pStyle w:val="Compact"/>
              <w:jc w:val="left"/>
            </w:pPr>
            <w:r>
              <w:rPr>
                <w:b/>
                <w:bCs/>
              </w:rPr>
              <w:t xml:space="preserve">Functions</w:t>
            </w:r>
          </w:p>
        </w:tc>
        <w:tc>
          <w:tcPr/>
          <w:p>
            <w:pPr>
              <w:pStyle w:val="Compact"/>
              <w:jc w:val="left"/>
            </w:pPr>
            <w:r>
              <w:t xml:space="preserve">Cataract surgery tracking, school screening, IOL distribution, outcome monitoring</w:t>
            </w:r>
          </w:p>
        </w:tc>
      </w:tr>
      <w:tr>
        <w:tc>
          <w:tcPr/>
          <w:p>
            <w:pPr>
              <w:pStyle w:val="Compact"/>
              <w:jc w:val="left"/>
            </w:pPr>
            <w:r>
              <w:rPr>
                <w:b/>
                <w:bCs/>
              </w:rPr>
              <w:t xml:space="preserve">Key systems</w:t>
            </w:r>
          </w:p>
        </w:tc>
        <w:tc>
          <w:tcPr/>
          <w:p>
            <w:pPr>
              <w:pStyle w:val="Compact"/>
              <w:jc w:val="left"/>
            </w:pPr>
            <w:r>
              <w:t xml:space="preserve">NPCB-VI MIS, surgery outcome database, IOL inventory system</w:t>
            </w:r>
          </w:p>
        </w:tc>
      </w:tr>
      <w:tr>
        <w:tc>
          <w:tcPr/>
          <w:p>
            <w:pPr>
              <w:pStyle w:val="Compact"/>
              <w:jc w:val="left"/>
            </w:pPr>
            <w:r>
              <w:rPr>
                <w:b/>
                <w:bCs/>
              </w:rPr>
              <w:t xml:space="preserve">Integrations</w:t>
            </w:r>
          </w:p>
        </w:tc>
        <w:tc>
          <w:tcPr/>
          <w:p>
            <w:pPr>
              <w:pStyle w:val="Compact"/>
              <w:jc w:val="left"/>
            </w:pPr>
            <w:r>
              <w:t xml:space="preserve">District hospital systems, private eye hospital network</w:t>
            </w:r>
          </w:p>
        </w:tc>
      </w:tr>
      <w:tr>
        <w:tc>
          <w:tcPr/>
          <w:p>
            <w:pPr>
              <w:pStyle w:val="Compact"/>
              <w:jc w:val="left"/>
            </w:pPr>
            <w:r>
              <w:rPr>
                <w:b/>
                <w:bCs/>
              </w:rPr>
              <w:t xml:space="preserve">Special consideration</w:t>
            </w:r>
          </w:p>
        </w:tc>
        <w:tc>
          <w:tcPr/>
          <w:p>
            <w:pPr>
              <w:pStyle w:val="Compact"/>
              <w:jc w:val="left"/>
            </w:pPr>
            <w:r>
              <w:rPr>
                <w:b/>
                <w:bCs/>
              </w:rPr>
              <w:t xml:space="preserve">World’s largest cataract surgery program</w:t>
            </w:r>
          </w:p>
        </w:tc>
      </w:tr>
    </w:tbl>
    <w:bookmarkEnd w:id="559"/>
    <w:bookmarkStart w:id="562" w:name="cii-classification-assessment-17"/>
    <w:p>
      <w:pPr>
        <w:pStyle w:val="Heading3"/>
      </w:pPr>
      <w:r>
        <w:t xml:space="preserve">CII Classification Assessment</w:t>
      </w:r>
    </w:p>
    <w:bookmarkStart w:id="560" w:name="key-risk-factors-6"/>
    <w:p>
      <w:pPr>
        <w:pStyle w:val="Heading4"/>
      </w:pPr>
      <w:r>
        <w:t xml:space="preserve">Key Risk Factors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Surgery volume</w:t>
            </w:r>
          </w:p>
        </w:tc>
        <w:tc>
          <w:tcPr/>
          <w:p>
            <w:pPr>
              <w:pStyle w:val="Compact"/>
              <w:jc w:val="left"/>
            </w:pPr>
            <w:r>
              <w:t xml:space="preserve">7M surgeries/year; logistics coordination essential</w:t>
            </w:r>
          </w:p>
        </w:tc>
      </w:tr>
      <w:tr>
        <w:tc>
          <w:tcPr/>
          <w:p>
            <w:pPr>
              <w:pStyle w:val="Compact"/>
              <w:jc w:val="left"/>
            </w:pPr>
            <w:r>
              <w:rPr>
                <w:b/>
                <w:bCs/>
              </w:rPr>
              <w:t xml:space="preserve">Supply chain</w:t>
            </w:r>
          </w:p>
        </w:tc>
        <w:tc>
          <w:tcPr/>
          <w:p>
            <w:pPr>
              <w:pStyle w:val="Compact"/>
              <w:jc w:val="left"/>
            </w:pPr>
            <w:r>
              <w:t xml:space="preserve">IOL (intraocular lens) procurement and distribution</w:t>
            </w:r>
          </w:p>
        </w:tc>
      </w:tr>
      <w:tr>
        <w:tc>
          <w:tcPr/>
          <w:p>
            <w:pPr>
              <w:pStyle w:val="Compact"/>
              <w:jc w:val="left"/>
            </w:pPr>
            <w:r>
              <w:rPr>
                <w:b/>
                <w:bCs/>
              </w:rPr>
              <w:t xml:space="preserve">Outcome tracking</w:t>
            </w:r>
          </w:p>
        </w:tc>
        <w:tc>
          <w:tcPr/>
          <w:p>
            <w:pPr>
              <w:pStyle w:val="Compact"/>
              <w:jc w:val="left"/>
            </w:pPr>
            <w:r>
              <w:t xml:space="preserve">Post-surgical complication monitoring affects quality improvement</w:t>
            </w:r>
          </w:p>
        </w:tc>
      </w:tr>
      <w:tr>
        <w:tc>
          <w:tcPr/>
          <w:p>
            <w:pPr>
              <w:pStyle w:val="Compact"/>
              <w:jc w:val="left"/>
            </w:pPr>
            <w:r>
              <w:rPr>
                <w:b/>
                <w:bCs/>
              </w:rPr>
              <w:t xml:space="preserve">School screening</w:t>
            </w:r>
          </w:p>
        </w:tc>
        <w:tc>
          <w:tcPr/>
          <w:p>
            <w:pPr>
              <w:pStyle w:val="Compact"/>
              <w:jc w:val="left"/>
            </w:pPr>
            <w:r>
              <w:t xml:space="preserve">Detection of childhood visual impairment</w:t>
            </w:r>
          </w:p>
        </w:tc>
      </w:tr>
    </w:tbl>
    <w:bookmarkEnd w:id="560"/>
    <w:bookmarkStart w:id="561" w:name="scoring-developing-country-framework-12"/>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7M surgeries/year; largest global program</w:t>
            </w:r>
          </w:p>
        </w:tc>
        <w:tc>
          <w:tcPr/>
          <w:p>
            <w:pPr>
              <w:pStyle w:val="Compact"/>
              <w:jc w:val="center"/>
            </w:pPr>
            <w:r>
              <w:t xml:space="preserve">25</w:t>
            </w:r>
          </w:p>
        </w:tc>
      </w:tr>
      <w:tr>
        <w:tc>
          <w:tcPr/>
          <w:p>
            <w:pPr>
              <w:pStyle w:val="Compact"/>
              <w:jc w:val="left"/>
            </w:pPr>
            <w:r>
              <w:rPr>
                <w:b/>
                <w:bCs/>
              </w:rPr>
              <w:t xml:space="preserve">B. Supply Chain</w:t>
            </w:r>
          </w:p>
        </w:tc>
        <w:tc>
          <w:tcPr/>
          <w:p>
            <w:pPr>
              <w:pStyle w:val="Compact"/>
              <w:jc w:val="left"/>
            </w:pPr>
            <w:r>
              <w:t xml:space="preserve">IOL procurement and distribution</w:t>
            </w:r>
          </w:p>
        </w:tc>
        <w:tc>
          <w:tcPr/>
          <w:p>
            <w:pPr>
              <w:pStyle w:val="Compact"/>
              <w:jc w:val="center"/>
            </w:pPr>
            <w:r>
              <w:t xml:space="preserve">15</w:t>
            </w:r>
          </w:p>
        </w:tc>
      </w:tr>
      <w:tr>
        <w:tc>
          <w:tcPr/>
          <w:p>
            <w:pPr>
              <w:pStyle w:val="Compact"/>
              <w:jc w:val="left"/>
            </w:pPr>
            <w:r>
              <w:rPr>
                <w:b/>
                <w:bCs/>
              </w:rPr>
              <w:t xml:space="preserve">C. Outcome Monitoring</w:t>
            </w:r>
          </w:p>
        </w:tc>
        <w:tc>
          <w:tcPr/>
          <w:p>
            <w:pPr>
              <w:pStyle w:val="Compact"/>
              <w:jc w:val="left"/>
            </w:pPr>
            <w:r>
              <w:t xml:space="preserve">Quality assurance for surgical outcomes</w:t>
            </w:r>
          </w:p>
        </w:tc>
        <w:tc>
          <w:tcPr/>
          <w:p>
            <w:pPr>
              <w:pStyle w:val="Compact"/>
              <w:jc w:val="center"/>
            </w:pPr>
            <w:r>
              <w:t xml:space="preserve">10</w:t>
            </w:r>
          </w:p>
        </w:tc>
      </w:tr>
      <w:tr>
        <w:tc>
          <w:tcPr/>
          <w:p>
            <w:pPr>
              <w:pStyle w:val="Compact"/>
              <w:jc w:val="left"/>
            </w:pPr>
            <w:r>
              <w:rPr>
                <w:b/>
                <w:bCs/>
              </w:rPr>
              <w:t xml:space="preserve">D. School Health</w:t>
            </w:r>
          </w:p>
        </w:tc>
        <w:tc>
          <w:tcPr/>
          <w:p>
            <w:pPr>
              <w:pStyle w:val="Compact"/>
              <w:jc w:val="left"/>
            </w:pPr>
            <w:r>
              <w:t xml:space="preserve">Childhood screening program</w:t>
            </w:r>
          </w:p>
        </w:tc>
        <w:tc>
          <w:tcPr/>
          <w:p>
            <w:pPr>
              <w:pStyle w:val="Compact"/>
              <w:jc w:val="center"/>
            </w:pPr>
            <w:r>
              <w:t xml:space="preserve">10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60</w:t>
            </w:r>
          </w:p>
        </w:tc>
      </w:tr>
    </w:tbl>
    <w:bookmarkEnd w:id="561"/>
    <w:bookmarkEnd w:id="562"/>
    <w:bookmarkStart w:id="563" w:name="classification-result-17"/>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60</w:t>
            </w:r>
          </w:p>
        </w:tc>
        <w:tc>
          <w:tcPr/>
          <w:p>
            <w:pPr>
              <w:pStyle w:val="Compact"/>
              <w:jc w:val="left"/>
            </w:pPr>
            <w:r>
              <w:rPr>
                <w:b/>
                <w:bCs/>
              </w:rPr>
              <w:t xml:space="preserve">Tier 1 (Essential)</w:t>
            </w:r>
          </w:p>
        </w:tc>
        <w:tc>
          <w:tcPr/>
          <w:p>
            <w:pPr>
              <w:pStyle w:val="Compact"/>
              <w:jc w:val="left"/>
            </w:pPr>
            <w:r>
              <w:t xml:space="preserve">Largest national surgical program; supply chain criticality</w:t>
            </w:r>
          </w:p>
        </w:tc>
      </w:tr>
    </w:tbl>
    <w:bookmarkEnd w:id="563"/>
    <w:bookmarkStart w:id="564" w:name="applicable-obligations-14"/>
    <w:p>
      <w:pPr>
        <w:pStyle w:val="Heading3"/>
      </w:pPr>
      <w:r>
        <w:t xml:space="preserve">Applicable Obligations</w:t>
      </w:r>
    </w:p>
    <w:p>
      <w:pPr>
        <w:pStyle w:val="Compact"/>
        <w:numPr>
          <w:ilvl w:val="0"/>
          <w:numId w:val="1341"/>
        </w:numPr>
      </w:pPr>
      <w:r>
        <w:t xml:space="preserve">Program security focal point</w:t>
      </w:r>
    </w:p>
    <w:p>
      <w:pPr>
        <w:pStyle w:val="Compact"/>
        <w:numPr>
          <w:ilvl w:val="0"/>
          <w:numId w:val="1341"/>
        </w:numPr>
      </w:pPr>
      <w:r>
        <w:t xml:space="preserve">Annual audit of MIS and inventory systems</w:t>
      </w:r>
    </w:p>
    <w:p>
      <w:pPr>
        <w:pStyle w:val="Compact"/>
        <w:numPr>
          <w:ilvl w:val="0"/>
          <w:numId w:val="1341"/>
        </w:numPr>
      </w:pPr>
      <w:r>
        <w:t xml:space="preserve">48-hour incident reporting</w:t>
      </w:r>
    </w:p>
    <w:p>
      <w:pPr>
        <w:pStyle w:val="Compact"/>
        <w:numPr>
          <w:ilvl w:val="0"/>
          <w:numId w:val="1341"/>
        </w:numPr>
      </w:pPr>
      <w:r>
        <w:t xml:space="preserve">IOL supply chain system monitoring</w:t>
      </w:r>
    </w:p>
    <w:p>
      <w:pPr>
        <w:pStyle w:val="Compact"/>
        <w:numPr>
          <w:ilvl w:val="0"/>
          <w:numId w:val="1341"/>
        </w:numPr>
      </w:pPr>
      <w:r>
        <w:t xml:space="preserve">Outcome database integrity controls</w:t>
      </w:r>
    </w:p>
    <w:p>
      <w:pPr>
        <w:pStyle w:val="Compact"/>
        <w:numPr>
          <w:ilvl w:val="0"/>
          <w:numId w:val="1341"/>
        </w:numPr>
      </w:pPr>
      <w:r>
        <w:t xml:space="preserve">School screening data protection</w:t>
      </w:r>
    </w:p>
    <w:p>
      <w:pPr>
        <w:pStyle w:val="Compact"/>
        <w:numPr>
          <w:ilvl w:val="0"/>
          <w:numId w:val="1341"/>
        </w:numPr>
      </w:pPr>
      <w:r>
        <w:t xml:space="preserve">Private hospital integration security</w:t>
      </w:r>
    </w:p>
    <w:p>
      <w:r>
        <w:pict>
          <v:rect style="width:0;height:1.5pt" o:hralign="center" o:hrstd="t" o:hr="t"/>
        </w:pict>
      </w:r>
    </w:p>
    <w:bookmarkEnd w:id="564"/>
    <w:bookmarkEnd w:id="565"/>
    <w:bookmarkStart w:id="573" w:name="X3503d96ada4407f5b7d71a78481d593528e9559"/>
    <w:p>
      <w:pPr>
        <w:pStyle w:val="Heading2"/>
      </w:pPr>
      <w:r>
        <w:t xml:space="preserve">Case Study 5: National Nutrition Program -</w:t>
      </w:r>
      <w:r>
        <w:t xml:space="preserve"> </w:t>
      </w:r>
      <w:r>
        <w:t xml:space="preserve">“Poshan Rakshak”</w:t>
      </w:r>
    </w:p>
    <w:bookmarkStart w:id="566" w:name="entity-profile-18"/>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Poshan Rakshak (Integrated Child Development Services + POSHAN Abhiyaan)</w:t>
            </w:r>
          </w:p>
        </w:tc>
      </w:tr>
      <w:tr>
        <w:tc>
          <w:tcPr/>
          <w:p>
            <w:pPr>
              <w:pStyle w:val="Compact"/>
              <w:jc w:val="left"/>
            </w:pPr>
            <w:r>
              <w:rPr>
                <w:b/>
                <w:bCs/>
              </w:rPr>
              <w:t xml:space="preserve">Type</w:t>
            </w:r>
          </w:p>
        </w:tc>
        <w:tc>
          <w:tcPr/>
          <w:p>
            <w:pPr>
              <w:pStyle w:val="Compact"/>
              <w:jc w:val="left"/>
            </w:pPr>
            <w:r>
              <w:t xml:space="preserve">National nutrition supplementation and growth monitoring program</w:t>
            </w:r>
          </w:p>
        </w:tc>
      </w:tr>
      <w:tr>
        <w:tc>
          <w:tcPr/>
          <w:p>
            <w:pPr>
              <w:pStyle w:val="Compact"/>
              <w:jc w:val="left"/>
            </w:pPr>
            <w:r>
              <w:rPr>
                <w:b/>
                <w:bCs/>
              </w:rPr>
              <w:t xml:space="preserve">Operator</w:t>
            </w:r>
          </w:p>
        </w:tc>
        <w:tc>
          <w:tcPr/>
          <w:p>
            <w:pPr>
              <w:pStyle w:val="Compact"/>
              <w:jc w:val="left"/>
            </w:pPr>
            <w:r>
              <w:t xml:space="preserve">Ministry of Women and Child Development + Ministry of Health (joint)</w:t>
            </w:r>
          </w:p>
        </w:tc>
      </w:tr>
      <w:tr>
        <w:tc>
          <w:tcPr/>
          <w:p>
            <w:pPr>
              <w:pStyle w:val="Compact"/>
              <w:jc w:val="left"/>
            </w:pPr>
            <w:r>
              <w:rPr>
                <w:b/>
                <w:bCs/>
              </w:rPr>
              <w:t xml:space="preserve">Coverage</w:t>
            </w:r>
          </w:p>
        </w:tc>
        <w:tc>
          <w:tcPr/>
          <w:p>
            <w:pPr>
              <w:pStyle w:val="Compact"/>
              <w:jc w:val="left"/>
            </w:pPr>
            <w:r>
              <w:t xml:space="preserve">1.4 million Anganwadi centres; 14 crore children; 3.5 crore pregnant/lactating women</w:t>
            </w:r>
          </w:p>
        </w:tc>
      </w:tr>
      <w:tr>
        <w:tc>
          <w:tcPr/>
          <w:p>
            <w:pPr>
              <w:pStyle w:val="Compact"/>
              <w:jc w:val="left"/>
            </w:pPr>
            <w:r>
              <w:rPr>
                <w:b/>
                <w:bCs/>
              </w:rPr>
              <w:t xml:space="preserve">Functions</w:t>
            </w:r>
          </w:p>
        </w:tc>
        <w:tc>
          <w:tcPr/>
          <w:p>
            <w:pPr>
              <w:pStyle w:val="Compact"/>
              <w:jc w:val="left"/>
            </w:pPr>
            <w:r>
              <w:t xml:space="preserve">Growth monitoring, supplementary nutrition, immunization coordination, severe acute malnutrition (SAM) management</w:t>
            </w:r>
          </w:p>
        </w:tc>
      </w:tr>
      <w:tr>
        <w:tc>
          <w:tcPr/>
          <w:p>
            <w:pPr>
              <w:pStyle w:val="Compact"/>
              <w:jc w:val="left"/>
            </w:pPr>
            <w:r>
              <w:rPr>
                <w:b/>
                <w:bCs/>
              </w:rPr>
              <w:t xml:space="preserve">Key systems</w:t>
            </w:r>
          </w:p>
        </w:tc>
        <w:tc>
          <w:tcPr/>
          <w:p>
            <w:pPr>
              <w:pStyle w:val="Compact"/>
              <w:jc w:val="left"/>
            </w:pPr>
            <w:r>
              <w:t xml:space="preserve">ICDS-CAS (Common Application Software), Poshan Tracker, growth monitoring app, SAM referral system</w:t>
            </w:r>
          </w:p>
        </w:tc>
      </w:tr>
      <w:tr>
        <w:tc>
          <w:tcPr/>
          <w:p>
            <w:pPr>
              <w:pStyle w:val="Compact"/>
              <w:jc w:val="left"/>
            </w:pPr>
            <w:r>
              <w:rPr>
                <w:b/>
                <w:bCs/>
              </w:rPr>
              <w:t xml:space="preserve">Frontline workers</w:t>
            </w:r>
          </w:p>
        </w:tc>
        <w:tc>
          <w:tcPr/>
          <w:p>
            <w:pPr>
              <w:pStyle w:val="Compact"/>
              <w:jc w:val="left"/>
            </w:pPr>
            <w:r>
              <w:t xml:space="preserve">2.7 million Anganwadi workers with mobile devices</w:t>
            </w:r>
          </w:p>
        </w:tc>
      </w:tr>
      <w:tr>
        <w:tc>
          <w:tcPr/>
          <w:p>
            <w:pPr>
              <w:pStyle w:val="Compact"/>
              <w:jc w:val="left"/>
            </w:pPr>
            <w:r>
              <w:rPr>
                <w:b/>
                <w:bCs/>
              </w:rPr>
              <w:t xml:space="preserve">Integrations</w:t>
            </w:r>
          </w:p>
        </w:tc>
        <w:tc>
          <w:tcPr/>
          <w:p>
            <w:pPr>
              <w:pStyle w:val="Compact"/>
              <w:jc w:val="left"/>
            </w:pPr>
            <w:r>
              <w:t xml:space="preserve">Linked to immunization registry, MCTS (Mother and Child Tracking), hospital systems for SAM referrals</w:t>
            </w:r>
          </w:p>
        </w:tc>
      </w:tr>
      <w:tr>
        <w:tc>
          <w:tcPr/>
          <w:p>
            <w:pPr>
              <w:pStyle w:val="Compact"/>
              <w:jc w:val="left"/>
            </w:pPr>
            <w:r>
              <w:rPr>
                <w:b/>
                <w:bCs/>
              </w:rPr>
              <w:t xml:space="preserve">Special consideration</w:t>
            </w:r>
          </w:p>
        </w:tc>
        <w:tc>
          <w:tcPr/>
          <w:p>
            <w:pPr>
              <w:pStyle w:val="Compact"/>
              <w:jc w:val="left"/>
            </w:pPr>
            <w:r>
              <w:rPr>
                <w:b/>
                <w:bCs/>
              </w:rPr>
              <w:t xml:space="preserve">Largest nutrition program globally; child survival dependency</w:t>
            </w:r>
          </w:p>
        </w:tc>
      </w:tr>
    </w:tbl>
    <w:bookmarkEnd w:id="566"/>
    <w:bookmarkStart w:id="570" w:name="cii-classification-assessment-18"/>
    <w:p>
      <w:pPr>
        <w:pStyle w:val="Heading3"/>
      </w:pPr>
      <w:r>
        <w:t xml:space="preserve">CII Classification Assessment</w:t>
      </w:r>
    </w:p>
    <w:bookmarkStart w:id="567" w:name="automatic-tier-1-trigger-analysis-4"/>
    <w:p>
      <w:pPr>
        <w:pStyle w:val="Heading4"/>
      </w:pPr>
      <w:r>
        <w:t xml:space="preserve">Automatic Tier 1 Trigger Analysis</w:t>
      </w:r>
    </w:p>
    <w:tbl>
      <w:tblPr>
        <w:tblStyle w:val="Table"/>
        <w:tblW w:type="pct" w:w="5000"/>
        <w:tblLayout w:type="fixed"/>
        <w:tblLook w:firstRow="1" w:lastRow="0" w:firstColumn="0" w:lastColumn="0" w:noHBand="0" w:noVBand="0" w:val="0020"/>
      </w:tblPr>
      <w:tblGrid>
        <w:gridCol w:w="6034"/>
        <w:gridCol w:w="1885"/>
      </w:tblGrid>
      <w:tr>
        <w:trPr>
          <w:tblHeader w:val="on"/>
        </w:trPr>
        <w:tc>
          <w:tcPr/>
          <w:p>
            <w:pPr>
              <w:pStyle w:val="Compact"/>
              <w:jc w:val="left"/>
            </w:pPr>
            <w:r>
              <w:t xml:space="preserve">“Regardless of Size”</w:t>
            </w:r>
            <w:r>
              <w:t xml:space="preserve"> </w:t>
            </w:r>
            <w:r>
              <w:t xml:space="preserve">Criterion</w:t>
            </w:r>
          </w:p>
        </w:tc>
        <w:tc>
          <w:tcPr/>
          <w:p>
            <w:pPr>
              <w:pStyle w:val="Compact"/>
              <w:jc w:val="center"/>
            </w:pPr>
            <w:r>
              <w:t xml:space="preserve">Applies?</w:t>
            </w:r>
          </w:p>
        </w:tc>
      </w:tr>
      <w:tr>
        <w:tc>
          <w:tcPr/>
          <w:p>
            <w:pPr>
              <w:pStyle w:val="Compact"/>
              <w:jc w:val="left"/>
            </w:pPr>
            <w:r>
              <w:t xml:space="preserve">National child health program</w:t>
            </w:r>
          </w:p>
        </w:tc>
        <w:tc>
          <w:tcPr/>
          <w:p>
            <w:pPr>
              <w:pStyle w:val="Compact"/>
              <w:jc w:val="center"/>
            </w:pPr>
            <w:r>
              <w:t xml:space="preserve">✓</w:t>
            </w:r>
          </w:p>
        </w:tc>
      </w:tr>
      <w:tr>
        <w:tc>
          <w:tcPr/>
          <w:p>
            <w:pPr>
              <w:pStyle w:val="Compact"/>
              <w:jc w:val="left"/>
            </w:pPr>
            <w:r>
              <w:t xml:space="preserve">Life-critical for vulnerable populations (children, pregnant women)</w:t>
            </w:r>
          </w:p>
        </w:tc>
        <w:tc>
          <w:tcPr/>
          <w:p>
            <w:pPr>
              <w:pStyle w:val="Compact"/>
              <w:jc w:val="center"/>
            </w:pPr>
            <w:r>
              <w:t xml:space="preserve">✓</w:t>
            </w:r>
          </w:p>
        </w:tc>
      </w:tr>
      <w:tr>
        <w:tc>
          <w:tcPr/>
          <w:p>
            <w:pPr>
              <w:pStyle w:val="Compact"/>
              <w:jc w:val="left"/>
            </w:pPr>
            <w:r>
              <w:t xml:space="preserve">Supply chain for nutrition supplements</w:t>
            </w:r>
          </w:p>
        </w:tc>
        <w:tc>
          <w:tcPr/>
          <w:p>
            <w:pPr>
              <w:pStyle w:val="Compact"/>
              <w:jc w:val="center"/>
            </w:pPr>
            <w:r>
              <w:t xml:space="preserve">✓</w:t>
            </w:r>
          </w:p>
        </w:tc>
      </w:tr>
      <w:tr>
        <w:tc>
          <w:tcPr/>
          <w:p>
            <w:pPr>
              <w:pStyle w:val="Compact"/>
              <w:jc w:val="left"/>
            </w:pPr>
            <w:r>
              <w:t xml:space="preserve">Frontline health worker coordination</w:t>
            </w:r>
          </w:p>
        </w:tc>
        <w:tc>
          <w:tcPr/>
          <w:p>
            <w:pPr>
              <w:pStyle w:val="Compact"/>
              <w:jc w:val="center"/>
            </w:pPr>
            <w:r>
              <w:t xml:space="preserve">✓</w:t>
            </w:r>
          </w:p>
        </w:tc>
      </w:tr>
    </w:tbl>
    <w:bookmarkEnd w:id="567"/>
    <w:bookmarkStart w:id="568" w:name="key-risk-factors-7"/>
    <w:p>
      <w:pPr>
        <w:pStyle w:val="Heading4"/>
      </w:pPr>
      <w:r>
        <w:t xml:space="preserve">Key Risk Factors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Population</w:t>
            </w:r>
          </w:p>
        </w:tc>
        <w:tc>
          <w:tcPr/>
          <w:p>
            <w:pPr>
              <w:pStyle w:val="Compact"/>
              <w:jc w:val="left"/>
            </w:pPr>
            <w:r>
              <w:t xml:space="preserve">14 crore children + 3.5 crore PLW = 175M beneficiaries</w:t>
            </w:r>
          </w:p>
        </w:tc>
      </w:tr>
      <w:tr>
        <w:tc>
          <w:tcPr/>
          <w:p>
            <w:pPr>
              <w:pStyle w:val="Compact"/>
              <w:jc w:val="left"/>
            </w:pPr>
            <w:r>
              <w:rPr>
                <w:b/>
                <w:bCs/>
              </w:rPr>
              <w:t xml:space="preserve">Life-critical</w:t>
            </w:r>
          </w:p>
        </w:tc>
        <w:tc>
          <w:tcPr/>
          <w:p>
            <w:pPr>
              <w:pStyle w:val="Compact"/>
              <w:jc w:val="left"/>
            </w:pPr>
            <w:r>
              <w:t xml:space="preserve">SAM management prevents child deaths</w:t>
            </w:r>
          </w:p>
        </w:tc>
      </w:tr>
      <w:tr>
        <w:tc>
          <w:tcPr/>
          <w:p>
            <w:pPr>
              <w:pStyle w:val="Compact"/>
              <w:jc w:val="left"/>
            </w:pPr>
            <w:r>
              <w:rPr>
                <w:b/>
                <w:bCs/>
              </w:rPr>
              <w:t xml:space="preserve">Supply chain</w:t>
            </w:r>
          </w:p>
        </w:tc>
        <w:tc>
          <w:tcPr/>
          <w:p>
            <w:pPr>
              <w:pStyle w:val="Compact"/>
              <w:jc w:val="left"/>
            </w:pPr>
            <w:r>
              <w:t xml:space="preserve">Supplementary nutrition distribution</w:t>
            </w:r>
          </w:p>
        </w:tc>
      </w:tr>
      <w:tr>
        <w:tc>
          <w:tcPr/>
          <w:p>
            <w:pPr>
              <w:pStyle w:val="Compact"/>
              <w:jc w:val="left"/>
            </w:pPr>
            <w:r>
              <w:rPr>
                <w:b/>
                <w:bCs/>
              </w:rPr>
              <w:t xml:space="preserve">Data scale</w:t>
            </w:r>
          </w:p>
        </w:tc>
        <w:tc>
          <w:tcPr/>
          <w:p>
            <w:pPr>
              <w:pStyle w:val="Compact"/>
              <w:jc w:val="left"/>
            </w:pPr>
            <w:r>
              <w:t xml:space="preserve">2.7M frontline workers generating daily data</w:t>
            </w:r>
          </w:p>
        </w:tc>
      </w:tr>
      <w:tr>
        <w:tc>
          <w:tcPr/>
          <w:p>
            <w:pPr>
              <w:pStyle w:val="Compact"/>
              <w:jc w:val="left"/>
            </w:pPr>
            <w:r>
              <w:rPr>
                <w:b/>
                <w:bCs/>
              </w:rPr>
              <w:t xml:space="preserve">Integration complexity</w:t>
            </w:r>
          </w:p>
        </w:tc>
        <w:tc>
          <w:tcPr/>
          <w:p>
            <w:pPr>
              <w:pStyle w:val="Compact"/>
              <w:jc w:val="left"/>
            </w:pPr>
            <w:r>
              <w:t xml:space="preserve">Multi-ministry, multi-system integration</w:t>
            </w:r>
          </w:p>
        </w:tc>
      </w:tr>
    </w:tbl>
    <w:bookmarkEnd w:id="568"/>
    <w:bookmarkStart w:id="569" w:name="scoring-developing-country-framework-13"/>
    <w:p>
      <w:pPr>
        <w:pStyle w:val="Heading4"/>
      </w:pPr>
      <w:r>
        <w:t xml:space="preserve">Scoring (Developing Country Framework)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Beneficiary Scale</w:t>
            </w:r>
          </w:p>
        </w:tc>
        <w:tc>
          <w:tcPr/>
          <w:p>
            <w:pPr>
              <w:pStyle w:val="Compact"/>
              <w:jc w:val="left"/>
            </w:pPr>
            <w:r>
              <w:t xml:space="preserve">175M beneficiaries (children + PLW)</w:t>
            </w:r>
          </w:p>
        </w:tc>
        <w:tc>
          <w:tcPr/>
          <w:p>
            <w:pPr>
              <w:pStyle w:val="Compact"/>
              <w:jc w:val="center"/>
            </w:pPr>
            <w:r>
              <w:t xml:space="preserve">30</w:t>
            </w:r>
          </w:p>
        </w:tc>
      </w:tr>
      <w:tr>
        <w:tc>
          <w:tcPr/>
          <w:p>
            <w:pPr>
              <w:pStyle w:val="Compact"/>
              <w:jc w:val="left"/>
            </w:pPr>
            <w:r>
              <w:rPr>
                <w:b/>
                <w:bCs/>
              </w:rPr>
              <w:t xml:space="preserve">B. Life-Critical Function</w:t>
            </w:r>
          </w:p>
        </w:tc>
        <w:tc>
          <w:tcPr/>
          <w:p>
            <w:pPr>
              <w:pStyle w:val="Compact"/>
              <w:jc w:val="left"/>
            </w:pPr>
            <w:r>
              <w:t xml:space="preserve">SAM management; child survival</w:t>
            </w:r>
          </w:p>
        </w:tc>
        <w:tc>
          <w:tcPr/>
          <w:p>
            <w:pPr>
              <w:pStyle w:val="Compact"/>
              <w:jc w:val="center"/>
            </w:pPr>
            <w:r>
              <w:t xml:space="preserve">25</w:t>
            </w:r>
          </w:p>
        </w:tc>
      </w:tr>
      <w:tr>
        <w:tc>
          <w:tcPr/>
          <w:p>
            <w:pPr>
              <w:pStyle w:val="Compact"/>
              <w:jc w:val="left"/>
            </w:pPr>
            <w:r>
              <w:rPr>
                <w:b/>
                <w:bCs/>
              </w:rPr>
              <w:t xml:space="preserve">C. Supply Chain</w:t>
            </w:r>
          </w:p>
        </w:tc>
        <w:tc>
          <w:tcPr/>
          <w:p>
            <w:pPr>
              <w:pStyle w:val="Compact"/>
              <w:jc w:val="left"/>
            </w:pPr>
            <w:r>
              <w:t xml:space="preserve">Nutrition supplement distribution</w:t>
            </w:r>
          </w:p>
        </w:tc>
        <w:tc>
          <w:tcPr/>
          <w:p>
            <w:pPr>
              <w:pStyle w:val="Compact"/>
              <w:jc w:val="center"/>
            </w:pPr>
            <w:r>
              <w:t xml:space="preserve">15</w:t>
            </w:r>
          </w:p>
        </w:tc>
      </w:tr>
      <w:tr>
        <w:tc>
          <w:tcPr/>
          <w:p>
            <w:pPr>
              <w:pStyle w:val="Compact"/>
              <w:jc w:val="left"/>
            </w:pPr>
            <w:r>
              <w:rPr>
                <w:b/>
                <w:bCs/>
              </w:rPr>
              <w:t xml:space="preserve">D. Frontline Worker Coordination</w:t>
            </w:r>
          </w:p>
        </w:tc>
        <w:tc>
          <w:tcPr/>
          <w:p>
            <w:pPr>
              <w:pStyle w:val="Compact"/>
              <w:jc w:val="left"/>
            </w:pPr>
            <w:r>
              <w:t xml:space="preserve">2.7M Anganwadi workers</w:t>
            </w:r>
          </w:p>
        </w:tc>
        <w:tc>
          <w:tcPr/>
          <w:p>
            <w:pPr>
              <w:pStyle w:val="Compact"/>
              <w:jc w:val="center"/>
            </w:pPr>
            <w:r>
              <w:t xml:space="preserve">10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80</w:t>
            </w:r>
          </w:p>
        </w:tc>
      </w:tr>
    </w:tbl>
    <w:bookmarkEnd w:id="569"/>
    <w:bookmarkEnd w:id="570"/>
    <w:bookmarkStart w:id="571" w:name="classification-result-18"/>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80</w:t>
            </w:r>
          </w:p>
        </w:tc>
        <w:tc>
          <w:tcPr/>
          <w:p>
            <w:pPr>
              <w:pStyle w:val="Compact"/>
              <w:jc w:val="left"/>
            </w:pPr>
            <w:r>
              <w:rPr>
                <w:b/>
                <w:bCs/>
              </w:rPr>
              <w:t xml:space="preserve">Tier 1 (Essential)</w:t>
            </w:r>
          </w:p>
        </w:tc>
        <w:tc>
          <w:tcPr/>
          <w:p>
            <w:pPr>
              <w:pStyle w:val="Compact"/>
              <w:jc w:val="left"/>
            </w:pPr>
            <w:r>
              <w:t xml:space="preserve">Largest nutrition program; child survival dependency; automatic trigger</w:t>
            </w:r>
          </w:p>
        </w:tc>
      </w:tr>
    </w:tbl>
    <w:p>
      <w:pPr>
        <w:pStyle w:val="BlockText"/>
      </w:pPr>
      <w:r>
        <w:t xml:space="preserve">[!CAUTION]</w:t>
      </w:r>
      <w:r>
        <w:t xml:space="preserve"> </w:t>
      </w:r>
      <w:r>
        <w:t xml:space="preserve">Nutrition programs have</w:t>
      </w:r>
      <w:r>
        <w:t xml:space="preserve"> </w:t>
      </w:r>
      <w:r>
        <w:rPr>
          <w:b/>
          <w:bCs/>
        </w:rPr>
        <w:t xml:space="preserve">immediate life-safety implications for vulnerable populations</w:t>
      </w:r>
      <w:r>
        <w:t xml:space="preserve">. Growth faltering detection delays directly increase child mortality. SAM referral system disruption is equivalent to emergency care disruption. This is</w:t>
      </w:r>
      <w:r>
        <w:t xml:space="preserve"> </w:t>
      </w:r>
      <w:r>
        <w:rPr>
          <w:b/>
          <w:bCs/>
        </w:rPr>
        <w:t xml:space="preserve">non-negotiable Tier 1</w:t>
      </w:r>
      <w:r>
        <w:t xml:space="preserve">.</w:t>
      </w:r>
    </w:p>
    <w:bookmarkEnd w:id="571"/>
    <w:bookmarkStart w:id="572" w:name="applicable-obligations-15"/>
    <w:p>
      <w:pPr>
        <w:pStyle w:val="Heading3"/>
      </w:pPr>
      <w:r>
        <w:t xml:space="preserve">Applicable Obligations</w:t>
      </w:r>
    </w:p>
    <w:p>
      <w:pPr>
        <w:pStyle w:val="Compact"/>
        <w:numPr>
          <w:ilvl w:val="0"/>
          <w:numId w:val="1342"/>
        </w:numPr>
      </w:pPr>
      <w:r>
        <w:t xml:space="preserve">Dedicated program security officer</w:t>
      </w:r>
    </w:p>
    <w:p>
      <w:pPr>
        <w:pStyle w:val="Compact"/>
        <w:numPr>
          <w:ilvl w:val="0"/>
          <w:numId w:val="1342"/>
        </w:numPr>
      </w:pPr>
      <w:r>
        <w:t xml:space="preserve">Annual audit of Poshan Tracker and ICDS-CAS</w:t>
      </w:r>
    </w:p>
    <w:p>
      <w:pPr>
        <w:pStyle w:val="Compact"/>
        <w:numPr>
          <w:ilvl w:val="0"/>
          <w:numId w:val="1342"/>
        </w:numPr>
      </w:pPr>
      <w:r>
        <w:t xml:space="preserve">24-hour incident reporting (given life-safety for children)</w:t>
      </w:r>
    </w:p>
    <w:p>
      <w:pPr>
        <w:pStyle w:val="Compact"/>
        <w:numPr>
          <w:ilvl w:val="0"/>
          <w:numId w:val="1342"/>
        </w:numPr>
      </w:pPr>
      <w:r>
        <w:t xml:space="preserve">SAM referral system high-availability requirements</w:t>
      </w:r>
    </w:p>
    <w:p>
      <w:pPr>
        <w:pStyle w:val="Compact"/>
        <w:numPr>
          <w:ilvl w:val="0"/>
          <w:numId w:val="1342"/>
        </w:numPr>
      </w:pPr>
      <w:r>
        <w:t xml:space="preserve">Supply chain system integrity monitoring</w:t>
      </w:r>
    </w:p>
    <w:p>
      <w:pPr>
        <w:pStyle w:val="Compact"/>
        <w:numPr>
          <w:ilvl w:val="0"/>
          <w:numId w:val="1342"/>
        </w:numPr>
      </w:pPr>
      <w:r>
        <w:t xml:space="preserve">Frontline worker device security (2.7M mobile endpoints)</w:t>
      </w:r>
    </w:p>
    <w:p>
      <w:pPr>
        <w:pStyle w:val="Compact"/>
        <w:numPr>
          <w:ilvl w:val="0"/>
          <w:numId w:val="1342"/>
        </w:numPr>
      </w:pPr>
      <w:r>
        <w:t xml:space="preserve">Multi-ministry coordination security protocols</w:t>
      </w:r>
    </w:p>
    <w:p>
      <w:pPr>
        <w:pStyle w:val="Compact"/>
        <w:numPr>
          <w:ilvl w:val="0"/>
          <w:numId w:val="1342"/>
        </w:numPr>
      </w:pPr>
      <w:r>
        <w:t xml:space="preserve">Growth data integrity controls (false data affects intervention targeting)</w:t>
      </w:r>
    </w:p>
    <w:p>
      <w:pPr>
        <w:pStyle w:val="Compact"/>
        <w:numPr>
          <w:ilvl w:val="0"/>
          <w:numId w:val="1342"/>
        </w:numPr>
      </w:pPr>
      <w:r>
        <w:t xml:space="preserve">Immunization linkage security</w:t>
      </w:r>
    </w:p>
    <w:p>
      <w:r>
        <w:pict>
          <v:rect style="width:0;height:1.5pt" o:hralign="center" o:hrstd="t" o:hr="t"/>
        </w:pict>
      </w:r>
    </w:p>
    <w:bookmarkEnd w:id="572"/>
    <w:bookmarkEnd w:id="573"/>
    <w:bookmarkStart w:id="575" w:name="X8653f215174ec3ff8e410f356245d28b0ad53b8"/>
    <w:p>
      <w:pPr>
        <w:pStyle w:val="Heading2"/>
      </w:pPr>
      <w:r>
        <w:t xml:space="preserve">Summary: Public Health Program Classification</w:t>
      </w:r>
    </w:p>
    <w:tbl>
      <w:tblPr>
        <w:tblStyle w:val="Table"/>
        <w:tblW w:type="pct" w:w="5000"/>
        <w:tblLayout w:type="fixed"/>
        <w:tblLook w:firstRow="1" w:lastRow="0" w:firstColumn="0" w:lastColumn="0" w:noHBand="0" w:noVBand="0" w:val="0020"/>
      </w:tblPr>
      <w:tblGrid>
        <w:gridCol w:w="2436"/>
        <w:gridCol w:w="2843"/>
        <w:gridCol w:w="1421"/>
        <w:gridCol w:w="1218"/>
      </w:tblGrid>
      <w:tr>
        <w:trPr>
          <w:tblHeader w:val="on"/>
        </w:trPr>
        <w:tc>
          <w:tcPr/>
          <w:p>
            <w:pPr>
              <w:pStyle w:val="Compact"/>
              <w:jc w:val="left"/>
            </w:pPr>
            <w:r>
              <w:t xml:space="preserve">Case Study</w:t>
            </w:r>
          </w:p>
        </w:tc>
        <w:tc>
          <w:tcPr/>
          <w:p>
            <w:pPr>
              <w:pStyle w:val="Compact"/>
              <w:jc w:val="left"/>
            </w:pPr>
            <w:r>
              <w:t xml:space="preserve">Program Type</w:t>
            </w:r>
          </w:p>
        </w:tc>
        <w:tc>
          <w:tcPr/>
          <w:p>
            <w:pPr>
              <w:pStyle w:val="Compact"/>
              <w:jc w:val="center"/>
            </w:pPr>
            <w:r>
              <w:t xml:space="preserve">Score</w:t>
            </w:r>
          </w:p>
        </w:tc>
        <w:tc>
          <w:tcPr/>
          <w:p>
            <w:pPr>
              <w:pStyle w:val="Compact"/>
              <w:jc w:val="center"/>
            </w:pPr>
            <w:r>
              <w:t xml:space="preserve">Tier</w:t>
            </w:r>
          </w:p>
        </w:tc>
      </w:tr>
      <w:tr>
        <w:tc>
          <w:tcPr/>
          <w:p>
            <w:pPr>
              <w:pStyle w:val="Compact"/>
              <w:jc w:val="left"/>
            </w:pPr>
            <w:r>
              <w:t xml:space="preserve">SurveilHealth</w:t>
            </w:r>
          </w:p>
        </w:tc>
        <w:tc>
          <w:tcPr/>
          <w:p>
            <w:pPr>
              <w:pStyle w:val="Compact"/>
              <w:jc w:val="left"/>
            </w:pPr>
            <w:r>
              <w:t xml:space="preserve">Disease surveillance</w:t>
            </w:r>
          </w:p>
        </w:tc>
        <w:tc>
          <w:tcPr/>
          <w:p>
            <w:pPr>
              <w:pStyle w:val="Compact"/>
              <w:jc w:val="center"/>
            </w:pPr>
            <w:r>
              <w:t xml:space="preserve">85</w:t>
            </w:r>
          </w:p>
        </w:tc>
        <w:tc>
          <w:tcPr/>
          <w:p>
            <w:pPr>
              <w:pStyle w:val="Compact"/>
              <w:jc w:val="center"/>
            </w:pPr>
            <w:r>
              <w:rPr>
                <w:b/>
                <w:bCs/>
              </w:rPr>
              <w:t xml:space="preserve">Tier 1</w:t>
            </w:r>
            <w:r>
              <w:t xml:space="preserve"> </w:t>
            </w:r>
            <w:r>
              <w:t xml:space="preserve">(auto)</w:t>
            </w:r>
          </w:p>
        </w:tc>
      </w:tr>
      <w:tr>
        <w:tc>
          <w:tcPr/>
          <w:p>
            <w:pPr>
              <w:pStyle w:val="Compact"/>
              <w:jc w:val="left"/>
            </w:pPr>
            <w:r>
              <w:t xml:space="preserve">TB-Mukt Bharat</w:t>
            </w:r>
          </w:p>
        </w:tc>
        <w:tc>
          <w:tcPr/>
          <w:p>
            <w:pPr>
              <w:pStyle w:val="Compact"/>
              <w:jc w:val="left"/>
            </w:pPr>
            <w:r>
              <w:t xml:space="preserve">TB elimination</w:t>
            </w:r>
          </w:p>
        </w:tc>
        <w:tc>
          <w:tcPr/>
          <w:p>
            <w:pPr>
              <w:pStyle w:val="Compact"/>
              <w:jc w:val="center"/>
            </w:pPr>
            <w:r>
              <w:t xml:space="preserve">80</w:t>
            </w:r>
          </w:p>
        </w:tc>
        <w:tc>
          <w:tcPr/>
          <w:p>
            <w:pPr>
              <w:pStyle w:val="Compact"/>
              <w:jc w:val="center"/>
            </w:pPr>
            <w:r>
              <w:rPr>
                <w:b/>
                <w:bCs/>
              </w:rPr>
              <w:t xml:space="preserve">Tier 1</w:t>
            </w:r>
            <w:r>
              <w:t xml:space="preserve"> </w:t>
            </w:r>
            <w:r>
              <w:t xml:space="preserve">(auto)</w:t>
            </w:r>
          </w:p>
        </w:tc>
      </w:tr>
      <w:tr>
        <w:tc>
          <w:tcPr/>
          <w:p>
            <w:pPr>
              <w:pStyle w:val="Compact"/>
              <w:jc w:val="left"/>
            </w:pPr>
            <w:r>
              <w:t xml:space="preserve">Sankalp</w:t>
            </w:r>
          </w:p>
        </w:tc>
        <w:tc>
          <w:tcPr/>
          <w:p>
            <w:pPr>
              <w:pStyle w:val="Compact"/>
              <w:jc w:val="left"/>
            </w:pPr>
            <w:r>
              <w:t xml:space="preserve">NCD control</w:t>
            </w:r>
          </w:p>
        </w:tc>
        <w:tc>
          <w:tcPr/>
          <w:p>
            <w:pPr>
              <w:pStyle w:val="Compact"/>
              <w:jc w:val="center"/>
            </w:pPr>
            <w:r>
              <w:t xml:space="preserve">75</w:t>
            </w:r>
          </w:p>
        </w:tc>
        <w:tc>
          <w:tcPr/>
          <w:p>
            <w:pPr>
              <w:pStyle w:val="Compact"/>
              <w:jc w:val="center"/>
            </w:pPr>
            <w:r>
              <w:rPr>
                <w:b/>
                <w:bCs/>
              </w:rPr>
              <w:t xml:space="preserve">Tier 1</w:t>
            </w:r>
          </w:p>
        </w:tc>
      </w:tr>
      <w:tr>
        <w:tc>
          <w:tcPr/>
          <w:p>
            <w:pPr>
              <w:pStyle w:val="Compact"/>
              <w:jc w:val="left"/>
            </w:pPr>
            <w:r>
              <w:t xml:space="preserve">DrishtiRaksha</w:t>
            </w:r>
          </w:p>
        </w:tc>
        <w:tc>
          <w:tcPr/>
          <w:p>
            <w:pPr>
              <w:pStyle w:val="Compact"/>
              <w:jc w:val="left"/>
            </w:pPr>
            <w:r>
              <w:t xml:space="preserve">Blindness control</w:t>
            </w:r>
          </w:p>
        </w:tc>
        <w:tc>
          <w:tcPr/>
          <w:p>
            <w:pPr>
              <w:pStyle w:val="Compact"/>
              <w:jc w:val="center"/>
            </w:pPr>
            <w:r>
              <w:t xml:space="preserve">60</w:t>
            </w:r>
          </w:p>
        </w:tc>
        <w:tc>
          <w:tcPr/>
          <w:p>
            <w:pPr>
              <w:pStyle w:val="Compact"/>
              <w:jc w:val="center"/>
            </w:pPr>
            <w:r>
              <w:rPr>
                <w:b/>
                <w:bCs/>
              </w:rPr>
              <w:t xml:space="preserve">Tier 1</w:t>
            </w:r>
          </w:p>
        </w:tc>
      </w:tr>
      <w:tr>
        <w:tc>
          <w:tcPr/>
          <w:p>
            <w:pPr>
              <w:pStyle w:val="Compact"/>
              <w:jc w:val="left"/>
            </w:pPr>
            <w:r>
              <w:t xml:space="preserve">Poshan Rakshak</w:t>
            </w:r>
          </w:p>
        </w:tc>
        <w:tc>
          <w:tcPr/>
          <w:p>
            <w:pPr>
              <w:pStyle w:val="Compact"/>
              <w:jc w:val="left"/>
            </w:pPr>
            <w:r>
              <w:t xml:space="preserve">Nutrition/growth monitoring</w:t>
            </w:r>
          </w:p>
        </w:tc>
        <w:tc>
          <w:tcPr/>
          <w:p>
            <w:pPr>
              <w:pStyle w:val="Compact"/>
              <w:jc w:val="center"/>
            </w:pPr>
            <w:r>
              <w:t xml:space="preserve">80</w:t>
            </w:r>
          </w:p>
        </w:tc>
        <w:tc>
          <w:tcPr/>
          <w:p>
            <w:pPr>
              <w:pStyle w:val="Compact"/>
              <w:jc w:val="center"/>
            </w:pPr>
            <w:r>
              <w:rPr>
                <w:b/>
                <w:bCs/>
              </w:rPr>
              <w:t xml:space="preserve">Tier 1</w:t>
            </w:r>
            <w:r>
              <w:t xml:space="preserve"> </w:t>
            </w:r>
            <w:r>
              <w:t xml:space="preserve">(auto)</w:t>
            </w:r>
          </w:p>
        </w:tc>
      </w:tr>
    </w:tbl>
    <w:bookmarkStart w:id="574" w:name="key-insights-3"/>
    <w:p>
      <w:pPr>
        <w:pStyle w:val="Heading3"/>
      </w:pPr>
      <w:r>
        <w:t xml:space="preserve">Key Insights</w:t>
      </w:r>
    </w:p>
    <w:p>
      <w:pPr>
        <w:pStyle w:val="Compact"/>
        <w:numPr>
          <w:ilvl w:val="0"/>
          <w:numId w:val="1343"/>
        </w:numPr>
      </w:pPr>
      <w:r>
        <w:rPr>
          <w:b/>
          <w:bCs/>
        </w:rPr>
        <w:t xml:space="preserve">National surveillance is foundational CII</w:t>
      </w:r>
      <w:r>
        <w:t xml:space="preserve">: Pandemic preparedness depends on surveillance system integrity</w:t>
      </w:r>
    </w:p>
    <w:p>
      <w:pPr>
        <w:pStyle w:val="Compact"/>
        <w:numPr>
          <w:ilvl w:val="0"/>
          <w:numId w:val="1343"/>
        </w:numPr>
      </w:pPr>
      <w:r>
        <w:rPr>
          <w:b/>
          <w:bCs/>
        </w:rPr>
        <w:t xml:space="preserve">Disease control programs have supply chain dependencies</w:t>
      </w:r>
      <w:r>
        <w:t xml:space="preserve">: TB drugs, IOL distribution, nutrition supplements are attack vectors</w:t>
      </w:r>
    </w:p>
    <w:p>
      <w:pPr>
        <w:pStyle w:val="Compact"/>
        <w:numPr>
          <w:ilvl w:val="0"/>
          <w:numId w:val="1343"/>
        </w:numPr>
      </w:pPr>
      <w:r>
        <w:rPr>
          <w:b/>
          <w:bCs/>
        </w:rPr>
        <w:t xml:space="preserve">NCD programs need longitudinal integrity</w:t>
      </w:r>
      <w:r>
        <w:t xml:space="preserve">: Chronic disease tracking requires decade-long data protection</w:t>
      </w:r>
    </w:p>
    <w:p>
      <w:pPr>
        <w:pStyle w:val="Compact"/>
        <w:numPr>
          <w:ilvl w:val="0"/>
          <w:numId w:val="1343"/>
        </w:numPr>
      </w:pPr>
      <w:r>
        <w:rPr>
          <w:b/>
          <w:bCs/>
        </w:rPr>
        <w:t xml:space="preserve">Child health programs are life-critical</w:t>
      </w:r>
      <w:r>
        <w:t xml:space="preserve">: Nutrition monitoring and SAM referrals directly affect child mortality</w:t>
      </w:r>
    </w:p>
    <w:p>
      <w:pPr>
        <w:pStyle w:val="Compact"/>
        <w:numPr>
          <w:ilvl w:val="0"/>
          <w:numId w:val="1343"/>
        </w:numPr>
      </w:pPr>
      <w:r>
        <w:rPr>
          <w:b/>
          <w:bCs/>
        </w:rPr>
        <w:t xml:space="preserve">Frontline worker systems scale massively</w:t>
      </w:r>
      <w:r>
        <w:t xml:space="preserve">: 2.7M devices create enormous endpoint security challenge</w:t>
      </w:r>
    </w:p>
    <w:p>
      <w:pPr>
        <w:sectPr>
          <w:footerReference w:type="first" r:id="rId13"/>
          <w:footerReference w:type="default" r:id="rId11"/>
          <w:footerReference w:type="even" r:id="rId10"/>
          <w:type w:val="nextPage"/>
        </w:sectPr>
      </w:pPr>
    </w:p>
    <w:bookmarkEnd w:id="574"/>
    <w:bookmarkEnd w:id="575"/>
    <w:bookmarkEnd w:id="576"/>
    <w:bookmarkStart w:id="600" w:name="Xe9634903d59cdab33bde8356a3b30e6800989b6"/>
    <w:p>
      <w:pPr>
        <w:pStyle w:val="Heading1"/>
      </w:pPr>
      <w:r>
        <w:t xml:space="preserve">CII Case Studies: Registries, Biobanks, and Blood Services</w:t>
      </w:r>
    </w:p>
    <w:p>
      <w:pPr>
        <w:pStyle w:val="FirstParagraph"/>
      </w:pPr>
      <w:r>
        <w:t xml:space="preserve">This chapter presents case studies for</w:t>
      </w:r>
      <w:r>
        <w:t xml:space="preserve"> </w:t>
      </w:r>
      <w:r>
        <w:rPr>
          <w:b/>
          <w:bCs/>
        </w:rPr>
        <w:t xml:space="preserve">health data registries, biological sample repositories, and blood transfusion services</w:t>
      </w:r>
      <w:r>
        <w:t xml:space="preserve">.</w:t>
      </w:r>
    </w:p>
    <w:p>
      <w:r>
        <w:pict>
          <v:rect style="width:0;height:1.5pt" o:hralign="center" o:hrstd="t" o:hr="t"/>
        </w:pict>
      </w:r>
    </w:p>
    <w:bookmarkStart w:id="583" w:name="Xe382cc9b4b0ed94b6e210fbf79db570db003849"/>
    <w:p>
      <w:pPr>
        <w:pStyle w:val="Heading2"/>
      </w:pPr>
      <w:r>
        <w:t xml:space="preserve">Case Study 1: National Cancer Registry -</w:t>
      </w:r>
      <w:r>
        <w:t xml:space="preserve"> </w:t>
      </w:r>
      <w:r>
        <w:t xml:space="preserve">“OncoWatch”</w:t>
      </w:r>
    </w:p>
    <w:bookmarkStart w:id="577" w:name="entity-profile-19"/>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OncoWatch National Cancer Registry</w:t>
            </w:r>
          </w:p>
        </w:tc>
      </w:tr>
      <w:tr>
        <w:tc>
          <w:tcPr/>
          <w:p>
            <w:pPr>
              <w:pStyle w:val="Compact"/>
              <w:jc w:val="left"/>
            </w:pPr>
            <w:r>
              <w:rPr>
                <w:b/>
                <w:bCs/>
              </w:rPr>
              <w:t xml:space="preserve">Type</w:t>
            </w:r>
          </w:p>
        </w:tc>
        <w:tc>
          <w:tcPr/>
          <w:p>
            <w:pPr>
              <w:pStyle w:val="Compact"/>
              <w:jc w:val="left"/>
            </w:pPr>
            <w:r>
              <w:t xml:space="preserve">National population-based cancer registry</w:t>
            </w:r>
          </w:p>
        </w:tc>
      </w:tr>
      <w:tr>
        <w:tc>
          <w:tcPr/>
          <w:p>
            <w:pPr>
              <w:pStyle w:val="Compact"/>
              <w:jc w:val="left"/>
            </w:pPr>
            <w:r>
              <w:rPr>
                <w:b/>
                <w:bCs/>
              </w:rPr>
              <w:t xml:space="preserve">Operator</w:t>
            </w:r>
          </w:p>
        </w:tc>
        <w:tc>
          <w:tcPr/>
          <w:p>
            <w:pPr>
              <w:pStyle w:val="Compact"/>
              <w:jc w:val="left"/>
            </w:pPr>
            <w:r>
              <w:t xml:space="preserve">National Institute of Cancer Research (government)</w:t>
            </w:r>
          </w:p>
        </w:tc>
      </w:tr>
      <w:tr>
        <w:tc>
          <w:tcPr/>
          <w:p>
            <w:pPr>
              <w:pStyle w:val="Compact"/>
              <w:jc w:val="left"/>
            </w:pPr>
            <w:r>
              <w:rPr>
                <w:b/>
                <w:bCs/>
              </w:rPr>
              <w:t xml:space="preserve">Coverage</w:t>
            </w:r>
          </w:p>
        </w:tc>
        <w:tc>
          <w:tcPr/>
          <w:p>
            <w:pPr>
              <w:pStyle w:val="Compact"/>
              <w:jc w:val="left"/>
            </w:pPr>
            <w:r>
              <w:t xml:space="preserve">95% population coverage across 28 states</w:t>
            </w:r>
          </w:p>
        </w:tc>
      </w:tr>
      <w:tr>
        <w:tc>
          <w:tcPr/>
          <w:p>
            <w:pPr>
              <w:pStyle w:val="Compact"/>
              <w:jc w:val="left"/>
            </w:pPr>
            <w:r>
              <w:rPr>
                <w:b/>
                <w:bCs/>
              </w:rPr>
              <w:t xml:space="preserve">Records</w:t>
            </w:r>
          </w:p>
        </w:tc>
        <w:tc>
          <w:tcPr/>
          <w:p>
            <w:pPr>
              <w:pStyle w:val="Compact"/>
              <w:jc w:val="left"/>
            </w:pPr>
            <w:r>
              <w:t xml:space="preserve">12 million cumulative cancer registrations since inception</w:t>
            </w:r>
          </w:p>
        </w:tc>
      </w:tr>
      <w:tr>
        <w:tc>
          <w:tcPr/>
          <w:p>
            <w:pPr>
              <w:pStyle w:val="Compact"/>
              <w:jc w:val="left"/>
            </w:pPr>
            <w:r>
              <w:rPr>
                <w:b/>
                <w:bCs/>
              </w:rPr>
              <w:t xml:space="preserve">Annual new cases</w:t>
            </w:r>
          </w:p>
        </w:tc>
        <w:tc>
          <w:tcPr/>
          <w:p>
            <w:pPr>
              <w:pStyle w:val="Compact"/>
              <w:jc w:val="left"/>
            </w:pPr>
            <w:r>
              <w:t xml:space="preserve">1.4 million new registrations/year</w:t>
            </w:r>
          </w:p>
        </w:tc>
      </w:tr>
      <w:tr>
        <w:tc>
          <w:tcPr/>
          <w:p>
            <w:pPr>
              <w:pStyle w:val="Compact"/>
              <w:jc w:val="left"/>
            </w:pPr>
            <w:r>
              <w:rPr>
                <w:b/>
                <w:bCs/>
              </w:rPr>
              <w:t xml:space="preserve">Data elements</w:t>
            </w:r>
          </w:p>
        </w:tc>
        <w:tc>
          <w:tcPr/>
          <w:p>
            <w:pPr>
              <w:pStyle w:val="Compact"/>
              <w:jc w:val="left"/>
            </w:pPr>
            <w:r>
              <w:t xml:space="preserve">Demographics, diagnosis, staging, treatment, outcomes, mortality</w:t>
            </w:r>
          </w:p>
        </w:tc>
      </w:tr>
      <w:tr>
        <w:tc>
          <w:tcPr/>
          <w:p>
            <w:pPr>
              <w:pStyle w:val="Compact"/>
              <w:jc w:val="left"/>
            </w:pPr>
            <w:r>
              <w:rPr>
                <w:b/>
                <w:bCs/>
              </w:rPr>
              <w:t xml:space="preserve">Integrations</w:t>
            </w:r>
          </w:p>
        </w:tc>
        <w:tc>
          <w:tcPr/>
          <w:p>
            <w:pPr>
              <w:pStyle w:val="Compact"/>
              <w:jc w:val="left"/>
            </w:pPr>
            <w:r>
              <w:t xml:space="preserve">Linked to death registry, hospital cancer departments, pathology labs</w:t>
            </w:r>
          </w:p>
        </w:tc>
      </w:tr>
      <w:tr>
        <w:tc>
          <w:tcPr/>
          <w:p>
            <w:pPr>
              <w:pStyle w:val="Compact"/>
              <w:jc w:val="left"/>
            </w:pPr>
            <w:r>
              <w:rPr>
                <w:b/>
                <w:bCs/>
              </w:rPr>
              <w:t xml:space="preserve">Uses</w:t>
            </w:r>
          </w:p>
        </w:tc>
        <w:tc>
          <w:tcPr/>
          <w:p>
            <w:pPr>
              <w:pStyle w:val="Compact"/>
              <w:jc w:val="left"/>
            </w:pPr>
            <w:r>
              <w:t xml:space="preserve">National cancer control planning; research; epidemiology</w:t>
            </w:r>
          </w:p>
        </w:tc>
      </w:tr>
    </w:tbl>
    <w:bookmarkEnd w:id="577"/>
    <w:bookmarkStart w:id="580" w:name="cii-classification-assessment-19"/>
    <w:p>
      <w:pPr>
        <w:pStyle w:val="Heading3"/>
      </w:pPr>
      <w:r>
        <w:t xml:space="preserve">CII Classification Assessment</w:t>
      </w:r>
    </w:p>
    <w:bookmarkStart w:id="578" w:name="automatic-tier-1-trigger-analysis-5"/>
    <w:p>
      <w:pPr>
        <w:pStyle w:val="Heading4"/>
      </w:pPr>
      <w:r>
        <w:t xml:space="preserve">Automatic Tier 1 Trigger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“Regardless of Size”</w:t>
            </w:r>
            <w:r>
              <w:t xml:space="preserve"> </w:t>
            </w:r>
            <w:r>
              <w:t xml:space="preserve">Criterion</w:t>
            </w:r>
          </w:p>
        </w:tc>
        <w:tc>
          <w:tcPr/>
          <w:p>
            <w:pPr>
              <w:pStyle w:val="Compact"/>
              <w:jc w:val="center"/>
            </w:pPr>
            <w:r>
              <w:t xml:space="preserve">Applies?</w:t>
            </w:r>
          </w:p>
        </w:tc>
      </w:tr>
      <w:tr>
        <w:tc>
          <w:tcPr/>
          <w:p>
            <w:pPr>
              <w:pStyle w:val="Compact"/>
              <w:jc w:val="left"/>
            </w:pPr>
            <w:r>
              <w:t xml:space="preserve">National-level health information system</w:t>
            </w:r>
          </w:p>
        </w:tc>
        <w:tc>
          <w:tcPr/>
          <w:p>
            <w:pPr>
              <w:pStyle w:val="Compact"/>
              <w:jc w:val="center"/>
            </w:pPr>
            <w:r>
              <w:t xml:space="preserve">✓</w:t>
            </w:r>
          </w:p>
        </w:tc>
      </w:tr>
      <w:tr>
        <w:tc>
          <w:tcPr/>
          <w:p>
            <w:pPr>
              <w:pStyle w:val="Compact"/>
              <w:jc w:val="left"/>
            </w:pPr>
            <w:r>
              <w:t xml:space="preserve">Disease surveillance function</w:t>
            </w:r>
          </w:p>
        </w:tc>
        <w:tc>
          <w:tcPr/>
          <w:p>
            <w:pPr>
              <w:pStyle w:val="Compact"/>
              <w:jc w:val="center"/>
            </w:pPr>
            <w:r>
              <w:t xml:space="preserve">✓</w:t>
            </w:r>
          </w:p>
        </w:tc>
      </w:tr>
      <w:tr>
        <w:tc>
          <w:tcPr/>
          <w:p>
            <w:pPr>
              <w:pStyle w:val="Compact"/>
              <w:jc w:val="left"/>
            </w:pPr>
            <w:r>
              <w:t xml:space="preserve">Public health planning dependency</w:t>
            </w:r>
          </w:p>
        </w:tc>
        <w:tc>
          <w:tcPr/>
          <w:p>
            <w:pPr>
              <w:pStyle w:val="Compact"/>
              <w:jc w:val="center"/>
            </w:pPr>
            <w:r>
              <w:t xml:space="preserve">✓</w:t>
            </w:r>
          </w:p>
        </w:tc>
      </w:tr>
      <w:tr>
        <w:tc>
          <w:tcPr/>
          <w:p>
            <w:pPr>
              <w:pStyle w:val="Compact"/>
              <w:jc w:val="left"/>
            </w:pPr>
            <w:r>
              <w:t xml:space="preserve">Research infrastructure</w:t>
            </w:r>
          </w:p>
        </w:tc>
        <w:tc>
          <w:tcPr/>
          <w:p>
            <w:pPr>
              <w:pStyle w:val="Compact"/>
              <w:jc w:val="center"/>
            </w:pPr>
            <w:r>
              <w:t xml:space="preserve">✓</w:t>
            </w:r>
          </w:p>
        </w:tc>
      </w:tr>
    </w:tbl>
    <w:bookmarkEnd w:id="578"/>
    <w:bookmarkStart w:id="579" w:name="scoring-developing-country-framework-14"/>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Population Coverage</w:t>
            </w:r>
          </w:p>
        </w:tc>
        <w:tc>
          <w:tcPr/>
          <w:p>
            <w:pPr>
              <w:pStyle w:val="Compact"/>
              <w:jc w:val="left"/>
            </w:pPr>
            <w:r>
              <w:t xml:space="preserve">95% national coverage</w:t>
            </w:r>
          </w:p>
        </w:tc>
        <w:tc>
          <w:tcPr/>
          <w:p>
            <w:pPr>
              <w:pStyle w:val="Compact"/>
              <w:jc w:val="center"/>
            </w:pPr>
            <w:r>
              <w:t xml:space="preserve">30</w:t>
            </w:r>
          </w:p>
        </w:tc>
      </w:tr>
      <w:tr>
        <w:tc>
          <w:tcPr/>
          <w:p>
            <w:pPr>
              <w:pStyle w:val="Compact"/>
              <w:jc w:val="left"/>
            </w:pPr>
            <w:r>
              <w:rPr>
                <w:b/>
                <w:bCs/>
              </w:rPr>
              <w:t xml:space="preserve">B. Data Sensitivity</w:t>
            </w:r>
          </w:p>
        </w:tc>
        <w:tc>
          <w:tcPr/>
          <w:p>
            <w:pPr>
              <w:pStyle w:val="Compact"/>
              <w:jc w:val="left"/>
            </w:pPr>
            <w:r>
              <w:t xml:space="preserve">12M cancer patient records with outcomes</w:t>
            </w:r>
          </w:p>
        </w:tc>
        <w:tc>
          <w:tcPr/>
          <w:p>
            <w:pPr>
              <w:pStyle w:val="Compact"/>
              <w:jc w:val="center"/>
            </w:pPr>
            <w:r>
              <w:t xml:space="preserve">25</w:t>
            </w:r>
          </w:p>
        </w:tc>
      </w:tr>
      <w:tr>
        <w:tc>
          <w:tcPr/>
          <w:p>
            <w:pPr>
              <w:pStyle w:val="Compact"/>
              <w:jc w:val="left"/>
            </w:pPr>
            <w:r>
              <w:rPr>
                <w:b/>
                <w:bCs/>
              </w:rPr>
              <w:t xml:space="preserve">C. Public Health Function</w:t>
            </w:r>
          </w:p>
        </w:tc>
        <w:tc>
          <w:tcPr/>
          <w:p>
            <w:pPr>
              <w:pStyle w:val="Compact"/>
              <w:jc w:val="left"/>
            </w:pPr>
            <w:r>
              <w:t xml:space="preserve">National cancer control planning</w:t>
            </w:r>
          </w:p>
        </w:tc>
        <w:tc>
          <w:tcPr/>
          <w:p>
            <w:pPr>
              <w:pStyle w:val="Compact"/>
              <w:jc w:val="center"/>
            </w:pPr>
            <w:r>
              <w:t xml:space="preserve">20</w:t>
            </w:r>
          </w:p>
        </w:tc>
      </w:tr>
      <w:tr>
        <w:tc>
          <w:tcPr/>
          <w:p>
            <w:pPr>
              <w:pStyle w:val="Compact"/>
              <w:jc w:val="left"/>
            </w:pPr>
            <w:r>
              <w:rPr>
                <w:b/>
                <w:bCs/>
              </w:rPr>
              <w:t xml:space="preserve">D. Research Infrastructure</w:t>
            </w:r>
          </w:p>
        </w:tc>
        <w:tc>
          <w:tcPr/>
          <w:p>
            <w:pPr>
              <w:pStyle w:val="Compact"/>
              <w:jc w:val="left"/>
            </w:pPr>
            <w:r>
              <w:t xml:space="preserve">Supports national/international cancer research</w:t>
            </w:r>
          </w:p>
        </w:tc>
        <w:tc>
          <w:tcPr/>
          <w:p>
            <w:pPr>
              <w:pStyle w:val="Compact"/>
              <w:jc w:val="center"/>
            </w:pPr>
            <w:r>
              <w:t xml:space="preserve">10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85</w:t>
            </w:r>
          </w:p>
        </w:tc>
      </w:tr>
    </w:tbl>
    <w:bookmarkEnd w:id="579"/>
    <w:bookmarkEnd w:id="580"/>
    <w:bookmarkStart w:id="581" w:name="classification-result-19"/>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85</w:t>
            </w:r>
          </w:p>
        </w:tc>
        <w:tc>
          <w:tcPr/>
          <w:p>
            <w:pPr>
              <w:pStyle w:val="Compact"/>
              <w:jc w:val="left"/>
            </w:pPr>
            <w:r>
              <w:rPr>
                <w:b/>
                <w:bCs/>
              </w:rPr>
              <w:t xml:space="preserve">Tier 1 (Essential)</w:t>
            </w:r>
          </w:p>
        </w:tc>
        <w:tc>
          <w:tcPr/>
          <w:p>
            <w:pPr>
              <w:pStyle w:val="Compact"/>
              <w:jc w:val="left"/>
            </w:pPr>
            <w:r>
              <w:t xml:space="preserve">National disease registry; public health planning dependency</w:t>
            </w:r>
          </w:p>
        </w:tc>
      </w:tr>
    </w:tbl>
    <w:bookmarkEnd w:id="581"/>
    <w:bookmarkStart w:id="582" w:name="applicable-obligations-16"/>
    <w:p>
      <w:pPr>
        <w:pStyle w:val="Heading3"/>
      </w:pPr>
      <w:r>
        <w:t xml:space="preserve">Applicable Obligations</w:t>
      </w:r>
    </w:p>
    <w:p>
      <w:pPr>
        <w:pStyle w:val="Compact"/>
        <w:numPr>
          <w:ilvl w:val="0"/>
          <w:numId w:val="1344"/>
        </w:numPr>
      </w:pPr>
      <w:r>
        <w:t xml:space="preserve">Dedicated security officer</w:t>
      </w:r>
    </w:p>
    <w:p>
      <w:pPr>
        <w:pStyle w:val="Compact"/>
        <w:numPr>
          <w:ilvl w:val="0"/>
          <w:numId w:val="1344"/>
        </w:numPr>
      </w:pPr>
      <w:r>
        <w:t xml:space="preserve">Annual audit with focus on data integrity (registry accuracy is critical)</w:t>
      </w:r>
    </w:p>
    <w:p>
      <w:pPr>
        <w:pStyle w:val="Compact"/>
        <w:numPr>
          <w:ilvl w:val="0"/>
          <w:numId w:val="1344"/>
        </w:numPr>
      </w:pPr>
      <w:r>
        <w:t xml:space="preserve">24-hour incident reporting</w:t>
      </w:r>
    </w:p>
    <w:p>
      <w:pPr>
        <w:pStyle w:val="Compact"/>
        <w:numPr>
          <w:ilvl w:val="0"/>
          <w:numId w:val="1344"/>
        </w:numPr>
      </w:pPr>
      <w:r>
        <w:t xml:space="preserve">Access control audit (researcher access management)</w:t>
      </w:r>
    </w:p>
    <w:p>
      <w:pPr>
        <w:pStyle w:val="Compact"/>
        <w:numPr>
          <w:ilvl w:val="0"/>
          <w:numId w:val="1344"/>
        </w:numPr>
      </w:pPr>
      <w:r>
        <w:t xml:space="preserve">Backup and recovery testing (longitudinal data irreplaceable)</w:t>
      </w:r>
    </w:p>
    <w:p>
      <w:pPr>
        <w:pStyle w:val="Compact"/>
        <w:numPr>
          <w:ilvl w:val="0"/>
          <w:numId w:val="1344"/>
        </w:numPr>
      </w:pPr>
      <w:r>
        <w:t xml:space="preserve">Data sharing agreement security review</w:t>
      </w:r>
    </w:p>
    <w:p>
      <w:pPr>
        <w:pStyle w:val="Compact"/>
        <w:numPr>
          <w:ilvl w:val="0"/>
          <w:numId w:val="1344"/>
        </w:numPr>
      </w:pPr>
      <w:r>
        <w:t xml:space="preserve">International collaboration security protocols</w:t>
      </w:r>
    </w:p>
    <w:p>
      <w:r>
        <w:pict>
          <v:rect style="width:0;height:1.5pt" o:hralign="center" o:hrstd="t" o:hr="t"/>
        </w:pict>
      </w:r>
    </w:p>
    <w:bookmarkEnd w:id="582"/>
    <w:bookmarkEnd w:id="583"/>
    <w:bookmarkStart w:id="590" w:name="X48114aeb434b7504c95ed81fb2faccc1e778756"/>
    <w:p>
      <w:pPr>
        <w:pStyle w:val="Heading2"/>
      </w:pPr>
      <w:r>
        <w:t xml:space="preserve">Case Study 2: National Biobank -</w:t>
      </w:r>
      <w:r>
        <w:t xml:space="preserve"> </w:t>
      </w:r>
      <w:r>
        <w:t xml:space="preserve">“JeevanKosh”</w:t>
      </w:r>
    </w:p>
    <w:bookmarkStart w:id="584" w:name="entity-profile-20"/>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JeevanKosh National Biobank</w:t>
            </w:r>
          </w:p>
        </w:tc>
      </w:tr>
      <w:tr>
        <w:tc>
          <w:tcPr/>
          <w:p>
            <w:pPr>
              <w:pStyle w:val="Compact"/>
              <w:jc w:val="left"/>
            </w:pPr>
            <w:r>
              <w:rPr>
                <w:b/>
                <w:bCs/>
              </w:rPr>
              <w:t xml:space="preserve">Type</w:t>
            </w:r>
          </w:p>
        </w:tc>
        <w:tc>
          <w:tcPr/>
          <w:p>
            <w:pPr>
              <w:pStyle w:val="Compact"/>
              <w:jc w:val="left"/>
            </w:pPr>
            <w:r>
              <w:t xml:space="preserve">National biological sample and data repository</w:t>
            </w:r>
          </w:p>
        </w:tc>
      </w:tr>
      <w:tr>
        <w:tc>
          <w:tcPr/>
          <w:p>
            <w:pPr>
              <w:pStyle w:val="Compact"/>
              <w:jc w:val="left"/>
            </w:pPr>
            <w:r>
              <w:rPr>
                <w:b/>
                <w:bCs/>
              </w:rPr>
              <w:t xml:space="preserve">Operator</w:t>
            </w:r>
          </w:p>
        </w:tc>
        <w:tc>
          <w:tcPr/>
          <w:p>
            <w:pPr>
              <w:pStyle w:val="Compact"/>
              <w:jc w:val="left"/>
            </w:pPr>
            <w:r>
              <w:t xml:space="preserve">National Institute of Biomedical Research (government)</w:t>
            </w:r>
          </w:p>
        </w:tc>
      </w:tr>
      <w:tr>
        <w:tc>
          <w:tcPr/>
          <w:p>
            <w:pPr>
              <w:pStyle w:val="Compact"/>
              <w:jc w:val="left"/>
            </w:pPr>
            <w:r>
              <w:rPr>
                <w:b/>
                <w:bCs/>
              </w:rPr>
              <w:t xml:space="preserve">Sample holdings</w:t>
            </w:r>
          </w:p>
        </w:tc>
        <w:tc>
          <w:tcPr/>
          <w:p>
            <w:pPr>
              <w:pStyle w:val="Compact"/>
              <w:jc w:val="left"/>
            </w:pPr>
            <w:r>
              <w:t xml:space="preserve">5 million biological samples (blood, tissue, DNA)</w:t>
            </w:r>
          </w:p>
        </w:tc>
      </w:tr>
      <w:tr>
        <w:tc>
          <w:tcPr/>
          <w:p>
            <w:pPr>
              <w:pStyle w:val="Compact"/>
              <w:jc w:val="left"/>
            </w:pPr>
            <w:r>
              <w:rPr>
                <w:b/>
                <w:bCs/>
              </w:rPr>
              <w:t xml:space="preserve">Linked data</w:t>
            </w:r>
          </w:p>
        </w:tc>
        <w:tc>
          <w:tcPr/>
          <w:p>
            <w:pPr>
              <w:pStyle w:val="Compact"/>
              <w:jc w:val="left"/>
            </w:pPr>
            <w:r>
              <w:t xml:space="preserve">Clinical phenotypes, genomic data, longitudinal health outcomes</w:t>
            </w:r>
          </w:p>
        </w:tc>
      </w:tr>
      <w:tr>
        <w:tc>
          <w:tcPr/>
          <w:p>
            <w:pPr>
              <w:pStyle w:val="Compact"/>
              <w:jc w:val="left"/>
            </w:pPr>
            <w:r>
              <w:rPr>
                <w:b/>
                <w:bCs/>
              </w:rPr>
              <w:t xml:space="preserve">Sources</w:t>
            </w:r>
          </w:p>
        </w:tc>
        <w:tc>
          <w:tcPr/>
          <w:p>
            <w:pPr>
              <w:pStyle w:val="Compact"/>
              <w:jc w:val="left"/>
            </w:pPr>
            <w:r>
              <w:t xml:space="preserve">Population cohorts, disease-specific studies, hospital contributions</w:t>
            </w:r>
          </w:p>
        </w:tc>
      </w:tr>
      <w:tr>
        <w:tc>
          <w:tcPr/>
          <w:p>
            <w:pPr>
              <w:pStyle w:val="Compact"/>
              <w:jc w:val="left"/>
            </w:pPr>
            <w:r>
              <w:rPr>
                <w:b/>
                <w:bCs/>
              </w:rPr>
              <w:t xml:space="preserve">Access</w:t>
            </w:r>
          </w:p>
        </w:tc>
        <w:tc>
          <w:tcPr/>
          <w:p>
            <w:pPr>
              <w:pStyle w:val="Compact"/>
              <w:jc w:val="left"/>
            </w:pPr>
            <w:r>
              <w:t xml:space="preserve">Enables national and international research collaborations</w:t>
            </w:r>
          </w:p>
        </w:tc>
      </w:tr>
      <w:tr>
        <w:tc>
          <w:tcPr/>
          <w:p>
            <w:pPr>
              <w:pStyle w:val="Compact"/>
              <w:jc w:val="left"/>
            </w:pPr>
            <w:r>
              <w:rPr>
                <w:b/>
                <w:bCs/>
              </w:rPr>
              <w:t xml:space="preserve">Infrastructure</w:t>
            </w:r>
          </w:p>
        </w:tc>
        <w:tc>
          <w:tcPr/>
          <w:p>
            <w:pPr>
              <w:pStyle w:val="Compact"/>
              <w:jc w:val="left"/>
            </w:pPr>
            <w:r>
              <w:t xml:space="preserve">Automated sample storage (-80°C, liquid nitrogen); LIMS; linked databases</w:t>
            </w:r>
          </w:p>
        </w:tc>
      </w:tr>
      <w:tr>
        <w:tc>
          <w:tcPr/>
          <w:p>
            <w:pPr>
              <w:pStyle w:val="Compact"/>
              <w:jc w:val="left"/>
            </w:pPr>
            <w:r>
              <w:rPr>
                <w:b/>
                <w:bCs/>
              </w:rPr>
              <w:t xml:space="preserve">Special consideration</w:t>
            </w:r>
          </w:p>
        </w:tc>
        <w:tc>
          <w:tcPr/>
          <w:p>
            <w:pPr>
              <w:pStyle w:val="Compact"/>
              <w:jc w:val="left"/>
            </w:pPr>
            <w:r>
              <w:rPr>
                <w:b/>
                <w:bCs/>
              </w:rPr>
              <w:t xml:space="preserve">Irreplaceable national research resource</w:t>
            </w:r>
          </w:p>
        </w:tc>
      </w:tr>
    </w:tbl>
    <w:bookmarkEnd w:id="584"/>
    <w:bookmarkStart w:id="587" w:name="cii-classification-assessment-20"/>
    <w:p>
      <w:pPr>
        <w:pStyle w:val="Heading3"/>
      </w:pPr>
      <w:r>
        <w:t xml:space="preserve">CII Classification Assessment</w:t>
      </w:r>
    </w:p>
    <w:bookmarkStart w:id="585" w:name="key-risk-factors-8"/>
    <w:p>
      <w:pPr>
        <w:pStyle w:val="Heading4"/>
      </w:pPr>
      <w:r>
        <w:t xml:space="preserve">Key Risk Factors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rPr>
                <w:b/>
                <w:bCs/>
              </w:rPr>
              <w:t xml:space="preserve">Sample irreplaceability</w:t>
            </w:r>
          </w:p>
        </w:tc>
        <w:tc>
          <w:tcPr/>
          <w:p>
            <w:pPr>
              <w:pStyle w:val="Compact"/>
              <w:jc w:val="left"/>
            </w:pPr>
            <w:r>
              <w:t xml:space="preserve">Samples from deceased donors or rare disease patients cannot be recreated</w:t>
            </w:r>
          </w:p>
        </w:tc>
      </w:tr>
      <w:tr>
        <w:tc>
          <w:tcPr/>
          <w:p>
            <w:pPr>
              <w:pStyle w:val="Compact"/>
              <w:jc w:val="left"/>
            </w:pPr>
            <w:r>
              <w:rPr>
                <w:b/>
                <w:bCs/>
              </w:rPr>
              <w:t xml:space="preserve">Linked data sensitivity</w:t>
            </w:r>
          </w:p>
        </w:tc>
        <w:tc>
          <w:tcPr/>
          <w:p>
            <w:pPr>
              <w:pStyle w:val="Compact"/>
              <w:jc w:val="left"/>
            </w:pPr>
            <w:r>
              <w:t xml:space="preserve">Samples linked to genomic, clinical, and outcome data</w:t>
            </w:r>
          </w:p>
        </w:tc>
      </w:tr>
      <w:tr>
        <w:tc>
          <w:tcPr/>
          <w:p>
            <w:pPr>
              <w:pStyle w:val="Compact"/>
              <w:jc w:val="left"/>
            </w:pPr>
            <w:r>
              <w:rPr>
                <w:b/>
                <w:bCs/>
              </w:rPr>
              <w:t xml:space="preserve">Physical + cyber risks</w:t>
            </w:r>
          </w:p>
        </w:tc>
        <w:tc>
          <w:tcPr/>
          <w:p>
            <w:pPr>
              <w:pStyle w:val="Compact"/>
              <w:jc w:val="left"/>
            </w:pPr>
            <w:r>
              <w:t xml:space="preserve">Both physical sample security and data security required</w:t>
            </w:r>
          </w:p>
        </w:tc>
      </w:tr>
      <w:tr>
        <w:tc>
          <w:tcPr/>
          <w:p>
            <w:pPr>
              <w:pStyle w:val="Compact"/>
              <w:jc w:val="left"/>
            </w:pPr>
            <w:r>
              <w:rPr>
                <w:b/>
                <w:bCs/>
              </w:rPr>
              <w:t xml:space="preserve">Research dependency</w:t>
            </w:r>
          </w:p>
        </w:tc>
        <w:tc>
          <w:tcPr/>
          <w:p>
            <w:pPr>
              <w:pStyle w:val="Compact"/>
              <w:jc w:val="left"/>
            </w:pPr>
            <w:r>
              <w:t xml:space="preserve">National health research ecosystem depends on biobank access</w:t>
            </w:r>
          </w:p>
        </w:tc>
      </w:tr>
      <w:tr>
        <w:tc>
          <w:tcPr/>
          <w:p>
            <w:pPr>
              <w:pStyle w:val="Compact"/>
              <w:jc w:val="left"/>
            </w:pPr>
            <w:r>
              <w:rPr>
                <w:b/>
                <w:bCs/>
              </w:rPr>
              <w:t xml:space="preserve">Consent complexity</w:t>
            </w:r>
          </w:p>
        </w:tc>
        <w:tc>
          <w:tcPr/>
          <w:p>
            <w:pPr>
              <w:pStyle w:val="Compact"/>
              <w:jc w:val="left"/>
            </w:pPr>
            <w:r>
              <w:t xml:space="preserve">Samples collected under specific consent; breach affects consent validity</w:t>
            </w:r>
          </w:p>
        </w:tc>
      </w:tr>
    </w:tbl>
    <w:bookmarkEnd w:id="585"/>
    <w:bookmarkStart w:id="586" w:name="scoring-developing-country-framework-15"/>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Sample Volume</w:t>
            </w:r>
          </w:p>
        </w:tc>
        <w:tc>
          <w:tcPr/>
          <w:p>
            <w:pPr>
              <w:pStyle w:val="Compact"/>
              <w:jc w:val="left"/>
            </w:pPr>
            <w:r>
              <w:t xml:space="preserve">5M biological samples</w:t>
            </w:r>
          </w:p>
        </w:tc>
        <w:tc>
          <w:tcPr/>
          <w:p>
            <w:pPr>
              <w:pStyle w:val="Compact"/>
              <w:jc w:val="center"/>
            </w:pPr>
            <w:r>
              <w:t xml:space="preserve">25</w:t>
            </w:r>
          </w:p>
        </w:tc>
      </w:tr>
      <w:tr>
        <w:tc>
          <w:tcPr/>
          <w:p>
            <w:pPr>
              <w:pStyle w:val="Compact"/>
              <w:jc w:val="left"/>
            </w:pPr>
            <w:r>
              <w:rPr>
                <w:b/>
                <w:bCs/>
              </w:rPr>
              <w:t xml:space="preserve">B. Data Sensitivity</w:t>
            </w:r>
          </w:p>
        </w:tc>
        <w:tc>
          <w:tcPr/>
          <w:p>
            <w:pPr>
              <w:pStyle w:val="Compact"/>
              <w:jc w:val="left"/>
            </w:pPr>
            <w:r>
              <w:t xml:space="preserve">Linked genomic + clinical data</w:t>
            </w:r>
          </w:p>
        </w:tc>
        <w:tc>
          <w:tcPr/>
          <w:p>
            <w:pPr>
              <w:pStyle w:val="Compact"/>
              <w:jc w:val="center"/>
            </w:pPr>
            <w:r>
              <w:t xml:space="preserve">25</w:t>
            </w:r>
          </w:p>
        </w:tc>
      </w:tr>
      <w:tr>
        <w:tc>
          <w:tcPr/>
          <w:p>
            <w:pPr>
              <w:pStyle w:val="Compact"/>
              <w:jc w:val="left"/>
            </w:pPr>
            <w:r>
              <w:rPr>
                <w:b/>
                <w:bCs/>
              </w:rPr>
              <w:t xml:space="preserve">C. Irreplaceability</w:t>
            </w:r>
          </w:p>
        </w:tc>
        <w:tc>
          <w:tcPr/>
          <w:p>
            <w:pPr>
              <w:pStyle w:val="Compact"/>
              <w:jc w:val="left"/>
            </w:pPr>
            <w:r>
              <w:t xml:space="preserve">Samples from discontinued cohorts, deceased donors</w:t>
            </w:r>
          </w:p>
        </w:tc>
        <w:tc>
          <w:tcPr/>
          <w:p>
            <w:pPr>
              <w:pStyle w:val="Compact"/>
              <w:jc w:val="center"/>
            </w:pPr>
            <w:r>
              <w:t xml:space="preserve">20</w:t>
            </w:r>
          </w:p>
        </w:tc>
      </w:tr>
      <w:tr>
        <w:tc>
          <w:tcPr/>
          <w:p>
            <w:pPr>
              <w:pStyle w:val="Compact"/>
              <w:jc w:val="left"/>
            </w:pPr>
            <w:r>
              <w:rPr>
                <w:b/>
                <w:bCs/>
              </w:rPr>
              <w:t xml:space="preserve">D. Research Infrastructure</w:t>
            </w:r>
          </w:p>
        </w:tc>
        <w:tc>
          <w:tcPr/>
          <w:p>
            <w:pPr>
              <w:pStyle w:val="Compact"/>
              <w:jc w:val="left"/>
            </w:pPr>
            <w:r>
              <w:t xml:space="preserve">National research ecosystem dependency</w:t>
            </w:r>
          </w:p>
        </w:tc>
        <w:tc>
          <w:tcPr/>
          <w:p>
            <w:pPr>
              <w:pStyle w:val="Compact"/>
              <w:jc w:val="center"/>
            </w:pPr>
            <w:r>
              <w:t xml:space="preserve">15</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85</w:t>
            </w:r>
          </w:p>
        </w:tc>
      </w:tr>
    </w:tbl>
    <w:bookmarkEnd w:id="586"/>
    <w:bookmarkEnd w:id="587"/>
    <w:bookmarkStart w:id="588" w:name="classification-result-20"/>
    <w:p>
      <w:pPr>
        <w:pStyle w:val="Heading3"/>
      </w:pPr>
      <w:r>
        <w:t xml:space="preserve">Classification Result</w:t>
      </w:r>
    </w:p>
    <w:tbl>
      <w:tblPr>
        <w:tblStyle w:val="Table"/>
        <w:tblW w:type="pct" w:w="5000"/>
        <w:tblLayout w:type="fixed"/>
        <w:tblLook w:firstRow="1" w:lastRow="0" w:firstColumn="0" w:lastColumn="0" w:noHBand="0" w:noVBand="0" w:val="0020"/>
      </w:tblPr>
      <w:tblGrid>
        <w:gridCol w:w="2489"/>
        <w:gridCol w:w="1584"/>
        <w:gridCol w:w="1357"/>
        <w:gridCol w:w="2489"/>
      </w:tblGrid>
      <w:tr>
        <w:trPr>
          <w:tblHeader w:val="on"/>
        </w:trPr>
        <w:tc>
          <w:tcPr/>
          <w:p>
            <w:pPr>
              <w:pStyle w:val="Compact"/>
              <w:jc w:val="left"/>
            </w:pPr>
            <w:r>
              <w:t xml:space="preserve">Framework</w:t>
            </w:r>
          </w:p>
        </w:tc>
        <w:tc>
          <w:tcPr/>
          <w:p>
            <w:pPr>
              <w:pStyle w:val="Compact"/>
              <w:jc w:val="left"/>
            </w:pPr>
            <w:r>
              <w:t xml:space="preserve">Score</w:t>
            </w:r>
          </w:p>
        </w:tc>
        <w:tc>
          <w:tcPr/>
          <w:p>
            <w:pPr>
              <w:pStyle w:val="Compact"/>
              <w:jc w:val="left"/>
            </w:pPr>
            <w:r>
              <w:t xml:space="preserve">Tier</w:t>
            </w:r>
          </w:p>
        </w:tc>
        <w:tc>
          <w:tcPr/>
          <w:p>
            <w:pPr>
              <w:pStyle w:val="Compact"/>
              <w:jc w:val="left"/>
            </w:pPr>
            <w:r>
              <w:t xml:space="preserve">Rationale</w:t>
            </w:r>
          </w:p>
        </w:tc>
      </w:tr>
      <w:tr>
        <w:tc>
          <w:tcPr/>
          <w:p>
            <w:pPr>
              <w:pStyle w:val="Compact"/>
              <w:jc w:val="left"/>
            </w:pPr>
            <w:r>
              <w:rPr>
                <w:b/>
                <w:bCs/>
              </w:rPr>
              <w:t xml:space="preserve">Developing Country</w:t>
            </w:r>
          </w:p>
        </w:tc>
        <w:tc>
          <w:tcPr/>
          <w:p>
            <w:pPr>
              <w:pStyle w:val="Compact"/>
              <w:jc w:val="left"/>
            </w:pPr>
            <w:r>
              <w:t xml:space="preserve">85</w:t>
            </w:r>
          </w:p>
        </w:tc>
        <w:tc>
          <w:tcPr/>
          <w:p>
            <w:pPr>
              <w:pStyle w:val="Compact"/>
              <w:jc w:val="left"/>
            </w:pPr>
            <w:r>
              <w:rPr>
                <w:b/>
                <w:bCs/>
              </w:rPr>
              <w:t xml:space="preserve">Tier 1 (Essential)</w:t>
            </w:r>
          </w:p>
        </w:tc>
        <w:tc>
          <w:tcPr/>
          <w:p>
            <w:pPr>
              <w:pStyle w:val="Compact"/>
              <w:jc w:val="left"/>
            </w:pPr>
            <w:r>
              <w:t xml:space="preserve">Irreplaceable national research resource; linked sensitive data</w:t>
            </w:r>
          </w:p>
        </w:tc>
      </w:tr>
    </w:tbl>
    <w:p>
      <w:pPr>
        <w:pStyle w:val="BlockText"/>
      </w:pPr>
      <w:r>
        <w:t xml:space="preserve">[!NOTE]</w:t>
      </w:r>
      <w:r>
        <w:t xml:space="preserve"> </w:t>
      </w:r>
      <w:r>
        <w:t xml:space="preserve">Biobanks present</w:t>
      </w:r>
      <w:r>
        <w:t xml:space="preserve"> </w:t>
      </w:r>
      <w:r>
        <w:rPr>
          <w:b/>
          <w:bCs/>
        </w:rPr>
        <w:t xml:space="preserve">hybrid physical-cyber security requirements</w:t>
      </w:r>
      <w:r>
        <w:t xml:space="preserve">. Loss of sample integrity (physical) or linked data (cyber) both constitute major incidents. CII frameworks should explicitly address</w:t>
      </w:r>
      <w:r>
        <w:t xml:space="preserve"> </w:t>
      </w:r>
      <w:r>
        <w:rPr>
          <w:b/>
          <w:bCs/>
        </w:rPr>
        <w:t xml:space="preserve">biobank-specific criteria</w:t>
      </w:r>
      <w:r>
        <w:t xml:space="preserve">.</w:t>
      </w:r>
    </w:p>
    <w:bookmarkEnd w:id="588"/>
    <w:bookmarkStart w:id="589" w:name="applicable-obligations-17"/>
    <w:p>
      <w:pPr>
        <w:pStyle w:val="Heading3"/>
      </w:pPr>
      <w:r>
        <w:t xml:space="preserve">Applicable Obligations</w:t>
      </w:r>
    </w:p>
    <w:p>
      <w:pPr>
        <w:pStyle w:val="Compact"/>
        <w:numPr>
          <w:ilvl w:val="0"/>
          <w:numId w:val="1345"/>
        </w:numPr>
      </w:pPr>
      <w:r>
        <w:t xml:space="preserve">Dedicated security officer (physical + cyber)</w:t>
      </w:r>
    </w:p>
    <w:p>
      <w:pPr>
        <w:pStyle w:val="Compact"/>
        <w:numPr>
          <w:ilvl w:val="0"/>
          <w:numId w:val="1345"/>
        </w:numPr>
      </w:pPr>
      <w:r>
        <w:t xml:space="preserve">Annual audit covering both physical and IT security</w:t>
      </w:r>
    </w:p>
    <w:p>
      <w:pPr>
        <w:pStyle w:val="Compact"/>
        <w:numPr>
          <w:ilvl w:val="0"/>
          <w:numId w:val="1345"/>
        </w:numPr>
      </w:pPr>
      <w:r>
        <w:t xml:space="preserve">24-hour incident reporting (including physical security events)</w:t>
      </w:r>
    </w:p>
    <w:p>
      <w:pPr>
        <w:pStyle w:val="Compact"/>
        <w:numPr>
          <w:ilvl w:val="0"/>
          <w:numId w:val="1345"/>
        </w:numPr>
      </w:pPr>
      <w:r>
        <w:t xml:space="preserve">Sample tracking integrity controls</w:t>
      </w:r>
    </w:p>
    <w:p>
      <w:pPr>
        <w:pStyle w:val="Compact"/>
        <w:numPr>
          <w:ilvl w:val="0"/>
          <w:numId w:val="1345"/>
        </w:numPr>
      </w:pPr>
      <w:r>
        <w:t xml:space="preserve">Access management for researchers (physical + data)</w:t>
      </w:r>
    </w:p>
    <w:p>
      <w:pPr>
        <w:pStyle w:val="Compact"/>
        <w:numPr>
          <w:ilvl w:val="0"/>
          <w:numId w:val="1345"/>
        </w:numPr>
      </w:pPr>
      <w:r>
        <w:t xml:space="preserve">Backup and disaster recovery for LIMS</w:t>
      </w:r>
    </w:p>
    <w:p>
      <w:pPr>
        <w:pStyle w:val="Compact"/>
        <w:numPr>
          <w:ilvl w:val="0"/>
          <w:numId w:val="1345"/>
        </w:numPr>
      </w:pPr>
      <w:r>
        <w:t xml:space="preserve">Consent management system security</w:t>
      </w:r>
    </w:p>
    <w:p>
      <w:pPr>
        <w:pStyle w:val="Compact"/>
        <w:numPr>
          <w:ilvl w:val="0"/>
          <w:numId w:val="1345"/>
        </w:numPr>
      </w:pPr>
      <w:r>
        <w:t xml:space="preserve">Third-party researcher security assessment</w:t>
      </w:r>
    </w:p>
    <w:p>
      <w:pPr>
        <w:pStyle w:val="Compact"/>
        <w:numPr>
          <w:ilvl w:val="0"/>
          <w:numId w:val="1345"/>
        </w:numPr>
      </w:pPr>
      <w:r>
        <w:t xml:space="preserve">International collaboration data transfer controls</w:t>
      </w:r>
    </w:p>
    <w:p>
      <w:r>
        <w:pict>
          <v:rect style="width:0;height:1.5pt" o:hralign="center" o:hrstd="t" o:hr="t"/>
        </w:pict>
      </w:r>
    </w:p>
    <w:bookmarkEnd w:id="589"/>
    <w:bookmarkEnd w:id="590"/>
    <w:bookmarkStart w:id="597" w:name="Xbf7d94a7060e12791bacc15231f5aae6b54752e"/>
    <w:p>
      <w:pPr>
        <w:pStyle w:val="Heading2"/>
      </w:pPr>
      <w:r>
        <w:t xml:space="preserve">Case Study 3: State Blood Transfusion Council -</w:t>
      </w:r>
      <w:r>
        <w:t xml:space="preserve"> </w:t>
      </w:r>
      <w:r>
        <w:t xml:space="preserve">“Jeevan Raksha”</w:t>
      </w:r>
    </w:p>
    <w:bookmarkStart w:id="591" w:name="entity-profile-21"/>
    <w:p>
      <w:pPr>
        <w:pStyle w:val="Heading3"/>
      </w:pPr>
      <w:r>
        <w:t xml:space="preserve">Entity Profile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Jeevan Raksha State Blood Transfusion Council</w:t>
            </w:r>
          </w:p>
        </w:tc>
      </w:tr>
      <w:tr>
        <w:tc>
          <w:tcPr/>
          <w:p>
            <w:pPr>
              <w:pStyle w:val="Compact"/>
              <w:jc w:val="left"/>
            </w:pPr>
            <w:r>
              <w:rPr>
                <w:b/>
                <w:bCs/>
              </w:rPr>
              <w:t xml:space="preserve">Type</w:t>
            </w:r>
          </w:p>
        </w:tc>
        <w:tc>
          <w:tcPr/>
          <w:p>
            <w:pPr>
              <w:pStyle w:val="Compact"/>
              <w:jc w:val="left"/>
            </w:pPr>
            <w:r>
              <w:t xml:space="preserve">State-level blood transfusion coordination agency</w:t>
            </w:r>
          </w:p>
        </w:tc>
      </w:tr>
      <w:tr>
        <w:tc>
          <w:tcPr/>
          <w:p>
            <w:pPr>
              <w:pStyle w:val="Compact"/>
              <w:jc w:val="left"/>
            </w:pPr>
            <w:r>
              <w:rPr>
                <w:b/>
                <w:bCs/>
              </w:rPr>
              <w:t xml:space="preserve">Coverage</w:t>
            </w:r>
          </w:p>
        </w:tc>
        <w:tc>
          <w:tcPr/>
          <w:p>
            <w:pPr>
              <w:pStyle w:val="Compact"/>
              <w:jc w:val="left"/>
            </w:pPr>
            <w:r>
              <w:t xml:space="preserve">28 districts; coordinates 45 blood banks</w:t>
            </w:r>
          </w:p>
        </w:tc>
      </w:tr>
      <w:tr>
        <w:tc>
          <w:tcPr/>
          <w:p>
            <w:pPr>
              <w:pStyle w:val="Compact"/>
              <w:jc w:val="left"/>
            </w:pPr>
            <w:r>
              <w:rPr>
                <w:b/>
                <w:bCs/>
              </w:rPr>
              <w:t xml:space="preserve">Functions</w:t>
            </w:r>
          </w:p>
        </w:tc>
        <w:tc>
          <w:tcPr/>
          <w:p>
            <w:pPr>
              <w:pStyle w:val="Compact"/>
              <w:jc w:val="left"/>
            </w:pPr>
            <w:r>
              <w:t xml:space="preserve">Blood inventory management, donor registry, cross-matching coordination</w:t>
            </w:r>
          </w:p>
        </w:tc>
      </w:tr>
      <w:tr>
        <w:tc>
          <w:tcPr/>
          <w:p>
            <w:pPr>
              <w:pStyle w:val="Compact"/>
              <w:jc w:val="left"/>
            </w:pPr>
            <w:r>
              <w:rPr>
                <w:b/>
                <w:bCs/>
              </w:rPr>
              <w:t xml:space="preserve">Population served</w:t>
            </w:r>
          </w:p>
        </w:tc>
        <w:tc>
          <w:tcPr/>
          <w:p>
            <w:pPr>
              <w:pStyle w:val="Compact"/>
              <w:jc w:val="left"/>
            </w:pPr>
            <w:r>
              <w:t xml:space="preserve">50 million</w:t>
            </w:r>
          </w:p>
        </w:tc>
      </w:tr>
      <w:tr>
        <w:tc>
          <w:tcPr/>
          <w:p>
            <w:pPr>
              <w:pStyle w:val="Compact"/>
              <w:jc w:val="left"/>
            </w:pPr>
            <w:r>
              <w:rPr>
                <w:b/>
                <w:bCs/>
              </w:rPr>
              <w:t xml:space="preserve">Employees</w:t>
            </w:r>
          </w:p>
        </w:tc>
        <w:tc>
          <w:tcPr/>
          <w:p>
            <w:pPr>
              <w:pStyle w:val="Compact"/>
              <w:jc w:val="left"/>
            </w:pPr>
            <w:r>
              <w:t xml:space="preserve">85</w:t>
            </w:r>
          </w:p>
        </w:tc>
      </w:tr>
      <w:tr>
        <w:tc>
          <w:tcPr/>
          <w:p>
            <w:pPr>
              <w:pStyle w:val="Compact"/>
              <w:jc w:val="left"/>
            </w:pPr>
            <w:r>
              <w:rPr>
                <w:b/>
                <w:bCs/>
              </w:rPr>
              <w:t xml:space="preserve">Digital systems</w:t>
            </w:r>
          </w:p>
        </w:tc>
        <w:tc>
          <w:tcPr/>
          <w:p>
            <w:pPr>
              <w:pStyle w:val="Compact"/>
              <w:jc w:val="left"/>
            </w:pPr>
            <w:r>
              <w:t xml:space="preserve">State blood bank management system; real-time inventory</w:t>
            </w:r>
          </w:p>
        </w:tc>
      </w:tr>
      <w:tr>
        <w:tc>
          <w:tcPr/>
          <w:p>
            <w:pPr>
              <w:pStyle w:val="Compact"/>
              <w:jc w:val="left"/>
            </w:pPr>
            <w:r>
              <w:rPr>
                <w:b/>
                <w:bCs/>
              </w:rPr>
              <w:t xml:space="preserve">Connectivity</w:t>
            </w:r>
          </w:p>
        </w:tc>
        <w:tc>
          <w:tcPr/>
          <w:p>
            <w:pPr>
              <w:pStyle w:val="Compact"/>
              <w:jc w:val="left"/>
            </w:pPr>
            <w:r>
              <w:t xml:space="preserve">Connected to all district blood banks</w:t>
            </w:r>
          </w:p>
        </w:tc>
      </w:tr>
    </w:tbl>
    <w:bookmarkEnd w:id="591"/>
    <w:bookmarkStart w:id="594" w:name="cii-classification-assessment-21"/>
    <w:p>
      <w:pPr>
        <w:pStyle w:val="Heading3"/>
      </w:pPr>
      <w:r>
        <w:t xml:space="preserve">CII Classification Assessment</w:t>
      </w:r>
    </w:p>
    <w:bookmarkStart w:id="592" w:name="automatic-tier-1-trigger-analysis-6"/>
    <w:p>
      <w:pPr>
        <w:pStyle w:val="Heading4"/>
      </w:pPr>
      <w:r>
        <w:t xml:space="preserve">Automatic Tier 1 Trigger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“Regardless of Size”</w:t>
            </w:r>
            <w:r>
              <w:t xml:space="preserve"> </w:t>
            </w:r>
            <w:r>
              <w:t xml:space="preserve">Criterion</w:t>
            </w:r>
          </w:p>
        </w:tc>
        <w:tc>
          <w:tcPr/>
          <w:p>
            <w:pPr>
              <w:pStyle w:val="Compact"/>
              <w:jc w:val="center"/>
            </w:pPr>
            <w:r>
              <w:t xml:space="preserve">Applies?</w:t>
            </w:r>
          </w:p>
        </w:tc>
      </w:tr>
      <w:tr>
        <w:tc>
          <w:tcPr/>
          <w:p>
            <w:pPr>
              <w:pStyle w:val="Compact"/>
              <w:jc w:val="left"/>
            </w:pPr>
            <w:r>
              <w:t xml:space="preserve">Operates blood allocation services at regional level</w:t>
            </w:r>
          </w:p>
        </w:tc>
        <w:tc>
          <w:tcPr/>
          <w:p>
            <w:pPr>
              <w:pStyle w:val="Compact"/>
              <w:jc w:val="center"/>
            </w:pPr>
            <w:r>
              <w:t xml:space="preserve">✓</w:t>
            </w:r>
          </w:p>
        </w:tc>
      </w:tr>
      <w:tr>
        <w:tc>
          <w:tcPr/>
          <w:p>
            <w:pPr>
              <w:pStyle w:val="Compact"/>
              <w:jc w:val="left"/>
            </w:pPr>
            <w:r>
              <w:t xml:space="preserve">Single point of coordination for state blood supply</w:t>
            </w:r>
          </w:p>
        </w:tc>
        <w:tc>
          <w:tcPr/>
          <w:p>
            <w:pPr>
              <w:pStyle w:val="Compact"/>
              <w:jc w:val="center"/>
            </w:pPr>
            <w:r>
              <w:t xml:space="preserve">✓</w:t>
            </w:r>
          </w:p>
        </w:tc>
      </w:tr>
      <w:tr>
        <w:tc>
          <w:tcPr/>
          <w:p>
            <w:pPr>
              <w:pStyle w:val="Compact"/>
              <w:jc w:val="left"/>
            </w:pPr>
            <w:r>
              <w:t xml:space="preserve">Life-critical dependency (emergency transfusions)</w:t>
            </w:r>
          </w:p>
        </w:tc>
        <w:tc>
          <w:tcPr/>
          <w:p>
            <w:pPr>
              <w:pStyle w:val="Compact"/>
              <w:jc w:val="center"/>
            </w:pPr>
            <w:r>
              <w:t xml:space="preserve">✓</w:t>
            </w:r>
          </w:p>
        </w:tc>
      </w:tr>
    </w:tbl>
    <w:bookmarkEnd w:id="592"/>
    <w:bookmarkStart w:id="593" w:name="scoring-developing-country-framework-16"/>
    <w:p>
      <w:pPr>
        <w:pStyle w:val="Heading4"/>
      </w:pPr>
      <w:r>
        <w:t xml:space="preserve">Scoring (Developing Country Framework)</w:t>
      </w:r>
    </w:p>
    <w:tbl>
      <w:tblPr>
        <w:tblStyle w:val="Table"/>
        <w:tblW w:type="pct" w:w="5000"/>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Domain</w:t>
            </w:r>
          </w:p>
        </w:tc>
        <w:tc>
          <w:tcPr/>
          <w:p>
            <w:pPr>
              <w:pStyle w:val="Compact"/>
              <w:jc w:val="left"/>
            </w:pPr>
            <w:r>
              <w:t xml:space="preserve">Criterion</w:t>
            </w:r>
          </w:p>
        </w:tc>
        <w:tc>
          <w:tcPr/>
          <w:p>
            <w:pPr>
              <w:pStyle w:val="Compact"/>
              <w:jc w:val="center"/>
            </w:pPr>
            <w:r>
              <w:t xml:space="preserve">Points Scored</w:t>
            </w:r>
          </w:p>
        </w:tc>
      </w:tr>
      <w:tr>
        <w:tc>
          <w:tcPr/>
          <w:p>
            <w:pPr>
              <w:pStyle w:val="Compact"/>
              <w:jc w:val="left"/>
            </w:pPr>
            <w:r>
              <w:rPr>
                <w:b/>
                <w:bCs/>
              </w:rPr>
              <w:t xml:space="preserve">A. Scale</w:t>
            </w:r>
          </w:p>
        </w:tc>
        <w:tc>
          <w:tcPr/>
          <w:p>
            <w:pPr>
              <w:pStyle w:val="Compact"/>
              <w:jc w:val="left"/>
            </w:pPr>
            <w:r>
              <w:t xml:space="preserve">Not applicable (coordination agency)</w:t>
            </w:r>
          </w:p>
        </w:tc>
        <w:tc>
          <w:tcPr/>
          <w:p>
            <w:pPr>
              <w:pStyle w:val="Compact"/>
              <w:jc w:val="center"/>
            </w:pPr>
            <w:r>
              <w:t xml:space="preserve">0</w:t>
            </w:r>
          </w:p>
        </w:tc>
      </w:tr>
      <w:tr>
        <w:tc>
          <w:tcPr/>
          <w:p>
            <w:pPr>
              <w:pStyle w:val="Compact"/>
              <w:jc w:val="left"/>
            </w:pPr>
            <w:r>
              <w:rPr>
                <w:b/>
                <w:bCs/>
              </w:rPr>
              <w:t xml:space="preserve">B. Public System Role</w:t>
            </w:r>
          </w:p>
        </w:tc>
        <w:tc>
          <w:tcPr/>
          <w:p>
            <w:pPr>
              <w:pStyle w:val="Compact"/>
              <w:jc w:val="left"/>
            </w:pPr>
            <w:r>
              <w:t xml:space="preserve">State-level life-critical service</w:t>
            </w:r>
          </w:p>
        </w:tc>
        <w:tc>
          <w:tcPr/>
          <w:p>
            <w:pPr>
              <w:pStyle w:val="Compact"/>
              <w:jc w:val="center"/>
            </w:pPr>
            <w:r>
              <w:t xml:space="preserve">25</w:t>
            </w:r>
          </w:p>
        </w:tc>
      </w:tr>
      <w:tr>
        <w:tc>
          <w:tcPr/>
          <w:p>
            <w:pPr>
              <w:pStyle w:val="Compact"/>
              <w:jc w:val="left"/>
            </w:pPr>
            <w:r>
              <w:rPr>
                <w:b/>
                <w:bCs/>
              </w:rPr>
              <w:t xml:space="preserve">C. Geographic Criticality</w:t>
            </w:r>
          </w:p>
        </w:tc>
        <w:tc>
          <w:tcPr/>
          <w:p>
            <w:pPr>
              <w:pStyle w:val="Compact"/>
              <w:jc w:val="left"/>
            </w:pPr>
            <w:r>
              <w:t xml:space="preserve">Single coordination point for state</w:t>
            </w:r>
          </w:p>
        </w:tc>
        <w:tc>
          <w:tcPr/>
          <w:p>
            <w:pPr>
              <w:pStyle w:val="Compact"/>
              <w:jc w:val="center"/>
            </w:pPr>
            <w:r>
              <w:t xml:space="preserve">20</w:t>
            </w:r>
          </w:p>
        </w:tc>
      </w:tr>
      <w:tr>
        <w:tc>
          <w:tcPr/>
          <w:p>
            <w:pPr>
              <w:pStyle w:val="Compact"/>
              <w:jc w:val="left"/>
            </w:pPr>
            <w:r>
              <w:rPr>
                <w:b/>
                <w:bCs/>
              </w:rPr>
              <w:t xml:space="preserve">D. Functions</w:t>
            </w:r>
          </w:p>
        </w:tc>
        <w:tc>
          <w:tcPr/>
          <w:p>
            <w:pPr>
              <w:pStyle w:val="Compact"/>
              <w:jc w:val="left"/>
            </w:pPr>
            <w:r>
              <w:t xml:space="preserve">Blood bank coordination (life-critical)</w:t>
            </w:r>
          </w:p>
        </w:tc>
        <w:tc>
          <w:tcPr/>
          <w:p>
            <w:pPr>
              <w:pStyle w:val="Compact"/>
              <w:jc w:val="center"/>
            </w:pPr>
            <w:r>
              <w:t xml:space="preserve">25</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70</w:t>
            </w:r>
          </w:p>
        </w:tc>
      </w:tr>
    </w:tbl>
    <w:bookmarkEnd w:id="593"/>
    <w:bookmarkEnd w:id="594"/>
    <w:bookmarkStart w:id="595" w:name="classification-result-21"/>
    <w:p>
      <w:pPr>
        <w:pStyle w:val="Heading3"/>
      </w:pPr>
      <w:r>
        <w:t xml:space="preserve">Classification Result</w:t>
      </w:r>
    </w:p>
    <w:tbl>
      <w:tblPr>
        <w:tblStyle w:val="Table"/>
        <w:tblW w:type="pct" w:w="5000"/>
        <w:tblLayout w:type="fixed"/>
        <w:tblLook w:firstRow="1" w:lastRow="0" w:firstColumn="0" w:lastColumn="0" w:noHBand="0" w:noVBand="0" w:val="0020"/>
      </w:tblPr>
      <w:tblGrid>
        <w:gridCol w:w="3065"/>
        <w:gridCol w:w="2043"/>
        <w:gridCol w:w="2810"/>
      </w:tblGrid>
      <w:tr>
        <w:trPr>
          <w:tblHeader w:val="on"/>
        </w:trPr>
        <w:tc>
          <w:tcPr/>
          <w:p>
            <w:pPr>
              <w:pStyle w:val="Compact"/>
              <w:jc w:val="left"/>
            </w:pPr>
            <w:r>
              <w:t xml:space="preserve">Assessment</w:t>
            </w:r>
          </w:p>
        </w:tc>
        <w:tc>
          <w:tcPr/>
          <w:p>
            <w:pPr>
              <w:pStyle w:val="Compact"/>
              <w:jc w:val="left"/>
            </w:pPr>
            <w:r>
              <w:t xml:space="preserve">Result</w:t>
            </w:r>
          </w:p>
        </w:tc>
        <w:tc>
          <w:tcPr/>
          <w:p>
            <w:pPr>
              <w:pStyle w:val="Compact"/>
              <w:jc w:val="left"/>
            </w:pPr>
            <w:r>
              <w:t xml:space="preserve">Rationale</w:t>
            </w:r>
          </w:p>
        </w:tc>
      </w:tr>
      <w:tr>
        <w:tc>
          <w:tcPr/>
          <w:p>
            <w:pPr>
              <w:pStyle w:val="Compact"/>
              <w:jc w:val="left"/>
            </w:pPr>
            <w:r>
              <w:rPr>
                <w:b/>
                <w:bCs/>
              </w:rPr>
              <w:t xml:space="preserve">Score-based</w:t>
            </w:r>
          </w:p>
        </w:tc>
        <w:tc>
          <w:tcPr/>
          <w:p>
            <w:pPr>
              <w:pStyle w:val="Compact"/>
              <w:jc w:val="left"/>
            </w:pPr>
            <w:r>
              <w:t xml:space="preserve">70 → Tier 1</w:t>
            </w:r>
          </w:p>
        </w:tc>
        <w:tc>
          <w:tcPr/>
          <w:p>
            <w:pPr>
              <w:pStyle w:val="Compact"/>
              <w:jc w:val="left"/>
            </w:pPr>
            <w:r>
              <w:t xml:space="preserve">High score on function and uniqueness</w:t>
            </w:r>
          </w:p>
        </w:tc>
      </w:tr>
      <w:tr>
        <w:tc>
          <w:tcPr/>
          <w:p>
            <w:pPr>
              <w:pStyle w:val="Compact"/>
              <w:jc w:val="left"/>
            </w:pPr>
            <w:r>
              <w:rPr>
                <w:b/>
                <w:bCs/>
              </w:rPr>
              <w:t xml:space="preserve">Automatic Tier 1</w:t>
            </w:r>
          </w:p>
        </w:tc>
        <w:tc>
          <w:tcPr/>
          <w:p>
            <w:pPr>
              <w:pStyle w:val="Compact"/>
              <w:jc w:val="left"/>
            </w:pPr>
            <w:r>
              <w:t xml:space="preserve">Yes</w:t>
            </w:r>
          </w:p>
        </w:tc>
        <w:tc>
          <w:tcPr/>
          <w:p>
            <w:pPr>
              <w:pStyle w:val="Compact"/>
              <w:jc w:val="left"/>
            </w:pPr>
            <w:r>
              <w:t xml:space="preserve">Blood supply coordination is automatic trigger</w:t>
            </w:r>
          </w:p>
        </w:tc>
      </w:tr>
    </w:tbl>
    <w:bookmarkEnd w:id="595"/>
    <w:bookmarkStart w:id="596" w:name="applicable-obligations-18"/>
    <w:p>
      <w:pPr>
        <w:pStyle w:val="Heading3"/>
      </w:pPr>
      <w:r>
        <w:t xml:space="preserve">Applicable Obligations</w:t>
      </w:r>
    </w:p>
    <w:p>
      <w:pPr>
        <w:pStyle w:val="Compact"/>
        <w:numPr>
          <w:ilvl w:val="0"/>
          <w:numId w:val="1346"/>
        </w:numPr>
      </w:pPr>
      <w:r>
        <w:t xml:space="preserve">Dedicated security officer</w:t>
      </w:r>
    </w:p>
    <w:p>
      <w:pPr>
        <w:pStyle w:val="Compact"/>
        <w:numPr>
          <w:ilvl w:val="0"/>
          <w:numId w:val="1346"/>
        </w:numPr>
      </w:pPr>
      <w:r>
        <w:t xml:space="preserve">Real-time monitoring of blood inventory system</w:t>
      </w:r>
    </w:p>
    <w:p>
      <w:pPr>
        <w:pStyle w:val="Compact"/>
        <w:numPr>
          <w:ilvl w:val="0"/>
          <w:numId w:val="1346"/>
        </w:numPr>
      </w:pPr>
      <w:r>
        <w:t xml:space="preserve">24-hour incident reporting (supply chain disruption)</w:t>
      </w:r>
    </w:p>
    <w:p>
      <w:pPr>
        <w:pStyle w:val="Compact"/>
        <w:numPr>
          <w:ilvl w:val="0"/>
          <w:numId w:val="1346"/>
        </w:numPr>
      </w:pPr>
      <w:r>
        <w:t xml:space="preserve">Business continuity: Manual fallback for blood matching/allocation</w:t>
      </w:r>
    </w:p>
    <w:p>
      <w:pPr>
        <w:pStyle w:val="Compact"/>
        <w:numPr>
          <w:ilvl w:val="0"/>
          <w:numId w:val="1346"/>
        </w:numPr>
      </w:pPr>
      <w:r>
        <w:t xml:space="preserve">Annual audit with focus on data integrity</w:t>
      </w:r>
    </w:p>
    <w:p>
      <w:r>
        <w:pict>
          <v:rect style="width:0;height:1.5pt" o:hralign="center" o:hrstd="t" o:hr="t"/>
        </w:pict>
      </w:r>
    </w:p>
    <w:bookmarkEnd w:id="596"/>
    <w:bookmarkEnd w:id="597"/>
    <w:bookmarkStart w:id="599" w:name="Xa21d8f1ab49949316018fef355f42632b9a5831"/>
    <w:p>
      <w:pPr>
        <w:pStyle w:val="Heading2"/>
      </w:pPr>
      <w:r>
        <w:t xml:space="preserve">Summary: Registries, Biobanks, and Blood Services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Case Study</w:t>
            </w:r>
          </w:p>
        </w:tc>
        <w:tc>
          <w:tcPr/>
          <w:p>
            <w:pPr>
              <w:pStyle w:val="Compact"/>
              <w:jc w:val="left"/>
            </w:pPr>
            <w:r>
              <w:t xml:space="preserve">Entity Type</w:t>
            </w:r>
          </w:p>
        </w:tc>
        <w:tc>
          <w:tcPr/>
          <w:p>
            <w:pPr>
              <w:pStyle w:val="Compact"/>
              <w:jc w:val="center"/>
            </w:pPr>
            <w:r>
              <w:t xml:space="preserve">Score</w:t>
            </w:r>
          </w:p>
        </w:tc>
        <w:tc>
          <w:tcPr/>
          <w:p>
            <w:pPr>
              <w:pStyle w:val="Compact"/>
              <w:jc w:val="center"/>
            </w:pPr>
            <w:r>
              <w:t xml:space="preserve">Tier</w:t>
            </w:r>
          </w:p>
        </w:tc>
      </w:tr>
      <w:tr>
        <w:tc>
          <w:tcPr/>
          <w:p>
            <w:pPr>
              <w:pStyle w:val="Compact"/>
              <w:jc w:val="left"/>
            </w:pPr>
            <w:r>
              <w:t xml:space="preserve">OncoWatch</w:t>
            </w:r>
          </w:p>
        </w:tc>
        <w:tc>
          <w:tcPr/>
          <w:p>
            <w:pPr>
              <w:pStyle w:val="Compact"/>
              <w:jc w:val="left"/>
            </w:pPr>
            <w:r>
              <w:t xml:space="preserve">National cancer registry</w:t>
            </w:r>
          </w:p>
        </w:tc>
        <w:tc>
          <w:tcPr/>
          <w:p>
            <w:pPr>
              <w:pStyle w:val="Compact"/>
              <w:jc w:val="center"/>
            </w:pPr>
            <w:r>
              <w:t xml:space="preserve">85</w:t>
            </w:r>
          </w:p>
        </w:tc>
        <w:tc>
          <w:tcPr/>
          <w:p>
            <w:pPr>
              <w:pStyle w:val="Compact"/>
              <w:jc w:val="center"/>
            </w:pPr>
            <w:r>
              <w:rPr>
                <w:b/>
                <w:bCs/>
              </w:rPr>
              <w:t xml:space="preserve">Tier 1</w:t>
            </w:r>
            <w:r>
              <w:t xml:space="preserve"> </w:t>
            </w:r>
            <w:r>
              <w:t xml:space="preserve">(auto)</w:t>
            </w:r>
          </w:p>
        </w:tc>
      </w:tr>
      <w:tr>
        <w:tc>
          <w:tcPr/>
          <w:p>
            <w:pPr>
              <w:pStyle w:val="Compact"/>
              <w:jc w:val="left"/>
            </w:pPr>
            <w:r>
              <w:t xml:space="preserve">JeevanKosh</w:t>
            </w:r>
          </w:p>
        </w:tc>
        <w:tc>
          <w:tcPr/>
          <w:p>
            <w:pPr>
              <w:pStyle w:val="Compact"/>
              <w:jc w:val="left"/>
            </w:pPr>
            <w:r>
              <w:t xml:space="preserve">National biobank</w:t>
            </w:r>
          </w:p>
        </w:tc>
        <w:tc>
          <w:tcPr/>
          <w:p>
            <w:pPr>
              <w:pStyle w:val="Compact"/>
              <w:jc w:val="center"/>
            </w:pPr>
            <w:r>
              <w:t xml:space="preserve">85</w:t>
            </w:r>
          </w:p>
        </w:tc>
        <w:tc>
          <w:tcPr/>
          <w:p>
            <w:pPr>
              <w:pStyle w:val="Compact"/>
              <w:jc w:val="center"/>
            </w:pPr>
            <w:r>
              <w:rPr>
                <w:b/>
                <w:bCs/>
              </w:rPr>
              <w:t xml:space="preserve">Tier 1</w:t>
            </w:r>
          </w:p>
        </w:tc>
      </w:tr>
      <w:tr>
        <w:tc>
          <w:tcPr/>
          <w:p>
            <w:pPr>
              <w:pStyle w:val="Compact"/>
              <w:jc w:val="left"/>
            </w:pPr>
            <w:r>
              <w:t xml:space="preserve">Jeevan Raksha</w:t>
            </w:r>
          </w:p>
        </w:tc>
        <w:tc>
          <w:tcPr/>
          <w:p>
            <w:pPr>
              <w:pStyle w:val="Compact"/>
              <w:jc w:val="left"/>
            </w:pPr>
            <w:r>
              <w:t xml:space="preserve">State blood coordination</w:t>
            </w:r>
          </w:p>
        </w:tc>
        <w:tc>
          <w:tcPr/>
          <w:p>
            <w:pPr>
              <w:pStyle w:val="Compact"/>
              <w:jc w:val="center"/>
            </w:pPr>
            <w:r>
              <w:t xml:space="preserve">70</w:t>
            </w:r>
          </w:p>
        </w:tc>
        <w:tc>
          <w:tcPr/>
          <w:p>
            <w:pPr>
              <w:pStyle w:val="Compact"/>
              <w:jc w:val="center"/>
            </w:pPr>
            <w:r>
              <w:rPr>
                <w:b/>
                <w:bCs/>
              </w:rPr>
              <w:t xml:space="preserve">Tier 1</w:t>
            </w:r>
            <w:r>
              <w:t xml:space="preserve"> </w:t>
            </w:r>
            <w:r>
              <w:t xml:space="preserve">(auto)</w:t>
            </w:r>
          </w:p>
        </w:tc>
      </w:tr>
    </w:tbl>
    <w:bookmarkStart w:id="598" w:name="key-insights-4"/>
    <w:p>
      <w:pPr>
        <w:pStyle w:val="Heading3"/>
      </w:pPr>
      <w:r>
        <w:t xml:space="preserve">Key Insights</w:t>
      </w:r>
    </w:p>
    <w:p>
      <w:pPr>
        <w:pStyle w:val="Compact"/>
        <w:numPr>
          <w:ilvl w:val="0"/>
          <w:numId w:val="1347"/>
        </w:numPr>
      </w:pPr>
      <w:r>
        <w:rPr>
          <w:b/>
          <w:bCs/>
        </w:rPr>
        <w:t xml:space="preserve">Disease registries support public health planning</w:t>
      </w:r>
      <w:r>
        <w:t xml:space="preserve">: National registry data is irreplaceable and supports policy decisions</w:t>
      </w:r>
    </w:p>
    <w:p>
      <w:pPr>
        <w:pStyle w:val="Compact"/>
        <w:numPr>
          <w:ilvl w:val="0"/>
          <w:numId w:val="1347"/>
        </w:numPr>
      </w:pPr>
      <w:r>
        <w:rPr>
          <w:b/>
          <w:bCs/>
        </w:rPr>
        <w:t xml:space="preserve">Biobanks need hybrid security</w:t>
      </w:r>
      <w:r>
        <w:t xml:space="preserve">: Physical sample integrity + cyber data protection are equally critical</w:t>
      </w:r>
    </w:p>
    <w:p>
      <w:pPr>
        <w:pStyle w:val="Compact"/>
        <w:numPr>
          <w:ilvl w:val="0"/>
          <w:numId w:val="1347"/>
        </w:numPr>
      </w:pPr>
      <w:r>
        <w:rPr>
          <w:b/>
          <w:bCs/>
        </w:rPr>
        <w:t xml:space="preserve">Blood services are life-critical</w:t>
      </w:r>
      <w:r>
        <w:t xml:space="preserve">: Real-time coordination for emergency transfusions has immediate mortality implications</w:t>
      </w:r>
    </w:p>
    <w:p>
      <w:pPr>
        <w:pStyle w:val="Compact"/>
        <w:numPr>
          <w:ilvl w:val="0"/>
          <w:numId w:val="1347"/>
        </w:numPr>
      </w:pPr>
      <w:r>
        <w:rPr>
          <w:b/>
          <w:bCs/>
        </w:rPr>
        <w:t xml:space="preserve">Longitudinal data is irreplaceable</w:t>
      </w:r>
      <w:r>
        <w:t xml:space="preserve">: Decades of registry/biobank data cannot be reconstructed after loss</w:t>
      </w:r>
    </w:p>
    <w:bookmarkEnd w:id="598"/>
    <w:bookmarkEnd w:id="599"/>
    <w:bookmarkEnd w:id="600"/>
    <w:sectPr>
      <w:footerReference w:type="first" r:id="rId13"/>
      <w:footerReference w:type="default" r:id="rId11"/>
      <w:footerReference w:type="even"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1"/>
  </w:num>
  <w:num w:numId="10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2"/>
  </w:num>
  <w:num w:numId="1257">
    <w:abstractNumId w:val="992"/>
  </w:num>
  <w:num w:numId="1258">
    <w:abstractNumId w:val="992"/>
  </w:num>
  <w:num w:numId="1259">
    <w:abstractNumId w:val="992"/>
  </w:num>
  <w:num w:numId="1260">
    <w:abstractNumId w:val="992"/>
  </w:num>
  <w:num w:numId="1261">
    <w:abstractNumId w:val="992"/>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2"/>
  </w:num>
  <w:num w:numId="1269">
    <w:abstractNumId w:val="992"/>
  </w:num>
  <w:num w:numId="1270">
    <w:abstractNumId w:val="992"/>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2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32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hyperlink" Id="rId452" Target="file:///Users/vivekgupta/workspace/CI%20in%20health/chapters/61%20-%20Case%20Studies%20-%20Healthcare%20Delivery.md" TargetMode="External"/><Relationship Type="http://schemas.openxmlformats.org/officeDocument/2006/relationships/hyperlink" Id="rId453" Target="file:///Users/vivekgupta/workspace/CI%20in%20health/chapters/62%20-%20Case%20Studies%20-%20Digital%20Health%20Platforms.md" TargetMode="External"/><Relationship Type="http://schemas.openxmlformats.org/officeDocument/2006/relationships/hyperlink" Id="rId454" Target="file:///Users/vivekgupta/workspace/CI%20in%20health/chapters/63%20-%20Case%20Studies%20-%20Diagnostics%20Pharma%20Biotech.md" TargetMode="External"/><Relationship Type="http://schemas.openxmlformats.org/officeDocument/2006/relationships/hyperlink" Id="rId455" Target="file:///Users/vivekgupta/workspace/CI%20in%20health/chapters/64%20-%20Case%20Studies%20-%20Public%20Health%20Programs.md" TargetMode="External"/><Relationship Type="http://schemas.openxmlformats.org/officeDocument/2006/relationships/hyperlink" Id="rId456" Target="file:///Users/vivekgupta/workspace/CI%20in%20health/chapters/65%20-%20Case%20Studies%20-%20Registries%20Biobanks%20Blood.md" TargetMode="External"/><Relationship Type="http://schemas.openxmlformats.org/officeDocument/2006/relationships/hyperlink" Id="rId338" Target="https://adilet.zan.kz/eng/docs/P1600000529" TargetMode="External"/><Relationship Type="http://schemas.openxmlformats.org/officeDocument/2006/relationships/hyperlink" Id="rId345" Target="https://dpa.gov.kg/en/npa/17" TargetMode="External"/><Relationship Type="http://schemas.openxmlformats.org/officeDocument/2006/relationships/hyperlink" Id="rId96" Target="https://egcert.eg/publications/%D8%A7%D9%84%D8%A7%D8%B3%D8%AA%D8%B1%D8%A7%D8%AA%D9%8A%D8%AC%D9%8A%D8%A9-%D8%A7%D9%84%D9%88%D8%B7%D9%86%D9%8A%D8%A9-%D9%84%D9%84%D8%A3%D9%85%D9%86-%D8%A7%D9%84%D8%B3%D9%8A%D8%A8%D8%B1%D8%A7%D9%86-2/" TargetMode="External"/><Relationship Type="http://schemas.openxmlformats.org/officeDocument/2006/relationships/hyperlink" Id="rId342" Target="https://kelmczasopisma.com/viewpdf/9631" TargetMode="External"/><Relationship Type="http://schemas.openxmlformats.org/officeDocument/2006/relationships/hyperlink" Id="rId282" Target="https://main.knesset.gov.il/Activity/Legislation/Laws/Pages/LawSecondary.aspx?lawitem=2001695" TargetMode="External"/><Relationship Type="http://schemas.openxmlformats.org/officeDocument/2006/relationships/hyperlink" Id="rId285" Target="https://main.knesset.gov.il/Activity/Legislation/Laws/Pages/LawSecondary.aspx?lawitem=2203300" TargetMode="External"/><Relationship Type="http://schemas.openxmlformats.org/officeDocument/2006/relationships/hyperlink" Id="rId94" Target="https://nc4.go.ke/" TargetMode="External"/><Relationship Type="http://schemas.openxmlformats.org/officeDocument/2006/relationships/hyperlink" Id="rId93" Target="https://nc4.go.ke/services/" TargetMode="External"/><Relationship Type="http://schemas.openxmlformats.org/officeDocument/2006/relationships/hyperlink" Id="rId52" Target="https://new.abb.com/th/process-automation/process-automation-service/advanced-digital-services/cyber-security" TargetMode="External"/><Relationship Type="http://schemas.openxmlformats.org/officeDocument/2006/relationships/hyperlink" Id="rId341" Target="https://regulhub.kaspersky.ru/laws/fz-187" TargetMode="External"/><Relationship Type="http://schemas.openxmlformats.org/officeDocument/2006/relationships/hyperlink" Id="rId51" Target="https://setkab.go.id/presiden-terbitkan-perpres-82-2022-tentang-pelindungan-infrastruktur-informasi-vital/" TargetMode="External"/><Relationship Type="http://schemas.openxmlformats.org/officeDocument/2006/relationships/hyperlink" Id="rId118" Target="https://thepeninsulaqatar.com/article/18/09/2024/national-cyber-security-strategy-2024-2030-launched" TargetMode="External"/><Relationship Type="http://schemas.openxmlformats.org/officeDocument/2006/relationships/hyperlink" Id="rId340" Target="https://www.bocra.org.bw/sites/default/files/documents/approved%20botswana-national-cybersecurity-strategy.pdf" TargetMode="External"/><Relationship Type="http://schemas.openxmlformats.org/officeDocument/2006/relationships/hyperlink" Id="rId266" Target="https://www.coms-auth.hk/en/policies_regulations/other/pcicso/index.html" TargetMode="External"/><Relationship Type="http://schemas.openxmlformats.org/officeDocument/2006/relationships/hyperlink" Id="rId53" Target="https://www.csa.gov.gh/cii" TargetMode="External"/><Relationship Type="http://schemas.openxmlformats.org/officeDocument/2006/relationships/hyperlink" Id="rId49" Target="https://www.csa.gov.sg/legislation/cybersecurity-act/" TargetMode="External"/><Relationship Type="http://schemas.openxmlformats.org/officeDocument/2006/relationships/hyperlink" Id="rId283" Target="https://www.gov.il/BlobFolder/legalinfo/protection-of-privacy-regulations-data-security/en/Protection_of_Privacy_Regulations_Data_Security_5777_2017.pdf" TargetMode="External"/><Relationship Type="http://schemas.openxmlformats.org/officeDocument/2006/relationships/hyperlink" Id="rId48" Target="https://www.interior.gob.cl/noticias/2023/12/12/se-despacha-a-ley-el-proyecto-sobre-ciberseguridad-e-infraestructura-critica-de-la-informacion/" TargetMode="External"/><Relationship Type="http://schemas.openxmlformats.org/officeDocument/2006/relationships/hyperlink" Id="rId265" Target="https://www.legco.gov.hk/yr2025/english/ord/2025ord004-e.pdf" TargetMode="External"/><Relationship Type="http://schemas.openxmlformats.org/officeDocument/2006/relationships/hyperlink" Id="rId284" Target="https://www.mevaker.gov.il/HE/Reports/Pages/695.aspx" TargetMode="External"/><Relationship Type="http://schemas.openxmlformats.org/officeDocument/2006/relationships/hyperlink" Id="rId50" Target="https://www.nacsa.gov.my/NCII.php" TargetMode="External"/><Relationship Type="http://schemas.openxmlformats.org/officeDocument/2006/relationships/hyperlink" Id="rId116" Target="https://www.parliament.gov.zm/node/12319" TargetMode="External"/><Relationship Type="http://schemas.openxmlformats.org/officeDocument/2006/relationships/hyperlink" Id="rId120" Target="https://www.unodc.org/cld/fr/treaties/strategies/united_arab_emirates/are0003s.html" TargetMode="External"/><Relationship Type="http://schemas.openxmlformats.org/officeDocument/2006/relationships/hyperlink" Id="rId339" Target="https://zambialii.org/akn/zm/act/2025/3/eng%402025-04-15" TargetMode="External"/></Relationships>
</file>

<file path=word/_rels/footnotes.xml.rels><?xml version="1.0" encoding="UTF-8"?><Relationships xmlns="http://schemas.openxmlformats.org/package/2006/relationships"><Relationship Type="http://schemas.openxmlformats.org/officeDocument/2006/relationships/hyperlink" Id="rId452" Target="file:///Users/vivekgupta/workspace/CI%20in%20health/chapters/61%20-%20Case%20Studies%20-%20Healthcare%20Delivery.md" TargetMode="External"/><Relationship Type="http://schemas.openxmlformats.org/officeDocument/2006/relationships/hyperlink" Id="rId453" Target="file:///Users/vivekgupta/workspace/CI%20in%20health/chapters/62%20-%20Case%20Studies%20-%20Digital%20Health%20Platforms.md" TargetMode="External"/><Relationship Type="http://schemas.openxmlformats.org/officeDocument/2006/relationships/hyperlink" Id="rId454" Target="file:///Users/vivekgupta/workspace/CI%20in%20health/chapters/63%20-%20Case%20Studies%20-%20Diagnostics%20Pharma%20Biotech.md" TargetMode="External"/><Relationship Type="http://schemas.openxmlformats.org/officeDocument/2006/relationships/hyperlink" Id="rId455" Target="file:///Users/vivekgupta/workspace/CI%20in%20health/chapters/64%20-%20Case%20Studies%20-%20Public%20Health%20Programs.md" TargetMode="External"/><Relationship Type="http://schemas.openxmlformats.org/officeDocument/2006/relationships/hyperlink" Id="rId456" Target="file:///Users/vivekgupta/workspace/CI%20in%20health/chapters/65%20-%20Case%20Studies%20-%20Registries%20Biobanks%20Blood.md" TargetMode="External"/><Relationship Type="http://schemas.openxmlformats.org/officeDocument/2006/relationships/hyperlink" Id="rId338" Target="https://adilet.zan.kz/eng/docs/P1600000529" TargetMode="External"/><Relationship Type="http://schemas.openxmlformats.org/officeDocument/2006/relationships/hyperlink" Id="rId345" Target="https://dpa.gov.kg/en/npa/17" TargetMode="External"/><Relationship Type="http://schemas.openxmlformats.org/officeDocument/2006/relationships/hyperlink" Id="rId96" Target="https://egcert.eg/publications/%D8%A7%D9%84%D8%A7%D8%B3%D8%AA%D8%B1%D8%A7%D8%AA%D9%8A%D8%AC%D9%8A%D8%A9-%D8%A7%D9%84%D9%88%D8%B7%D9%86%D9%8A%D8%A9-%D9%84%D9%84%D8%A3%D9%85%D9%86-%D8%A7%D9%84%D8%B3%D9%8A%D8%A8%D8%B1%D8%A7%D9%86-2/" TargetMode="External"/><Relationship Type="http://schemas.openxmlformats.org/officeDocument/2006/relationships/hyperlink" Id="rId342" Target="https://kelmczasopisma.com/viewpdf/9631" TargetMode="External"/><Relationship Type="http://schemas.openxmlformats.org/officeDocument/2006/relationships/hyperlink" Id="rId282" Target="https://main.knesset.gov.il/Activity/Legislation/Laws/Pages/LawSecondary.aspx?lawitem=2001695" TargetMode="External"/><Relationship Type="http://schemas.openxmlformats.org/officeDocument/2006/relationships/hyperlink" Id="rId285" Target="https://main.knesset.gov.il/Activity/Legislation/Laws/Pages/LawSecondary.aspx?lawitem=2203300" TargetMode="External"/><Relationship Type="http://schemas.openxmlformats.org/officeDocument/2006/relationships/hyperlink" Id="rId94" Target="https://nc4.go.ke/" TargetMode="External"/><Relationship Type="http://schemas.openxmlformats.org/officeDocument/2006/relationships/hyperlink" Id="rId93" Target="https://nc4.go.ke/services/" TargetMode="External"/><Relationship Type="http://schemas.openxmlformats.org/officeDocument/2006/relationships/hyperlink" Id="rId52" Target="https://new.abb.com/th/process-automation/process-automation-service/advanced-digital-services/cyber-security" TargetMode="External"/><Relationship Type="http://schemas.openxmlformats.org/officeDocument/2006/relationships/hyperlink" Id="rId341" Target="https://regulhub.kaspersky.ru/laws/fz-187" TargetMode="External"/><Relationship Type="http://schemas.openxmlformats.org/officeDocument/2006/relationships/hyperlink" Id="rId51" Target="https://setkab.go.id/presiden-terbitkan-perpres-82-2022-tentang-pelindungan-infrastruktur-informasi-vital/" TargetMode="External"/><Relationship Type="http://schemas.openxmlformats.org/officeDocument/2006/relationships/hyperlink" Id="rId118" Target="https://thepeninsulaqatar.com/article/18/09/2024/national-cyber-security-strategy-2024-2030-launched" TargetMode="External"/><Relationship Type="http://schemas.openxmlformats.org/officeDocument/2006/relationships/hyperlink" Id="rId340" Target="https://www.bocra.org.bw/sites/default/files/documents/approved%20botswana-national-cybersecurity-strategy.pdf" TargetMode="External"/><Relationship Type="http://schemas.openxmlformats.org/officeDocument/2006/relationships/hyperlink" Id="rId266" Target="https://www.coms-auth.hk/en/policies_regulations/other/pcicso/index.html" TargetMode="External"/><Relationship Type="http://schemas.openxmlformats.org/officeDocument/2006/relationships/hyperlink" Id="rId53" Target="https://www.csa.gov.gh/cii" TargetMode="External"/><Relationship Type="http://schemas.openxmlformats.org/officeDocument/2006/relationships/hyperlink" Id="rId49" Target="https://www.csa.gov.sg/legislation/cybersecurity-act/" TargetMode="External"/><Relationship Type="http://schemas.openxmlformats.org/officeDocument/2006/relationships/hyperlink" Id="rId283" Target="https://www.gov.il/BlobFolder/legalinfo/protection-of-privacy-regulations-data-security/en/Protection_of_Privacy_Regulations_Data_Security_5777_2017.pdf" TargetMode="External"/><Relationship Type="http://schemas.openxmlformats.org/officeDocument/2006/relationships/hyperlink" Id="rId48" Target="https://www.interior.gob.cl/noticias/2023/12/12/se-despacha-a-ley-el-proyecto-sobre-ciberseguridad-e-infraestructura-critica-de-la-informacion/" TargetMode="External"/><Relationship Type="http://schemas.openxmlformats.org/officeDocument/2006/relationships/hyperlink" Id="rId265" Target="https://www.legco.gov.hk/yr2025/english/ord/2025ord004-e.pdf" TargetMode="External"/><Relationship Type="http://schemas.openxmlformats.org/officeDocument/2006/relationships/hyperlink" Id="rId284" Target="https://www.mevaker.gov.il/HE/Reports/Pages/695.aspx" TargetMode="External"/><Relationship Type="http://schemas.openxmlformats.org/officeDocument/2006/relationships/hyperlink" Id="rId50" Target="https://www.nacsa.gov.my/NCII.php" TargetMode="External"/><Relationship Type="http://schemas.openxmlformats.org/officeDocument/2006/relationships/hyperlink" Id="rId116" Target="https://www.parliament.gov.zm/node/12319" TargetMode="External"/><Relationship Type="http://schemas.openxmlformats.org/officeDocument/2006/relationships/hyperlink" Id="rId120" Target="https://www.unodc.org/cld/fr/treaties/strategies/united_arab_emirates/are0003s.html" TargetMode="External"/><Relationship Type="http://schemas.openxmlformats.org/officeDocument/2006/relationships/hyperlink" Id="rId339" Target="https://zambialii.org/akn/zm/act/2025/3/eng%402025-04-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2026-01-09T21:48:54Z</dcterms:created>
  <dcterms:modified xsi:type="dcterms:W3CDTF">2026-01-09T21:48:54Z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Global Classification of Health Information Systems as Critical Infrastructure</vt:lpwstr>
  </property>
</Properties>
</file>