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1F4D78"/>
          <w:sz w:val="36"/>
        </w:rPr>
        <w:t>Manual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Folio</w:t>
            </w:r>
          </w:p>
        </w:tc>
        <w:tc>
          <w:tcPr>
            <w:tcW w:type="dxa" w:w="4896"/>
          </w:tcPr>
          <w:p>
            <w:r>
              <w:t>FMT-26-0052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896"/>
          </w:tcPr>
          <w:p>
            <w:r>
              <w:t>Manual operativo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</w:tcPr>
          <w:p>
            <w:r>
              <w:t>Activo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Ciudad base</w:t>
            </w:r>
          </w:p>
        </w:tc>
        <w:tc>
          <w:tcPr>
            <w:tcW w:type="dxa" w:w="4896"/>
          </w:tcPr>
          <w:p>
            <w:r>
              <w:t>Puebla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96"/>
          </w:tcPr>
          <w:p>
            <w:r>
              <w:t>Fernando Quiroz Gil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registro</w:t>
            </w:r>
          </w:p>
        </w:tc>
        <w:tc>
          <w:tcPr>
            <w:tcW w:type="dxa" w:w="4896"/>
          </w:tcPr>
          <w:p>
            <w:r>
              <w:t>2026-04-56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Importe total</w:t>
            </w:r>
          </w:p>
        </w:tc>
        <w:tc>
          <w:tcPr>
            <w:tcW w:type="dxa" w:w="4896"/>
          </w:tcPr>
          <w:p>
            <w:r>
              <w:t>$23,300.00 MXN</w:t>
            </w:r>
          </w:p>
        </w:tc>
      </w:tr>
    </w:tbl>
    <w:p>
      <w:pPr>
        <w:pStyle w:val="Heading1"/>
      </w:pPr>
      <w:r>
        <w:t>Antecedentes</w:t>
      </w:r>
    </w:p>
    <w:p>
      <w:r>
        <w:t>El expediente manual operativo se abrió para registrar una operación ficticia en Puebla. La persona responsable, Diego Rivas León, verificó que los datos de identificación, fecha, importe y referencia documental fueran consistentes antes de autorizar el siguiente paso.</w:t>
      </w:r>
    </w:p>
    <w:p>
      <w:pPr>
        <w:pStyle w:val="Heading1"/>
      </w:pPr>
      <w:r>
        <w:t>Controles de información</w:t>
      </w:r>
    </w:p>
    <w:p>
      <w:r>
        <w:t>La información se conserva con acceso restringido. Cualquier solicitud de un tercero debe validar identidad, facultades y propósito antes de compartir documentos, montos o datos personales. Si falta evidencia, el equipo debe registrar una observación y pedir la documentación necesaria, sin inventar una conclusión.</w:t>
      </w:r>
    </w:p>
    <w:p>
      <w:pPr>
        <w:pStyle w:val="Heading1"/>
      </w:pPr>
      <w:r>
        <w:t>Seguimiento</w:t>
      </w:r>
    </w:p>
    <w:p>
      <w:r>
        <w:t>El seguimiento incluye confirmar requisitos, conservar la evidencia de la decisión y revisar las fechas límite. Una diferencia entre el registro y el documento de origen debe escalarse al responsable de cumplimiento antes de cerrar el expediente.</w:t>
      </w:r>
    </w:p>
    <w:p>
      <w:r>
        <w:t>Archivo ficticio para validar extracción de Word, campos tabulares, encabezados y texto largo.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