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LEG-26-0003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2026-09-26</w:t>
      </w:r>
    </w:p>
    <w:p>
      <w:r>
        <w:t>Responsable interno: Patricia Guzmán Alcalá</w:t>
      </w:r>
    </w:p>
    <w:p>
      <w:r>
        <w:t>Clasificación de datos: Uso interno — datos sintéticos de prueba</w:t>
      </w:r>
    </w:p>
    <w:p>
      <w:r>
        <w:t>Cliente: Rubén Cazares Montaño</w:t>
      </w:r>
    </w:p>
    <w:p>
      <w:r>
        <w:t>Contraparte: Ramiro Aguilar Bátiz</w:t>
      </w:r>
    </w:p>
    <w:p>
      <w:r>
        <w:t>Abogado responsable: Rodrigo Lezama Fonseca</w:t>
      </w:r>
    </w:p>
    <w:p>
      <w:r>
        <w:t>Monto del contrato: $2,685,200.00</w:t>
      </w:r>
    </w:p>
    <w:p>
      <w:r>
        <w:t>Vigencia: 2026-03-02 a 2027-09-17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2026-09-26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arrendamiento celebrado entre Rubén Cazares Montaño y Ramiro Aguilar Bátiz tiene un valor de $2,685,200.00 y estará vigente del 2 de marzo de 2026 al 17 de septiembre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