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Convenio de confidencialidad</w:t>
      </w:r>
    </w:p>
    <w:p>
      <w:r>
        <w:t>Folio: LEG-26-0006</w:t>
      </w:r>
    </w:p>
    <w:p>
      <w:r>
        <w:t>Tipo de documento: Convenio de confidencialidad</w:t>
      </w:r>
    </w:p>
    <w:p>
      <w:r>
        <w:t>Área responsable: Corporativo</w:t>
      </w:r>
    </w:p>
    <w:p>
      <w:r>
        <w:t>Estado: En revisión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2026-08-15</w:t>
      </w:r>
    </w:p>
    <w:p>
      <w:r>
        <w:t>Responsable interno: Diana Cervantes Uribe</w:t>
      </w:r>
    </w:p>
    <w:p>
      <w:r>
        <w:t>Clasificación de datos: Uso interno — datos sintéticos de prueba</w:t>
      </w:r>
    </w:p>
    <w:p>
      <w:r>
        <w:t>Cliente: Constructora Peñasco, S.A. de C.V.</w:t>
      </w:r>
    </w:p>
    <w:p>
      <w:r>
        <w:t>Contraparte: Fernando Espinoza Cabral</w:t>
      </w:r>
    </w:p>
    <w:p>
      <w:r>
        <w:t>Abogado responsable: Rubén Cazares Montaño</w:t>
      </w:r>
    </w:p>
    <w:p>
      <w:r>
        <w:t>Monto del contrato: $2,873,100.00</w:t>
      </w:r>
    </w:p>
    <w:p>
      <w:r>
        <w:t>Vigencia: 2026-03-16 a 2028-09-12</w:t>
      </w:r>
    </w:p>
    <w:p>
      <w:r>
        <w:t>Jurisdicción aplicable: Guadalajara</w:t>
      </w:r>
    </w:p>
    <w:p>
      <w:r>
        <w:t>Cláusula de rescisión anticipada: Sí</w:t>
      </w:r>
    </w:p>
    <w:p>
      <w:r>
        <w:t>Fecha de firma: 2026-08-15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convenio de confidencialidad celebrado entre Constructora Peñasco, S.A. de C.V. y Fernando Espinoza Cabral tiene un valor de $2,873,100.00 y estará vigente del 16 de marzo de 2026 al 12 de septiembre de 2028.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