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LEG-26-0015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2026-10-23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Adrián Villalpando Cruz</w:t>
      </w:r>
    </w:p>
    <w:p>
      <w:r>
        <w:t>Contraparte: Patricia Guzmán Alcalá</w:t>
      </w:r>
    </w:p>
    <w:p>
      <w:r>
        <w:t>Abogado responsable: Adrián Villalpando Cruz</w:t>
      </w:r>
    </w:p>
    <w:p>
      <w:r>
        <w:t>Monto del contrato: $2,380,200.00</w:t>
      </w:r>
    </w:p>
    <w:p>
      <w:r>
        <w:t>Vigencia: 2026-04-17 a 2027-05-05</w:t>
      </w:r>
    </w:p>
    <w:p>
      <w:r>
        <w:t>Jurisdicción aplicable: Ciudad de México</w:t>
      </w:r>
    </w:p>
    <w:p>
      <w:r>
        <w:t>Cláusula de rescisión anticipada: Sí</w:t>
      </w:r>
    </w:p>
    <w:p>
      <w:r>
        <w:t>Fecha de firma: 2026-10-23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arrendamiento celebrado entre Adrián Villalpando Cruz y Patricia Guzmán Alcalá tiene un valor de $2,380,200.00 y estará vigente del 17 de abril de 2026 al 5 de mayo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