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LEG-26-0016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2026-07-06</w:t>
      </w:r>
    </w:p>
    <w:p>
      <w:r>
        <w:t>Responsable interno: Teresa Camacho Beltrán</w:t>
      </w:r>
    </w:p>
    <w:p>
      <w:r>
        <w:t>Clasificación de datos: Uso interno — datos sintéticos de prueba</w:t>
      </w:r>
    </w:p>
    <w:p>
      <w:r>
        <w:t>Cliente: Tomás Villaseñor Cano</w:t>
      </w:r>
    </w:p>
    <w:p>
      <w:r>
        <w:t>Contraparte: Alonso Treviño Paz</w:t>
      </w:r>
    </w:p>
    <w:p>
      <w:r>
        <w:t>Abogado responsable: Marisol Quiñones Baeza</w:t>
      </w:r>
    </w:p>
    <w:p>
      <w:r>
        <w:t>Monto del contrato: $187,800.00</w:t>
      </w:r>
    </w:p>
    <w:p>
      <w:r>
        <w:t>Vigencia: 2026-05-10 a 2027-05-16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2026-07-06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confidencialidad celebrado entre Tomás Villaseñor Cano y Alonso Treviño Paz tiene un valor de $187,800.00 y estará vigente del 10 de mayo de 2026 al 16 de mayo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