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LEG-26-0017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2026-01-28</w:t>
      </w:r>
    </w:p>
    <w:p>
      <w:r>
        <w:t>Responsable interno: Patricia Guzmán Alcalá</w:t>
      </w:r>
    </w:p>
    <w:p>
      <w:r>
        <w:t>Clasificación de datos: Uso interno — datos sintéticos de prueba</w:t>
      </w:r>
    </w:p>
    <w:p>
      <w:r>
        <w:t>Cliente: Sergio Manrique Olvera</w:t>
      </w:r>
    </w:p>
    <w:p>
      <w:r>
        <w:t>Contraparte: Guillermo Peredo Sáenz</w:t>
      </w:r>
    </w:p>
    <w:p>
      <w:r>
        <w:t>Abogado responsable: Paulina Ochoa Delgado</w:t>
      </w:r>
    </w:p>
    <w:p>
      <w:r>
        <w:t>Monto del contrato: $1,765,100.00</w:t>
      </w:r>
    </w:p>
    <w:p>
      <w:r>
        <w:t>Vigencia: 2026-01-19 a 2027-09-28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2026-01-28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distribución celebrado entre Sergio Manrique Olvera y Guillermo Peredo Sáenz tiene un valor de $1,765,100.00 y estará vigente del 19 de enero de 2026 al 28 de septiembre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