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LEG-26-0018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En negociación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2026-04-11</w:t>
      </w:r>
    </w:p>
    <w:p>
      <w:r>
        <w:t>Responsable interno: Ramiro Aguilar Bátiz</w:t>
      </w:r>
    </w:p>
    <w:p>
      <w:r>
        <w:t>Clasificación de datos: Uso interno — datos sintéticos de prueba</w:t>
      </w:r>
    </w:p>
    <w:p>
      <w:r>
        <w:t>Cliente: Rubén Cazares Montaño</w:t>
      </w:r>
    </w:p>
    <w:p>
      <w:r>
        <w:t>Contraparte: Manufacturas Cardenal, S.A. de C.V.</w:t>
      </w:r>
    </w:p>
    <w:p>
      <w:r>
        <w:t>Abogado responsable: Rodrigo Lezama Fonseca</w:t>
      </w:r>
    </w:p>
    <w:p>
      <w:r>
        <w:t>Monto del contrato: $1,467,800.00</w:t>
      </w:r>
    </w:p>
    <w:p>
      <w:r>
        <w:t>Vigencia: 2026-02-27 a 2027-06-19</w:t>
      </w:r>
    </w:p>
    <w:p>
      <w:r>
        <w:t>Jurisdicción aplicable: León</w:t>
      </w:r>
    </w:p>
    <w:p>
      <w:r>
        <w:t>Cláusula de rescisión anticipada: Sí</w:t>
      </w:r>
    </w:p>
    <w:p>
      <w:r>
        <w:t>Fecha de firma: 2026-04-11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compraventa mercantil celebrado entre Rubén Cazares Montaño y Manufacturas Cardenal, S.A. de C.V. tiene un valor de $1,467,800.00 y estará vigente del 27 de febrero de 2026 al 19 de junio de 2027.</w:t>
      </w:r>
    </w:p>
    <w:p>
      <w:pPr>
        <w:pStyle w:val="Heading2"/>
      </w:pPr>
      <w:r>
        <w:t>Seguimiento</w:t>
      </w:r>
    </w:p>
    <w:p>
      <w:r>
        <w:t>El seguimiento de este contrato queda a cargo del abogado responsable, quien debe reportar cualquier incidencia al comité de riesgos antes de la siguiente revisión trimestral.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