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LEG-26-0019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2026-07-01</w:t>
      </w:r>
    </w:p>
    <w:p>
      <w:r>
        <w:t>Responsable interno: Ramiro Aguilar Bátiz</w:t>
      </w:r>
    </w:p>
    <w:p>
      <w:r>
        <w:t>Clasificación de datos: Uso interno — datos sintéticos de prueba</w:t>
      </w:r>
    </w:p>
    <w:p>
      <w:r>
        <w:t>Cliente: Alonso Treviño Paz</w:t>
      </w:r>
    </w:p>
    <w:p>
      <w:r>
        <w:t>Contraparte: Guillermo Peredo Sáenz</w:t>
      </w:r>
    </w:p>
    <w:p>
      <w:r>
        <w:t>Abogado responsable: Cecilia Montemayor Ruiz</w:t>
      </w:r>
    </w:p>
    <w:p>
      <w:r>
        <w:t>Monto del contrato: $3,268,300.00</w:t>
      </w:r>
    </w:p>
    <w:p>
      <w:r>
        <w:t>Vigencia: 2026-06-28 a 2027-12-15</w:t>
      </w:r>
    </w:p>
    <w:p>
      <w:r>
        <w:t>Jurisdicción aplicable: Querétaro</w:t>
      </w:r>
    </w:p>
    <w:p>
      <w:r>
        <w:t>Cláusula de rescisión anticipada: Sí</w:t>
      </w:r>
    </w:p>
    <w:p>
      <w:r>
        <w:t>Fecha de firma: 2026-07-01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licencia de software celebrado entre Alonso Treviño Paz y Guillermo Peredo Sáenz tiene un valor de $3,268,300.00 y estará vigente del 28 de junio de 2026 al 15 de diciembre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