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confidencialidad</w:t>
      </w:r>
    </w:p>
    <w:p>
      <w:r>
        <w:t>Folio: LEG-26-0022</w:t>
      </w:r>
    </w:p>
    <w:p>
      <w:r>
        <w:t>Tipo de documento: Convenio de confidencialidad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2026-10-25</w:t>
      </w:r>
    </w:p>
    <w:p>
      <w:r>
        <w:t>Responsable interno: Marisol Quiñones Baeza</w:t>
      </w:r>
    </w:p>
    <w:p>
      <w:r>
        <w:t>Clasificación de datos: Uso interno — datos sintéticos de prueba</w:t>
      </w:r>
    </w:p>
    <w:p>
      <w:r>
        <w:t>Cliente: Emilio Castañón Rivas</w:t>
      </w:r>
    </w:p>
    <w:p>
      <w:r>
        <w:t>Contraparte: Manufacturas Cardenal, S.A. de C.V.</w:t>
      </w:r>
    </w:p>
    <w:p>
      <w:r>
        <w:t>Abogado responsable: Diana Cervantes Uribe</w:t>
      </w:r>
    </w:p>
    <w:p>
      <w:r>
        <w:t>Monto del contrato: $673,000.00</w:t>
      </w:r>
    </w:p>
    <w:p>
      <w:r>
        <w:t>Vigencia: 2026-03-20 a 2028-11-27</w:t>
      </w:r>
    </w:p>
    <w:p>
      <w:r>
        <w:t>Jurisdicción aplicable: Querétaro</w:t>
      </w:r>
    </w:p>
    <w:p>
      <w:r>
        <w:t>Cláusula de rescisión anticipada: Sí</w:t>
      </w:r>
    </w:p>
    <w:p>
      <w:r>
        <w:t>Fecha de firma: 2026-10-25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convenio de confidencialidad celebrado entre Emilio Castañón Rivas y Manufacturas Cardenal, S.A. de C.V. tiene un valor de $673,000.00 y estará vigente del 20 de marzo de 2026 al 27 de noviembre de 2028.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