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LEG-26-0023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2026-02-11</w:t>
      </w:r>
    </w:p>
    <w:p>
      <w:r>
        <w:t>Responsable interno: Silvia Padrón Nájera</w:t>
      </w:r>
    </w:p>
    <w:p>
      <w:r>
        <w:t>Clasificación de datos: Uso interno — datos sintéticos de prueba</w:t>
      </w:r>
    </w:p>
    <w:p>
      <w:r>
        <w:t>Cliente: Sergio Manrique Olvera</w:t>
      </w:r>
    </w:p>
    <w:p>
      <w:r>
        <w:t>Contraparte: Diana Cervantes Uribe</w:t>
      </w:r>
    </w:p>
    <w:p>
      <w:r>
        <w:t>Abogado responsable: Mónica Franco Yáñez</w:t>
      </w:r>
    </w:p>
    <w:p>
      <w:r>
        <w:t>Monto del contrato: $3,450,600.00</w:t>
      </w:r>
    </w:p>
    <w:p>
      <w:r>
        <w:t>Vigencia: 2026-05-10 a 2027-08-07</w:t>
      </w:r>
    </w:p>
    <w:p>
      <w:r>
        <w:t>Jurisdicción aplicable: Tijuana</w:t>
      </w:r>
    </w:p>
    <w:p>
      <w:r>
        <w:t>Cláusula de rescisión anticipada: No</w:t>
      </w:r>
    </w:p>
    <w:p>
      <w:r>
        <w:t>Fecha de firma: 2026-02-11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compraventa mercantil celebrado entre Sergio Manrique Olvera y Diana Cervantes Uribe tiene un valor de $3,450,600.00 y estará vigente del 10 de mayo de 2026 al 7 de agosto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