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LEG-26-0026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2026-04-18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Cliente: Ignacio Bermúdez Roque</w:t>
      </w:r>
    </w:p>
    <w:p>
      <w:r>
        <w:t>Contraparte: Héctor Larrañaga Ibarra</w:t>
      </w:r>
    </w:p>
    <w:p>
      <w:r>
        <w:t>Abogado responsable: Cecilia Montemayor Ruiz</w:t>
      </w:r>
    </w:p>
    <w:p>
      <w:r>
        <w:t>Monto del contrato: $104,800.00</w:t>
      </w:r>
    </w:p>
    <w:p>
      <w:r>
        <w:t>Vigencia: 2026-05-19 a 2027-08-07</w:t>
      </w:r>
    </w:p>
    <w:p>
      <w:r>
        <w:t>Jurisdicción aplicable: Puebla</w:t>
      </w:r>
    </w:p>
    <w:p>
      <w:r>
        <w:t>Cláusula de rescisión anticipada: No</w:t>
      </w:r>
    </w:p>
    <w:p>
      <w:r>
        <w:t>Fecha de firma: 2026-04-18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distribución celebrado entre Ignacio Bermúdez Roque y Héctor Larrañaga Ibarra tiene un valor de $104,800.00 y estará vigente del 19 de mayo de 2026 al 7 de agosto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