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LEG-26-0029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2026-03-09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Cliente: Ximena Bravo Terán</w:t>
      </w:r>
    </w:p>
    <w:p>
      <w:r>
        <w:t>Contraparte: Servicios Corporativos Alameda, S.C.</w:t>
      </w:r>
    </w:p>
    <w:p>
      <w:r>
        <w:t>Abogado responsable: Nicolás Rangel Chávez</w:t>
      </w:r>
    </w:p>
    <w:p>
      <w:r>
        <w:t>Monto del contrato: $1,062,400.00</w:t>
      </w:r>
    </w:p>
    <w:p>
      <w:r>
        <w:t>Vigencia: 2026-04-03 a 2027-04-02</w:t>
      </w:r>
    </w:p>
    <w:p>
      <w:r>
        <w:t>Jurisdicción aplicable: Querétaro</w:t>
      </w:r>
    </w:p>
    <w:p>
      <w:r>
        <w:t>Cláusula de rescisión anticipada: No</w:t>
      </w:r>
    </w:p>
    <w:p>
      <w:r>
        <w:t>Fecha de firma: 2026-03-09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arrendamiento celebrado entre Ximena Bravo Terán y Servicios Corporativos Alameda, S.C. tiene un valor de $1,062,400.00 y estará vigente del 3 de abril de 2026 al 2 de abril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