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LEG-26-0030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2026-10-06</w:t>
      </w:r>
    </w:p>
    <w:p>
      <w:r>
        <w:t>Responsable interno: Sergio Manrique Olvera</w:t>
      </w:r>
    </w:p>
    <w:p>
      <w:r>
        <w:t>Clasificación de datos: Uso interno — datos sintéticos de prueba</w:t>
      </w:r>
    </w:p>
    <w:p>
      <w:r>
        <w:t>Cliente: Ramiro Aguilar Bátiz</w:t>
      </w:r>
    </w:p>
    <w:p>
      <w:r>
        <w:t>Contraparte: Leonardo Sarabia Del Toro</w:t>
      </w:r>
    </w:p>
    <w:p>
      <w:r>
        <w:t>Abogado responsable: Guillermo Peredo Sáenz</w:t>
      </w:r>
    </w:p>
    <w:p>
      <w:r>
        <w:t>Monto del contrato: $2,637,200.00</w:t>
      </w:r>
    </w:p>
    <w:p>
      <w:r>
        <w:t>Vigencia: 2026-04-22 a 2028-06-12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2026-10-06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convenio de confidencialidad celebrado entre Ramiro Aguilar Bátiz y Leonardo Sarabia Del Toro tiene un valor de $2,637,200.00 y estará vigente del 22 de abril de 2026 al 12 de junio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