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</w:t>
      </w:r>
    </w:p>
    <w:p>
      <w:r>
        <w:t>Folio: LEG-26-0035</w:t>
      </w:r>
    </w:p>
    <w:p>
      <w:r>
        <w:t>Tipo de documento: Contrato de arrendamiento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2026-04-05</w:t>
      </w:r>
    </w:p>
    <w:p>
      <w:r>
        <w:t>Responsable interno: Ramiro Aguilar Bátiz</w:t>
      </w:r>
    </w:p>
    <w:p>
      <w:r>
        <w:t>Clasificación de datos: Uso interno — datos sintéticos de prueba</w:t>
      </w:r>
    </w:p>
    <w:p>
      <w:r>
        <w:t>Cliente: Ignacio Bermúdez Roque</w:t>
      </w:r>
    </w:p>
    <w:p>
      <w:r>
        <w:t>Contraparte: Rubén Cazares Montaño</w:t>
      </w:r>
    </w:p>
    <w:p>
      <w:r>
        <w:t>Abogado responsable: Teresa Camacho Beltrán</w:t>
      </w:r>
    </w:p>
    <w:p>
      <w:r>
        <w:t>Monto del contrato: $1,067,300.00</w:t>
      </w:r>
    </w:p>
    <w:p>
      <w:r>
        <w:t>Vigencia: 2026-05-27 a 2027-03-16</w:t>
      </w:r>
    </w:p>
    <w:p>
      <w:r>
        <w:t>Jurisdicción aplicable: Querétaro</w:t>
      </w:r>
    </w:p>
    <w:p>
      <w:r>
        <w:t>Cláusula de rescisión anticipada: No</w:t>
      </w:r>
    </w:p>
    <w:p>
      <w:r>
        <w:t>Fecha de firma: 2026-04-05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arrendamiento celebrado entre Ignacio Bermúdez Roque y Rubén Cazares Montaño tiene un valor de $1,067,300.00 y estará vigente del 27 de mayo de 2026 al 16 de marzo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