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prestación de servicios</w:t>
      </w:r>
    </w:p>
    <w:p>
      <w:r>
        <w:t>Folio: LEG-26-0037</w:t>
      </w:r>
    </w:p>
    <w:p>
      <w:r>
        <w:t>Tipo de documento: Contrato de prestación de servicios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2026-06-25</w:t>
      </w:r>
    </w:p>
    <w:p>
      <w:r>
        <w:t>Responsable interno: Alonso Treviño Paz</w:t>
      </w:r>
    </w:p>
    <w:p>
      <w:r>
        <w:t>Clasificación de datos: Uso interno — datos sintéticos de prueba</w:t>
      </w:r>
    </w:p>
    <w:p>
      <w:r>
        <w:t>Cliente: Nicolás Rangel Chávez</w:t>
      </w:r>
    </w:p>
    <w:p>
      <w:r>
        <w:t>Contraparte: Rubén Cazares Montaño</w:t>
      </w:r>
    </w:p>
    <w:p>
      <w:r>
        <w:t>Abogado responsable: Beatriz Cordero Villalobos</w:t>
      </w:r>
    </w:p>
    <w:p>
      <w:r>
        <w:t>Monto del contrato: $1,379,700.00</w:t>
      </w:r>
    </w:p>
    <w:p>
      <w:r>
        <w:t>Vigencia: 2026-01-04 a 2028-09-26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2026-06-25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prestación de servicios celebrado entre Nicolás Rangel Chávez y Rubén Cazares Montaño tiene un valor de $1,379,700.00 y estará vigente del 4 de enero de 2026 al 26 de septiembre de 2028.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