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LEG-26-0040</w:t>
      </w:r>
    </w:p>
    <w:p>
      <w:r>
        <w:t>Tipo de documento: Contrato de consultoría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2026-07-21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Cliente: Patricia Guzmán Alcalá</w:t>
      </w:r>
    </w:p>
    <w:p>
      <w:r>
        <w:t>Contraparte: Logística del Bajío, S.A. de C.V.</w:t>
      </w:r>
    </w:p>
    <w:p>
      <w:r>
        <w:t>Abogado responsable: Silvia Padrón Nájera</w:t>
      </w:r>
    </w:p>
    <w:p>
      <w:r>
        <w:t>Monto del contrato: $2,732,500.00</w:t>
      </w:r>
    </w:p>
    <w:p>
      <w:r>
        <w:t>Vigencia: 2026-01-04 a 2027-08-14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2026-07-21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consultoría celebrado entre Patricia Guzmán Alcalá y Logística del Bajío, S.A. de C.V. tiene un valor de $2,732,500.00 y estará vigente del 4 de enero de 2026 al 14 de agosto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