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arrendamiento</w:t>
      </w:r>
    </w:p>
    <w:p>
      <w:r>
        <w:t>Folio: LEG-26-0041</w:t>
      </w:r>
    </w:p>
    <w:p>
      <w:r>
        <w:t>Tipo de documento: Contrato de arrendamiento</w:t>
      </w:r>
    </w:p>
    <w:p>
      <w:r>
        <w:t>Área responsable: Corporativo</w:t>
      </w:r>
    </w:p>
    <w:p>
      <w:r>
        <w:t>Estado: En revisión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2026-02-01</w:t>
      </w:r>
    </w:p>
    <w:p>
      <w:r>
        <w:t>Responsable interno: Ignacio Bermúdez Roque</w:t>
      </w:r>
    </w:p>
    <w:p>
      <w:r>
        <w:t>Clasificación de datos: Uso interno — datos sintéticos de prueba</w:t>
      </w:r>
    </w:p>
    <w:p>
      <w:r>
        <w:t>Cliente: Patricia Guzmán Alcalá</w:t>
      </w:r>
    </w:p>
    <w:p>
      <w:r>
        <w:t>Contraparte: Fabiola Estrada Loyola</w:t>
      </w:r>
    </w:p>
    <w:p>
      <w:r>
        <w:t>Abogado responsable: Emilio Castañón Rivas</w:t>
      </w:r>
    </w:p>
    <w:p>
      <w:r>
        <w:t>Monto del contrato: $2,527,700.00</w:t>
      </w:r>
    </w:p>
    <w:p>
      <w:r>
        <w:t>Vigencia: 2026-01-23 a 2027-08-10</w:t>
      </w:r>
    </w:p>
    <w:p>
      <w:r>
        <w:t>Jurisdicción aplicable: Guadalajara</w:t>
      </w:r>
    </w:p>
    <w:p>
      <w:r>
        <w:t>Cláusula de rescisión anticipada: Sí</w:t>
      </w:r>
    </w:p>
    <w:p>
      <w:r>
        <w:t>Fecha de firma: 2026-02-01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contrato de arrendamiento celebrado entre Patricia Guzmán Alcalá y Fabiola Estrada Loyola tiene un valor de $2,527,700.00 y estará vigente del 23 de enero de 2026 al 10 de agosto de 2027.</w:t>
      </w:r>
    </w:p>
    <w:p>
      <w:pPr>
        <w:pStyle w:val="Heading2"/>
      </w:pPr>
      <w:r>
        <w:t>Seguimiento</w:t>
      </w:r>
    </w:p>
    <w:p>
      <w:r>
        <w:t>El incumplimiento de cualquiera de las cláusulas aquí pactadas da lugar a las penalizaciones descritas en el clausulado, sin perjuicio de las acciones legales que procedan.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