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LEG-26-0045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2026-11-19</w:t>
      </w:r>
    </w:p>
    <w:p>
      <w:r>
        <w:t>Responsable interno: Alonso Treviño Paz</w:t>
      </w:r>
    </w:p>
    <w:p>
      <w:r>
        <w:t>Clasificación de datos: Uso interno — datos sintéticos de prueba</w:t>
      </w:r>
    </w:p>
    <w:p>
      <w:r>
        <w:t>Cliente: Nicolás Rangel Chávez</w:t>
      </w:r>
    </w:p>
    <w:p>
      <w:r>
        <w:t>Contraparte: Sergio Manrique Olvera</w:t>
      </w:r>
    </w:p>
    <w:p>
      <w:r>
        <w:t>Abogado responsable: Fabiola Estrada Loyola</w:t>
      </w:r>
    </w:p>
    <w:p>
      <w:r>
        <w:t>Monto del contrato: $437,300.00</w:t>
      </w:r>
    </w:p>
    <w:p>
      <w:r>
        <w:t>Vigencia: 2026-06-19 a 2028-06-16</w:t>
      </w:r>
    </w:p>
    <w:p>
      <w:r>
        <w:t>Jurisdicción aplicable: Querétaro</w:t>
      </w:r>
    </w:p>
    <w:p>
      <w:r>
        <w:t>Cláusula de rescisión anticipada: Sí</w:t>
      </w:r>
    </w:p>
    <w:p>
      <w:r>
        <w:t>Fecha de firma: 2026-11-19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arrendamiento celebrado entre Nicolás Rangel Chávez y Sergio Manrique Olvera tiene un valor de $437,300.00 y estará vigente del 19 de junio de 2026 al 16 de junio de 2028.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