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LEG-26-0053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2026-02-17</w:t>
      </w:r>
    </w:p>
    <w:p>
      <w:r>
        <w:t>Responsable interno: Fabiola Estrada Loyola</w:t>
      </w:r>
    </w:p>
    <w:p>
      <w:r>
        <w:t>Clasificación de datos: Uso interno — datos sintéticos de prueba</w:t>
      </w:r>
    </w:p>
    <w:p>
      <w:r>
        <w:t>Cliente: Nicolás Rangel Chávez</w:t>
      </w:r>
    </w:p>
    <w:p>
      <w:r>
        <w:t>Contraparte: Comercializadora Altavista, S. de R.L.</w:t>
      </w:r>
    </w:p>
    <w:p>
      <w:r>
        <w:t>Abogado responsable: Nicolás Rangel Chávez</w:t>
      </w:r>
    </w:p>
    <w:p>
      <w:r>
        <w:t>Monto del contrato: $643,800.00</w:t>
      </w:r>
    </w:p>
    <w:p>
      <w:r>
        <w:t>Vigencia: 2026-04-12 a 2028-07-13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2026-02-17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prestación de servicios celebrado entre Nicolás Rangel Chávez y Comercializadora Altavista, S. de R.L. tiene un valor de $643,800.00 y estará vigente del 12 de abril de 2026 al 13 de julio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