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LEG-26-0062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2026-09-15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Cliente: Silvia Padrón Nájera</w:t>
      </w:r>
    </w:p>
    <w:p>
      <w:r>
        <w:t>Contraparte: Enrique Villavicencio Mora</w:t>
      </w:r>
    </w:p>
    <w:p>
      <w:r>
        <w:t>Abogado responsable: Andrea Solano Trujillo</w:t>
      </w:r>
    </w:p>
    <w:p>
      <w:r>
        <w:t>Monto del contrato: $413,300.00</w:t>
      </w:r>
    </w:p>
    <w:p>
      <w:r>
        <w:t>Vigencia: 2026-01-04 a 2027-08-02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2026-09-15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arrendamiento celebrado entre Silvia Padrón Nájera y Enrique Villavicencio Mora tiene un valor de $413,300.00 y estará vigente del 4 de enero de 2026 al 2 de agosto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