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LEG-26-0073</w:t>
      </w:r>
    </w:p>
    <w:p>
      <w:r>
        <w:t>Tipo de documento: Contrato de consultoría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2026-04-20</w:t>
      </w:r>
    </w:p>
    <w:p>
      <w:r>
        <w:t>Responsable interno: Beatriz Cordero Villalobos</w:t>
      </w:r>
    </w:p>
    <w:p>
      <w:r>
        <w:t>Clasificación de datos: Uso interno — datos sintéticos de prueba</w:t>
      </w:r>
    </w:p>
    <w:p>
      <w:r>
        <w:t>Cliente: Ramiro Aguilar Bátiz</w:t>
      </w:r>
    </w:p>
    <w:p>
      <w:r>
        <w:t>Contraparte: Arturo Pineda Casillas</w:t>
      </w:r>
    </w:p>
    <w:p>
      <w:r>
        <w:t>Abogado responsable: Ricardo Balderas Ochoa</w:t>
      </w:r>
    </w:p>
    <w:p>
      <w:r>
        <w:t>Monto del contrato: $1,204,400.00</w:t>
      </w:r>
    </w:p>
    <w:p>
      <w:r>
        <w:t>Vigencia: 2026-04-15 a 2027-10-11</w:t>
      </w:r>
    </w:p>
    <w:p>
      <w:r>
        <w:t>Jurisdicción aplicable: Tijuana</w:t>
      </w:r>
    </w:p>
    <w:p>
      <w:r>
        <w:t>Cláusula de rescisión anticipada: No</w:t>
      </w:r>
    </w:p>
    <w:p>
      <w:r>
        <w:t>Fecha de firma: 2026-04-20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consultoría celebrado entre Ramiro Aguilar Bátiz y Arturo Pineda Casillas tiene un valor de $1,204,400.00 y estará vigente del 15 de abril de 2026 al 11 de octubre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