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LEG-26-0074</w:t>
      </w:r>
    </w:p>
    <w:p>
      <w:r>
        <w:t>Tipo de documento: Contrato de consultoría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2026-05-19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Ramiro Aguilar Bátiz</w:t>
      </w:r>
    </w:p>
    <w:p>
      <w:r>
        <w:t>Contraparte: Emilio Castañón Rivas</w:t>
      </w:r>
    </w:p>
    <w:p>
      <w:r>
        <w:t>Abogado responsable: Alejandra Zúñiga Portillo</w:t>
      </w:r>
    </w:p>
    <w:p>
      <w:r>
        <w:t>Monto del contrato: $1,701,200.00</w:t>
      </w:r>
    </w:p>
    <w:p>
      <w:r>
        <w:t>Vigencia: 2026-06-14 a 2028-04-23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2026-05-19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consultoría celebrado entre Ramiro Aguilar Bátiz y Emilio Castañón Rivas tiene un valor de $1,701,200.00 y estará vigente del 14 de junio de 2026 al 23 de abril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