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LEG-26-0075</w:t>
      </w:r>
    </w:p>
    <w:p>
      <w:r>
        <w:t>Tipo de documento: Convenio de sociedad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2026-05-07</w:t>
      </w:r>
    </w:p>
    <w:p>
      <w:r>
        <w:t>Responsable interno: Adrián Villalpando Cruz</w:t>
      </w:r>
    </w:p>
    <w:p>
      <w:r>
        <w:t>Clasificación de datos: Uso interno — datos sintéticos de prueba</w:t>
      </w:r>
    </w:p>
    <w:p>
      <w:r>
        <w:t>Cliente: Beatriz Cordero Villalobos</w:t>
      </w:r>
    </w:p>
    <w:p>
      <w:r>
        <w:t>Contraparte: Andrea Solano Trujillo</w:t>
      </w:r>
    </w:p>
    <w:p>
      <w:r>
        <w:t>Abogado responsable: Patricia Guzmán Alcalá</w:t>
      </w:r>
    </w:p>
    <w:p>
      <w:r>
        <w:t>Monto del contrato: $1,332,700.00</w:t>
      </w:r>
    </w:p>
    <w:p>
      <w:r>
        <w:t>Vigencia: 2026-02-17 a 2027-04-09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2026-05-07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sociedad celebrado entre Beatriz Cordero Villalobos y Andrea Solano Trujillo tiene un valor de $1,332,700.00 y estará vigente del 17 de febrero de 2026 al 9 de abril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